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3ACB5" w14:textId="33C54054" w:rsidR="00B37170" w:rsidRDefault="00C50748" w:rsidP="00C50748">
      <w:pPr>
        <w:pStyle w:val="Overskrift2"/>
      </w:pPr>
      <w:proofErr w:type="spellStart"/>
      <w:r>
        <w:t>Supplementary</w:t>
      </w:r>
      <w:proofErr w:type="spellEnd"/>
      <w:r>
        <w:t xml:space="preserve"> </w:t>
      </w:r>
      <w:proofErr w:type="spellStart"/>
      <w:r>
        <w:t>material</w:t>
      </w:r>
      <w:proofErr w:type="spellEnd"/>
    </w:p>
    <w:p w14:paraId="3141A544" w14:textId="3E6DF7DF" w:rsidR="00C50748" w:rsidRDefault="00C50748"/>
    <w:p w14:paraId="551F675E" w14:textId="77777777" w:rsidR="00C50748" w:rsidRPr="000545C5" w:rsidRDefault="00C50748" w:rsidP="00C50748">
      <w:pPr>
        <w:spacing w:line="360" w:lineRule="auto"/>
        <w:rPr>
          <w:lang w:val="en-US"/>
        </w:rPr>
      </w:pPr>
      <w:r>
        <w:rPr>
          <w:i/>
          <w:iCs/>
          <w:noProof/>
          <w:color w:val="000000"/>
          <w:lang w:val="en-US"/>
        </w:rPr>
        <w:t xml:space="preserve">Table S1. </w:t>
      </w:r>
      <w:r>
        <w:rPr>
          <w:i/>
          <w:iCs/>
          <w:lang w:val="en-US"/>
        </w:rPr>
        <w:t xml:space="preserve">Patient cohort 1: Correlations between cell </w:t>
      </w:r>
      <w:r w:rsidRPr="00501BA6">
        <w:rPr>
          <w:i/>
          <w:iCs/>
          <w:lang w:val="en-US"/>
        </w:rPr>
        <w:t xml:space="preserve">surface markers </w:t>
      </w:r>
      <w:r>
        <w:rPr>
          <w:i/>
          <w:iCs/>
          <w:lang w:val="en-US"/>
        </w:rPr>
        <w:t xml:space="preserve">(MFI) </w:t>
      </w:r>
      <w:r w:rsidRPr="00501BA6">
        <w:rPr>
          <w:i/>
          <w:iCs/>
          <w:lang w:val="en-US"/>
        </w:rPr>
        <w:t xml:space="preserve">on </w:t>
      </w:r>
      <w:r>
        <w:rPr>
          <w:i/>
          <w:iCs/>
          <w:lang w:val="en-US"/>
        </w:rPr>
        <w:t>non-classical, intermediate and classical</w:t>
      </w:r>
      <w:r w:rsidRPr="00501BA6">
        <w:rPr>
          <w:i/>
          <w:iCs/>
          <w:lang w:val="en-US"/>
        </w:rPr>
        <w:t xml:space="preserve"> monocyte subsets </w:t>
      </w:r>
      <w:r>
        <w:rPr>
          <w:i/>
          <w:iCs/>
          <w:lang w:val="en-US"/>
        </w:rPr>
        <w:t>and disease activity scores.</w:t>
      </w:r>
    </w:p>
    <w:tbl>
      <w:tblPr>
        <w:tblStyle w:val="Gittertabel2-farve3"/>
        <w:tblW w:w="10213" w:type="dxa"/>
        <w:tblLayout w:type="fixed"/>
        <w:tblLook w:val="04A0" w:firstRow="1" w:lastRow="0" w:firstColumn="1" w:lastColumn="0" w:noHBand="0" w:noVBand="1"/>
      </w:tblPr>
      <w:tblGrid>
        <w:gridCol w:w="1079"/>
        <w:gridCol w:w="7"/>
        <w:gridCol w:w="1457"/>
        <w:gridCol w:w="1412"/>
        <w:gridCol w:w="34"/>
        <w:gridCol w:w="1356"/>
        <w:gridCol w:w="1472"/>
        <w:gridCol w:w="32"/>
        <w:gridCol w:w="1656"/>
        <w:gridCol w:w="1701"/>
        <w:gridCol w:w="7"/>
      </w:tblGrid>
      <w:tr w:rsidR="00C50748" w:rsidRPr="00501BA6" w14:paraId="14159B94" w14:textId="77777777" w:rsidTr="00040A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dxa"/>
            <w:gridSpan w:val="2"/>
            <w:tcBorders>
              <w:top w:val="single" w:sz="12" w:space="0" w:color="C9C9C9" w:themeColor="accent3" w:themeTint="99"/>
              <w:left w:val="single" w:sz="12" w:space="0" w:color="C9C9C9" w:themeColor="accent3" w:themeTint="99"/>
              <w:right w:val="single" w:sz="12" w:space="0" w:color="C9C9C9" w:themeColor="accent3" w:themeTint="99"/>
            </w:tcBorders>
          </w:tcPr>
          <w:p w14:paraId="30CD6361" w14:textId="77777777" w:rsidR="00C50748" w:rsidRPr="00501BA6" w:rsidRDefault="00C50748" w:rsidP="00040A4E">
            <w:pPr>
              <w:spacing w:line="360" w:lineRule="auto"/>
              <w:rPr>
                <w:lang w:val="en-GB"/>
              </w:rPr>
            </w:pPr>
          </w:p>
        </w:tc>
        <w:tc>
          <w:tcPr>
            <w:tcW w:w="2869" w:type="dxa"/>
            <w:gridSpan w:val="2"/>
            <w:tcBorders>
              <w:top w:val="single" w:sz="12" w:space="0" w:color="C9C9C9" w:themeColor="accent3" w:themeTint="99"/>
              <w:left w:val="single" w:sz="12" w:space="0" w:color="C9C9C9" w:themeColor="accent3" w:themeTint="99"/>
              <w:right w:val="single" w:sz="12" w:space="0" w:color="C9C9C9" w:themeColor="accent3" w:themeTint="99"/>
            </w:tcBorders>
          </w:tcPr>
          <w:p w14:paraId="526A5F19" w14:textId="77777777" w:rsidR="00C50748" w:rsidRPr="00CB7862" w:rsidRDefault="00C50748" w:rsidP="00040A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CB7862">
              <w:rPr>
                <w:lang w:val="en-GB"/>
              </w:rPr>
              <w:t>Non-classical</w:t>
            </w:r>
          </w:p>
        </w:tc>
        <w:tc>
          <w:tcPr>
            <w:tcW w:w="2862" w:type="dxa"/>
            <w:gridSpan w:val="3"/>
            <w:tcBorders>
              <w:top w:val="single" w:sz="12" w:space="0" w:color="C9C9C9" w:themeColor="accent3" w:themeTint="99"/>
              <w:left w:val="single" w:sz="12" w:space="0" w:color="C9C9C9" w:themeColor="accent3" w:themeTint="99"/>
              <w:right w:val="single" w:sz="12" w:space="0" w:color="C9C9C9" w:themeColor="accent3" w:themeTint="99"/>
            </w:tcBorders>
          </w:tcPr>
          <w:p w14:paraId="55CF1A46" w14:textId="77777777" w:rsidR="00C50748" w:rsidRPr="00CB7862" w:rsidRDefault="00C50748" w:rsidP="00040A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CB7862">
              <w:rPr>
                <w:lang w:val="en-GB"/>
              </w:rPr>
              <w:t>Intermediate</w:t>
            </w:r>
          </w:p>
        </w:tc>
        <w:tc>
          <w:tcPr>
            <w:tcW w:w="3396" w:type="dxa"/>
            <w:gridSpan w:val="4"/>
            <w:tcBorders>
              <w:top w:val="single" w:sz="12" w:space="0" w:color="C9C9C9" w:themeColor="accent3" w:themeTint="99"/>
              <w:left w:val="single" w:sz="12" w:space="0" w:color="C9C9C9" w:themeColor="accent3" w:themeTint="99"/>
              <w:right w:val="single" w:sz="12" w:space="0" w:color="C9C9C9" w:themeColor="accent3" w:themeTint="99"/>
            </w:tcBorders>
          </w:tcPr>
          <w:p w14:paraId="052FC141" w14:textId="77777777" w:rsidR="00C50748" w:rsidRPr="00CB7862" w:rsidRDefault="00C50748" w:rsidP="00040A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 w:rsidRPr="00CB7862">
              <w:rPr>
                <w:lang w:val="en-GB"/>
              </w:rPr>
              <w:t>Classical</w:t>
            </w:r>
          </w:p>
        </w:tc>
      </w:tr>
      <w:tr w:rsidR="00C50748" w:rsidRPr="00501BA6" w14:paraId="0FCD1C80" w14:textId="77777777" w:rsidTr="00040A4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dxa"/>
          </w:tcPr>
          <w:p w14:paraId="1BFE42C0" w14:textId="77777777" w:rsidR="00C50748" w:rsidRPr="00353E2B" w:rsidRDefault="00C50748" w:rsidP="00040A4E">
            <w:pPr>
              <w:rPr>
                <w:lang w:val="en-GB"/>
              </w:rPr>
            </w:pPr>
          </w:p>
        </w:tc>
        <w:tc>
          <w:tcPr>
            <w:tcW w:w="1464" w:type="dxa"/>
            <w:gridSpan w:val="2"/>
          </w:tcPr>
          <w:p w14:paraId="04538C41" w14:textId="77777777" w:rsidR="00C50748" w:rsidRPr="00B17140" w:rsidRDefault="00C50748" w:rsidP="00040A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B17140">
              <w:rPr>
                <w:lang w:val="en-GB"/>
              </w:rPr>
              <w:t>CCR2</w:t>
            </w:r>
          </w:p>
        </w:tc>
        <w:tc>
          <w:tcPr>
            <w:tcW w:w="1446" w:type="dxa"/>
            <w:gridSpan w:val="2"/>
          </w:tcPr>
          <w:p w14:paraId="14385E8D" w14:textId="77777777" w:rsidR="00C50748" w:rsidRPr="00B17140" w:rsidRDefault="00C50748" w:rsidP="00040A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B17140">
              <w:rPr>
                <w:lang w:val="en-GB"/>
              </w:rPr>
              <w:t>CD11b</w:t>
            </w:r>
          </w:p>
        </w:tc>
        <w:tc>
          <w:tcPr>
            <w:tcW w:w="1356" w:type="dxa"/>
          </w:tcPr>
          <w:p w14:paraId="518FFEE5" w14:textId="77777777" w:rsidR="00C50748" w:rsidRPr="00B17140" w:rsidRDefault="00C50748" w:rsidP="00040A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B17140">
              <w:rPr>
                <w:lang w:val="en-GB"/>
              </w:rPr>
              <w:t>CCR2</w:t>
            </w:r>
          </w:p>
        </w:tc>
        <w:tc>
          <w:tcPr>
            <w:tcW w:w="1504" w:type="dxa"/>
            <w:gridSpan w:val="2"/>
          </w:tcPr>
          <w:p w14:paraId="1C326F76" w14:textId="77777777" w:rsidR="00C50748" w:rsidRPr="00B17140" w:rsidRDefault="00C50748" w:rsidP="00040A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B17140">
              <w:rPr>
                <w:lang w:val="en-GB"/>
              </w:rPr>
              <w:t>CD11b</w:t>
            </w:r>
          </w:p>
        </w:tc>
        <w:tc>
          <w:tcPr>
            <w:tcW w:w="1656" w:type="dxa"/>
          </w:tcPr>
          <w:p w14:paraId="55EAB44B" w14:textId="77777777" w:rsidR="00C50748" w:rsidRPr="00B17140" w:rsidRDefault="00C50748" w:rsidP="00040A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B17140">
              <w:rPr>
                <w:lang w:val="en-GB"/>
              </w:rPr>
              <w:t>CCR2</w:t>
            </w:r>
          </w:p>
        </w:tc>
        <w:tc>
          <w:tcPr>
            <w:tcW w:w="1701" w:type="dxa"/>
          </w:tcPr>
          <w:p w14:paraId="28138474" w14:textId="77777777" w:rsidR="00C50748" w:rsidRPr="00B17140" w:rsidRDefault="00C50748" w:rsidP="00040A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 w:rsidRPr="00B17140">
              <w:rPr>
                <w:lang w:val="en-GB"/>
              </w:rPr>
              <w:t>CD11b</w:t>
            </w:r>
          </w:p>
        </w:tc>
      </w:tr>
      <w:tr w:rsidR="00C50748" w:rsidRPr="00501BA6" w14:paraId="537E35B7" w14:textId="77777777" w:rsidTr="00040A4E">
        <w:trPr>
          <w:gridAfter w:val="1"/>
          <w:wAfter w:w="7" w:type="dxa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dxa"/>
          </w:tcPr>
          <w:p w14:paraId="4ACB237B" w14:textId="77777777" w:rsidR="00C50748" w:rsidRPr="00353E2B" w:rsidRDefault="00C50748" w:rsidP="00040A4E">
            <w:pPr>
              <w:rPr>
                <w:lang w:val="en-GB"/>
              </w:rPr>
            </w:pPr>
            <w:proofErr w:type="spellStart"/>
            <w:r w:rsidRPr="00353E2B">
              <w:rPr>
                <w:lang w:val="en-GB"/>
              </w:rPr>
              <w:t>mDF</w:t>
            </w:r>
            <w:proofErr w:type="spellEnd"/>
          </w:p>
        </w:tc>
        <w:tc>
          <w:tcPr>
            <w:tcW w:w="1464" w:type="dxa"/>
            <w:gridSpan w:val="2"/>
          </w:tcPr>
          <w:p w14:paraId="6E1CFC60" w14:textId="77777777" w:rsidR="00C50748" w:rsidRPr="00353E2B" w:rsidRDefault="00C50748" w:rsidP="00040A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0.40 (0.14)</w:t>
            </w:r>
          </w:p>
        </w:tc>
        <w:tc>
          <w:tcPr>
            <w:tcW w:w="1446" w:type="dxa"/>
            <w:gridSpan w:val="2"/>
          </w:tcPr>
          <w:p w14:paraId="690ACEC8" w14:textId="77777777" w:rsidR="00C50748" w:rsidRPr="00353E2B" w:rsidRDefault="00C50748" w:rsidP="00040A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-0.04 (0.90)</w:t>
            </w:r>
          </w:p>
        </w:tc>
        <w:tc>
          <w:tcPr>
            <w:tcW w:w="1356" w:type="dxa"/>
          </w:tcPr>
          <w:p w14:paraId="5EABBBAD" w14:textId="77777777" w:rsidR="00C50748" w:rsidRPr="00353E2B" w:rsidRDefault="00C50748" w:rsidP="00040A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0.03 (0.91)</w:t>
            </w:r>
          </w:p>
        </w:tc>
        <w:tc>
          <w:tcPr>
            <w:tcW w:w="1504" w:type="dxa"/>
            <w:gridSpan w:val="2"/>
          </w:tcPr>
          <w:p w14:paraId="7D4BC0B3" w14:textId="77777777" w:rsidR="00C50748" w:rsidRPr="00353E2B" w:rsidRDefault="00C50748" w:rsidP="00040A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0.06 (0.84)</w:t>
            </w:r>
          </w:p>
        </w:tc>
        <w:tc>
          <w:tcPr>
            <w:tcW w:w="1656" w:type="dxa"/>
          </w:tcPr>
          <w:p w14:paraId="5E2C7F99" w14:textId="77777777" w:rsidR="00C50748" w:rsidRPr="00353E2B" w:rsidRDefault="00C50748" w:rsidP="00040A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-0.04 (0.88)</w:t>
            </w:r>
          </w:p>
        </w:tc>
        <w:tc>
          <w:tcPr>
            <w:tcW w:w="1701" w:type="dxa"/>
          </w:tcPr>
          <w:p w14:paraId="6C27F210" w14:textId="77777777" w:rsidR="00C50748" w:rsidRPr="00353E2B" w:rsidRDefault="00C50748" w:rsidP="00040A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0.16 (0.56)</w:t>
            </w:r>
          </w:p>
        </w:tc>
      </w:tr>
      <w:tr w:rsidR="00C50748" w:rsidRPr="00501BA6" w14:paraId="6A0363FA" w14:textId="77777777" w:rsidTr="00040A4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dxa"/>
          </w:tcPr>
          <w:p w14:paraId="2BDF8885" w14:textId="77777777" w:rsidR="00C50748" w:rsidRPr="00353E2B" w:rsidRDefault="00C50748" w:rsidP="00040A4E">
            <w:pPr>
              <w:rPr>
                <w:lang w:val="en-GB"/>
              </w:rPr>
            </w:pPr>
            <w:r>
              <w:rPr>
                <w:lang w:val="en-GB"/>
              </w:rPr>
              <w:t>MELD</w:t>
            </w:r>
          </w:p>
        </w:tc>
        <w:tc>
          <w:tcPr>
            <w:tcW w:w="1464" w:type="dxa"/>
            <w:gridSpan w:val="2"/>
          </w:tcPr>
          <w:p w14:paraId="39852464" w14:textId="77777777" w:rsidR="00C50748" w:rsidRPr="00353E2B" w:rsidRDefault="00C50748" w:rsidP="00040A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0.01 (0.96)</w:t>
            </w:r>
          </w:p>
        </w:tc>
        <w:tc>
          <w:tcPr>
            <w:tcW w:w="1446" w:type="dxa"/>
            <w:gridSpan w:val="2"/>
          </w:tcPr>
          <w:p w14:paraId="43D1F482" w14:textId="77777777" w:rsidR="00C50748" w:rsidRPr="00353E2B" w:rsidRDefault="00C50748" w:rsidP="00040A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0.03 (0.93)</w:t>
            </w:r>
          </w:p>
        </w:tc>
        <w:tc>
          <w:tcPr>
            <w:tcW w:w="1356" w:type="dxa"/>
          </w:tcPr>
          <w:p w14:paraId="689DF372" w14:textId="77777777" w:rsidR="00C50748" w:rsidRPr="00353E2B" w:rsidRDefault="00C50748" w:rsidP="00040A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-0.11 (0.69)</w:t>
            </w:r>
          </w:p>
        </w:tc>
        <w:tc>
          <w:tcPr>
            <w:tcW w:w="1504" w:type="dxa"/>
            <w:gridSpan w:val="2"/>
          </w:tcPr>
          <w:p w14:paraId="0E913C8D" w14:textId="77777777" w:rsidR="00C50748" w:rsidRPr="00353E2B" w:rsidRDefault="00C50748" w:rsidP="00040A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-0.07 (0.81)</w:t>
            </w:r>
          </w:p>
        </w:tc>
        <w:tc>
          <w:tcPr>
            <w:tcW w:w="1656" w:type="dxa"/>
          </w:tcPr>
          <w:p w14:paraId="74CCA26B" w14:textId="77777777" w:rsidR="00C50748" w:rsidRPr="00353E2B" w:rsidRDefault="00C50748" w:rsidP="00040A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-0.29 (0.29)</w:t>
            </w:r>
          </w:p>
        </w:tc>
        <w:tc>
          <w:tcPr>
            <w:tcW w:w="1701" w:type="dxa"/>
          </w:tcPr>
          <w:p w14:paraId="697FE1B9" w14:textId="77777777" w:rsidR="00C50748" w:rsidRPr="00353E2B" w:rsidRDefault="00C50748" w:rsidP="00040A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-0.11 (0.70)</w:t>
            </w:r>
          </w:p>
        </w:tc>
      </w:tr>
      <w:tr w:rsidR="00C50748" w:rsidRPr="00501BA6" w14:paraId="01A95267" w14:textId="77777777" w:rsidTr="00040A4E">
        <w:trPr>
          <w:gridAfter w:val="1"/>
          <w:wAfter w:w="7" w:type="dxa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dxa"/>
          </w:tcPr>
          <w:p w14:paraId="1F1F4BA2" w14:textId="77777777" w:rsidR="00C50748" w:rsidRPr="00353E2B" w:rsidRDefault="00C50748" w:rsidP="00040A4E">
            <w:pPr>
              <w:rPr>
                <w:lang w:val="en-GB"/>
              </w:rPr>
            </w:pPr>
            <w:r>
              <w:rPr>
                <w:lang w:val="en-GB"/>
              </w:rPr>
              <w:t>GAHS</w:t>
            </w:r>
          </w:p>
        </w:tc>
        <w:tc>
          <w:tcPr>
            <w:tcW w:w="1464" w:type="dxa"/>
            <w:gridSpan w:val="2"/>
          </w:tcPr>
          <w:p w14:paraId="0EA54937" w14:textId="77777777" w:rsidR="00C50748" w:rsidRPr="00353E2B" w:rsidRDefault="00C50748" w:rsidP="00040A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-0.15 (0.61)</w:t>
            </w:r>
          </w:p>
        </w:tc>
        <w:tc>
          <w:tcPr>
            <w:tcW w:w="1446" w:type="dxa"/>
            <w:gridSpan w:val="2"/>
          </w:tcPr>
          <w:p w14:paraId="75F681C4" w14:textId="77777777" w:rsidR="00C50748" w:rsidRPr="00353E2B" w:rsidRDefault="00C50748" w:rsidP="00040A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0.09 (0.77)</w:t>
            </w:r>
          </w:p>
        </w:tc>
        <w:tc>
          <w:tcPr>
            <w:tcW w:w="1356" w:type="dxa"/>
          </w:tcPr>
          <w:p w14:paraId="0CDD44A7" w14:textId="77777777" w:rsidR="00C50748" w:rsidRPr="00353E2B" w:rsidRDefault="00C50748" w:rsidP="00040A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-0.04 (0.89)</w:t>
            </w:r>
          </w:p>
        </w:tc>
        <w:tc>
          <w:tcPr>
            <w:tcW w:w="1504" w:type="dxa"/>
            <w:gridSpan w:val="2"/>
          </w:tcPr>
          <w:p w14:paraId="1F9F654E" w14:textId="77777777" w:rsidR="00C50748" w:rsidRPr="00353E2B" w:rsidRDefault="00C50748" w:rsidP="00040A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0.43 (0.13)</w:t>
            </w:r>
          </w:p>
        </w:tc>
        <w:tc>
          <w:tcPr>
            <w:tcW w:w="1656" w:type="dxa"/>
          </w:tcPr>
          <w:p w14:paraId="40FE2260" w14:textId="77777777" w:rsidR="00C50748" w:rsidRPr="00353E2B" w:rsidRDefault="00C50748" w:rsidP="00040A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-0.41 (0.14)</w:t>
            </w:r>
          </w:p>
        </w:tc>
        <w:tc>
          <w:tcPr>
            <w:tcW w:w="1701" w:type="dxa"/>
          </w:tcPr>
          <w:p w14:paraId="707989D3" w14:textId="77777777" w:rsidR="00C50748" w:rsidRPr="00353E2B" w:rsidRDefault="00C50748" w:rsidP="00040A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0.18 (0.54)</w:t>
            </w:r>
          </w:p>
        </w:tc>
      </w:tr>
      <w:tr w:rsidR="00C50748" w:rsidRPr="00501BA6" w14:paraId="50A688CB" w14:textId="77777777" w:rsidTr="00040A4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dxa"/>
          </w:tcPr>
          <w:p w14:paraId="57CAD883" w14:textId="77777777" w:rsidR="00C50748" w:rsidRPr="00353E2B" w:rsidRDefault="00C50748" w:rsidP="00040A4E">
            <w:pPr>
              <w:rPr>
                <w:lang w:val="en-GB"/>
              </w:rPr>
            </w:pPr>
            <w:r>
              <w:rPr>
                <w:lang w:val="en-GB"/>
              </w:rPr>
              <w:t>CP</w:t>
            </w:r>
          </w:p>
        </w:tc>
        <w:tc>
          <w:tcPr>
            <w:tcW w:w="1464" w:type="dxa"/>
            <w:gridSpan w:val="2"/>
          </w:tcPr>
          <w:p w14:paraId="1BE1020B" w14:textId="77777777" w:rsidR="00C50748" w:rsidRPr="00353E2B" w:rsidRDefault="00C50748" w:rsidP="00040A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-0.05 (0.87)</w:t>
            </w:r>
          </w:p>
        </w:tc>
        <w:tc>
          <w:tcPr>
            <w:tcW w:w="1446" w:type="dxa"/>
            <w:gridSpan w:val="2"/>
          </w:tcPr>
          <w:p w14:paraId="221826E1" w14:textId="77777777" w:rsidR="00C50748" w:rsidRPr="00353E2B" w:rsidRDefault="00C50748" w:rsidP="00040A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0.04 (0.90)</w:t>
            </w:r>
          </w:p>
        </w:tc>
        <w:tc>
          <w:tcPr>
            <w:tcW w:w="1356" w:type="dxa"/>
          </w:tcPr>
          <w:p w14:paraId="13985923" w14:textId="77777777" w:rsidR="00C50748" w:rsidRPr="00353E2B" w:rsidRDefault="00C50748" w:rsidP="00040A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-0.09 (0.76)</w:t>
            </w:r>
          </w:p>
        </w:tc>
        <w:tc>
          <w:tcPr>
            <w:tcW w:w="1504" w:type="dxa"/>
            <w:gridSpan w:val="2"/>
          </w:tcPr>
          <w:p w14:paraId="56A04D8F" w14:textId="77777777" w:rsidR="00C50748" w:rsidRPr="00353E2B" w:rsidRDefault="00C50748" w:rsidP="00040A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0.10 (0.71)</w:t>
            </w:r>
          </w:p>
        </w:tc>
        <w:tc>
          <w:tcPr>
            <w:tcW w:w="1656" w:type="dxa"/>
          </w:tcPr>
          <w:p w14:paraId="5ECC497A" w14:textId="77777777" w:rsidR="00C50748" w:rsidRPr="00353E2B" w:rsidRDefault="00C50748" w:rsidP="00040A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-0.32 (0.24)</w:t>
            </w:r>
          </w:p>
        </w:tc>
        <w:tc>
          <w:tcPr>
            <w:tcW w:w="1701" w:type="dxa"/>
          </w:tcPr>
          <w:p w14:paraId="5E2BC80D" w14:textId="77777777" w:rsidR="00C50748" w:rsidRPr="00353E2B" w:rsidRDefault="00C50748" w:rsidP="00040A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-0.13 (0.64)</w:t>
            </w:r>
          </w:p>
        </w:tc>
      </w:tr>
      <w:tr w:rsidR="00C50748" w:rsidRPr="00501BA6" w14:paraId="4120D045" w14:textId="77777777" w:rsidTr="00040A4E">
        <w:trPr>
          <w:gridAfter w:val="1"/>
          <w:wAfter w:w="7" w:type="dxa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dxa"/>
          </w:tcPr>
          <w:p w14:paraId="1FDAA712" w14:textId="77777777" w:rsidR="00C50748" w:rsidRPr="00353E2B" w:rsidRDefault="00C50748" w:rsidP="00040A4E">
            <w:pPr>
              <w:rPr>
                <w:lang w:val="en-GB"/>
              </w:rPr>
            </w:pPr>
            <w:r>
              <w:rPr>
                <w:lang w:val="en-GB"/>
              </w:rPr>
              <w:t>PP</w:t>
            </w:r>
          </w:p>
        </w:tc>
        <w:tc>
          <w:tcPr>
            <w:tcW w:w="1464" w:type="dxa"/>
            <w:gridSpan w:val="2"/>
          </w:tcPr>
          <w:p w14:paraId="2248106B" w14:textId="77777777" w:rsidR="00C50748" w:rsidRPr="00353E2B" w:rsidRDefault="00C50748" w:rsidP="00040A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-0.51 (0.05)</w:t>
            </w:r>
          </w:p>
        </w:tc>
        <w:tc>
          <w:tcPr>
            <w:tcW w:w="1446" w:type="dxa"/>
            <w:gridSpan w:val="2"/>
          </w:tcPr>
          <w:p w14:paraId="41AA9929" w14:textId="77777777" w:rsidR="00C50748" w:rsidRPr="00353E2B" w:rsidRDefault="00C50748" w:rsidP="00040A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0.14 (0.62)</w:t>
            </w:r>
          </w:p>
        </w:tc>
        <w:tc>
          <w:tcPr>
            <w:tcW w:w="1356" w:type="dxa"/>
          </w:tcPr>
          <w:p w14:paraId="48C28DE4" w14:textId="77777777" w:rsidR="00C50748" w:rsidRPr="00353E2B" w:rsidRDefault="00C50748" w:rsidP="00040A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-0.08 (0.77)</w:t>
            </w:r>
          </w:p>
        </w:tc>
        <w:tc>
          <w:tcPr>
            <w:tcW w:w="1504" w:type="dxa"/>
            <w:gridSpan w:val="2"/>
          </w:tcPr>
          <w:p w14:paraId="6ACA2F0E" w14:textId="77777777" w:rsidR="00C50748" w:rsidRPr="00353E2B" w:rsidRDefault="00C50748" w:rsidP="00040A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-0.17 (0.55)</w:t>
            </w:r>
          </w:p>
        </w:tc>
        <w:tc>
          <w:tcPr>
            <w:tcW w:w="1656" w:type="dxa"/>
          </w:tcPr>
          <w:p w14:paraId="697C1402" w14:textId="77777777" w:rsidR="00C50748" w:rsidRPr="00353E2B" w:rsidRDefault="00C50748" w:rsidP="00040A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-0.01 (0.97)</w:t>
            </w:r>
          </w:p>
        </w:tc>
        <w:tc>
          <w:tcPr>
            <w:tcW w:w="1701" w:type="dxa"/>
          </w:tcPr>
          <w:p w14:paraId="58188E88" w14:textId="77777777" w:rsidR="00C50748" w:rsidRPr="00353E2B" w:rsidRDefault="00C50748" w:rsidP="00040A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GB"/>
              </w:rPr>
            </w:pPr>
            <w:r>
              <w:rPr>
                <w:lang w:val="en-GB"/>
              </w:rPr>
              <w:t>-0.15 (0.59)</w:t>
            </w:r>
          </w:p>
        </w:tc>
      </w:tr>
      <w:tr w:rsidR="00C50748" w:rsidRPr="00501BA6" w14:paraId="4158013F" w14:textId="77777777" w:rsidTr="00040A4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" w:type="dxa"/>
          </w:tcPr>
          <w:p w14:paraId="22E2D13E" w14:textId="77777777" w:rsidR="00C50748" w:rsidRPr="00353E2B" w:rsidRDefault="00C50748" w:rsidP="00040A4E">
            <w:pPr>
              <w:rPr>
                <w:lang w:val="en-GB"/>
              </w:rPr>
            </w:pPr>
            <w:r>
              <w:rPr>
                <w:lang w:val="en-GB"/>
              </w:rPr>
              <w:t>CRP</w:t>
            </w:r>
          </w:p>
        </w:tc>
        <w:tc>
          <w:tcPr>
            <w:tcW w:w="1464" w:type="dxa"/>
            <w:gridSpan w:val="2"/>
          </w:tcPr>
          <w:p w14:paraId="7281F9C2" w14:textId="77777777" w:rsidR="00C50748" w:rsidRPr="00353E2B" w:rsidRDefault="00C50748" w:rsidP="00040A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-0.30 (0.30)</w:t>
            </w:r>
          </w:p>
        </w:tc>
        <w:tc>
          <w:tcPr>
            <w:tcW w:w="1446" w:type="dxa"/>
            <w:gridSpan w:val="2"/>
          </w:tcPr>
          <w:p w14:paraId="7F577731" w14:textId="77777777" w:rsidR="00C50748" w:rsidRPr="00353E2B" w:rsidRDefault="00C50748" w:rsidP="00040A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0.29 (0.32)</w:t>
            </w:r>
          </w:p>
        </w:tc>
        <w:tc>
          <w:tcPr>
            <w:tcW w:w="1356" w:type="dxa"/>
          </w:tcPr>
          <w:p w14:paraId="59848C68" w14:textId="77777777" w:rsidR="00C50748" w:rsidRPr="00353E2B" w:rsidRDefault="00C50748" w:rsidP="00040A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0.05 (0.88)</w:t>
            </w:r>
          </w:p>
        </w:tc>
        <w:tc>
          <w:tcPr>
            <w:tcW w:w="1504" w:type="dxa"/>
            <w:gridSpan w:val="2"/>
          </w:tcPr>
          <w:p w14:paraId="4D0B6A7E" w14:textId="77777777" w:rsidR="00C50748" w:rsidRPr="00353E2B" w:rsidRDefault="00C50748" w:rsidP="00040A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0.10 (0.74)</w:t>
            </w:r>
          </w:p>
        </w:tc>
        <w:tc>
          <w:tcPr>
            <w:tcW w:w="1656" w:type="dxa"/>
          </w:tcPr>
          <w:p w14:paraId="4A012F27" w14:textId="77777777" w:rsidR="00C50748" w:rsidRPr="00353E2B" w:rsidRDefault="00C50748" w:rsidP="00040A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-0.25 (0.39)</w:t>
            </w:r>
          </w:p>
        </w:tc>
        <w:tc>
          <w:tcPr>
            <w:tcW w:w="1701" w:type="dxa"/>
          </w:tcPr>
          <w:p w14:paraId="2A7ABAAB" w14:textId="77777777" w:rsidR="00C50748" w:rsidRPr="00353E2B" w:rsidRDefault="00C50748" w:rsidP="00040A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-0.31 (0.28)</w:t>
            </w:r>
          </w:p>
        </w:tc>
      </w:tr>
    </w:tbl>
    <w:p w14:paraId="6834A088" w14:textId="77777777" w:rsidR="00C50748" w:rsidRPr="00CA49B8" w:rsidRDefault="00C50748" w:rsidP="00C50748">
      <w:pPr>
        <w:spacing w:line="360" w:lineRule="auto"/>
        <w:rPr>
          <w:i/>
          <w:iCs/>
          <w:lang w:val="en-US"/>
        </w:rPr>
      </w:pPr>
      <w:r>
        <w:rPr>
          <w:i/>
          <w:iCs/>
          <w:lang w:val="en-US"/>
        </w:rPr>
        <w:t xml:space="preserve">Data assessed by spearman correlation and presented as r (p). </w:t>
      </w:r>
      <w:r w:rsidRPr="00957EC3">
        <w:rPr>
          <w:i/>
          <w:iCs/>
          <w:lang w:val="en-GB"/>
        </w:rPr>
        <w:t>(</w:t>
      </w:r>
      <w:proofErr w:type="spellStart"/>
      <w:r>
        <w:rPr>
          <w:i/>
          <w:iCs/>
          <w:lang w:val="en-GB"/>
        </w:rPr>
        <w:t>mDF</w:t>
      </w:r>
      <w:proofErr w:type="spellEnd"/>
      <w:r>
        <w:rPr>
          <w:i/>
          <w:iCs/>
          <w:lang w:val="en-GB"/>
        </w:rPr>
        <w:t xml:space="preserve">: </w:t>
      </w:r>
      <w:proofErr w:type="spellStart"/>
      <w:r w:rsidRPr="00957EC3">
        <w:rPr>
          <w:i/>
          <w:iCs/>
          <w:lang w:val="en-GB"/>
        </w:rPr>
        <w:t>Maddrey’s</w:t>
      </w:r>
      <w:proofErr w:type="spellEnd"/>
      <w:r w:rsidRPr="00957EC3">
        <w:rPr>
          <w:i/>
          <w:iCs/>
          <w:lang w:val="en-GB"/>
        </w:rPr>
        <w:t xml:space="preserve"> discriminant function, </w:t>
      </w:r>
      <w:r>
        <w:rPr>
          <w:i/>
          <w:iCs/>
          <w:lang w:val="en-GB"/>
        </w:rPr>
        <w:t xml:space="preserve">MELD: </w:t>
      </w:r>
      <w:r w:rsidRPr="00957EC3">
        <w:rPr>
          <w:i/>
          <w:iCs/>
          <w:lang w:val="en-GB"/>
        </w:rPr>
        <w:t xml:space="preserve">Model for End-Stage Liver Disease, </w:t>
      </w:r>
      <w:r>
        <w:rPr>
          <w:i/>
          <w:iCs/>
          <w:lang w:val="en-GB"/>
        </w:rPr>
        <w:t xml:space="preserve">GAHS: </w:t>
      </w:r>
      <w:r w:rsidRPr="00957EC3">
        <w:rPr>
          <w:i/>
          <w:iCs/>
          <w:lang w:val="en-GB"/>
        </w:rPr>
        <w:t xml:space="preserve">Glasgow Alcoholic Hepatitis Score, </w:t>
      </w:r>
      <w:r>
        <w:rPr>
          <w:i/>
          <w:iCs/>
          <w:lang w:val="en-GB"/>
        </w:rPr>
        <w:t xml:space="preserve">CP: </w:t>
      </w:r>
      <w:r w:rsidRPr="00957EC3">
        <w:rPr>
          <w:i/>
          <w:iCs/>
          <w:lang w:val="en-GB"/>
        </w:rPr>
        <w:t>Child-Pugh Score and</w:t>
      </w:r>
      <w:r>
        <w:rPr>
          <w:i/>
          <w:iCs/>
          <w:lang w:val="en-GB"/>
        </w:rPr>
        <w:t xml:space="preserve"> PP:</w:t>
      </w:r>
      <w:r w:rsidRPr="00957EC3">
        <w:rPr>
          <w:i/>
          <w:iCs/>
          <w:lang w:val="en-GB"/>
        </w:rPr>
        <w:t xml:space="preserve"> performance points</w:t>
      </w:r>
      <w:r>
        <w:rPr>
          <w:i/>
          <w:iCs/>
          <w:lang w:val="en-GB"/>
        </w:rPr>
        <w:t>).</w:t>
      </w:r>
    </w:p>
    <w:p w14:paraId="45FF68A8" w14:textId="77777777" w:rsidR="00C50748" w:rsidRDefault="00C50748" w:rsidP="00C50748">
      <w:pPr>
        <w:rPr>
          <w:i/>
          <w:iCs/>
          <w:lang w:val="en-US"/>
        </w:rPr>
      </w:pPr>
    </w:p>
    <w:p w14:paraId="725EDA68" w14:textId="77777777" w:rsidR="00C50748" w:rsidRDefault="00C50748" w:rsidP="00C50748">
      <w:pPr>
        <w:spacing w:line="360" w:lineRule="auto"/>
        <w:rPr>
          <w:i/>
          <w:iCs/>
          <w:lang w:val="en-US"/>
        </w:rPr>
      </w:pPr>
    </w:p>
    <w:p w14:paraId="3BEDBEC5" w14:textId="77777777" w:rsidR="00C50748" w:rsidRDefault="00C50748" w:rsidP="00C50748">
      <w:pPr>
        <w:spacing w:line="360" w:lineRule="auto"/>
        <w:rPr>
          <w:i/>
          <w:iCs/>
          <w:lang w:val="en-US"/>
        </w:rPr>
      </w:pPr>
    </w:p>
    <w:p w14:paraId="2ABC5021" w14:textId="77777777" w:rsidR="00C50748" w:rsidRDefault="00C50748" w:rsidP="00C50748">
      <w:pPr>
        <w:rPr>
          <w:i/>
          <w:iCs/>
          <w:lang w:val="en-US"/>
        </w:rPr>
      </w:pPr>
      <w:r>
        <w:rPr>
          <w:i/>
          <w:iCs/>
          <w:lang w:val="en-US"/>
        </w:rPr>
        <w:br w:type="page"/>
      </w:r>
    </w:p>
    <w:p w14:paraId="155ABD2F" w14:textId="77777777" w:rsidR="00C50748" w:rsidRPr="00657C1F" w:rsidRDefault="00C50748" w:rsidP="00C50748">
      <w:pPr>
        <w:spacing w:line="360" w:lineRule="auto"/>
        <w:rPr>
          <w:i/>
          <w:iCs/>
          <w:lang w:val="en-US"/>
        </w:rPr>
      </w:pPr>
      <w:r w:rsidRPr="00501BA6">
        <w:rPr>
          <w:i/>
          <w:iCs/>
          <w:lang w:val="en-US"/>
        </w:rPr>
        <w:lastRenderedPageBreak/>
        <w:t xml:space="preserve">Table </w:t>
      </w:r>
      <w:r>
        <w:rPr>
          <w:i/>
          <w:iCs/>
          <w:lang w:val="en-US"/>
        </w:rPr>
        <w:t>S2</w:t>
      </w:r>
      <w:r w:rsidRPr="00501BA6">
        <w:rPr>
          <w:i/>
          <w:iCs/>
          <w:lang w:val="en-US"/>
        </w:rPr>
        <w:t xml:space="preserve">. </w:t>
      </w:r>
      <w:r w:rsidRPr="007C31D9">
        <w:rPr>
          <w:i/>
          <w:iCs/>
          <w:lang w:val="en-US"/>
        </w:rPr>
        <w:t>Cohort 2: Correlations between monocyte surface markers</w:t>
      </w:r>
      <w:r>
        <w:rPr>
          <w:i/>
          <w:iCs/>
          <w:lang w:val="en-US"/>
        </w:rPr>
        <w:t xml:space="preserve"> (RPKM)</w:t>
      </w:r>
      <w:r w:rsidRPr="007C31D9">
        <w:rPr>
          <w:i/>
          <w:iCs/>
          <w:lang w:val="en-US"/>
        </w:rPr>
        <w:t xml:space="preserve"> and disease scores in all monocytes from liver tissue.</w:t>
      </w:r>
    </w:p>
    <w:tbl>
      <w:tblPr>
        <w:tblStyle w:val="Gittertabel2-farve3"/>
        <w:tblW w:w="9632" w:type="dxa"/>
        <w:tblLayout w:type="fixed"/>
        <w:tblLook w:val="04A0" w:firstRow="1" w:lastRow="0" w:firstColumn="1" w:lastColumn="0" w:noHBand="0" w:noVBand="1"/>
      </w:tblPr>
      <w:tblGrid>
        <w:gridCol w:w="1030"/>
        <w:gridCol w:w="1380"/>
        <w:gridCol w:w="1418"/>
        <w:gridCol w:w="1559"/>
        <w:gridCol w:w="1436"/>
        <w:gridCol w:w="1399"/>
        <w:gridCol w:w="1410"/>
      </w:tblGrid>
      <w:tr w:rsidR="00C50748" w:rsidRPr="00501BA6" w14:paraId="31F2C171" w14:textId="77777777" w:rsidTr="00040A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  <w:tcBorders>
              <w:top w:val="single" w:sz="12" w:space="0" w:color="C9C9C9" w:themeColor="accent3" w:themeTint="99"/>
              <w:left w:val="single" w:sz="12" w:space="0" w:color="C9C9C9" w:themeColor="accent3" w:themeTint="99"/>
              <w:right w:val="single" w:sz="12" w:space="0" w:color="C9C9C9" w:themeColor="accent3" w:themeTint="99"/>
            </w:tcBorders>
          </w:tcPr>
          <w:p w14:paraId="55187A95" w14:textId="77777777" w:rsidR="00C50748" w:rsidRPr="00501BA6" w:rsidRDefault="00C50748" w:rsidP="00040A4E">
            <w:pPr>
              <w:spacing w:before="100" w:beforeAutospacing="1" w:after="100" w:afterAutospacing="1" w:line="360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80" w:type="dxa"/>
            <w:tcBorders>
              <w:top w:val="single" w:sz="12" w:space="0" w:color="C9C9C9" w:themeColor="accent3" w:themeTint="99"/>
              <w:left w:val="single" w:sz="12" w:space="0" w:color="C9C9C9" w:themeColor="accent3" w:themeTint="99"/>
              <w:right w:val="single" w:sz="12" w:space="0" w:color="C9C9C9" w:themeColor="accent3" w:themeTint="99"/>
            </w:tcBorders>
          </w:tcPr>
          <w:p w14:paraId="27237D0C" w14:textId="77777777" w:rsidR="00C50748" w:rsidRPr="00353E2B" w:rsidRDefault="00C50748" w:rsidP="00040A4E">
            <w:pPr>
              <w:spacing w:before="100" w:beforeAutospacing="1" w:after="100" w:afterAutospacing="1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353E2B">
              <w:rPr>
                <w:color w:val="000000"/>
                <w:lang w:val="en-US"/>
              </w:rPr>
              <w:t>CD11b</w:t>
            </w:r>
          </w:p>
        </w:tc>
        <w:tc>
          <w:tcPr>
            <w:tcW w:w="1418" w:type="dxa"/>
            <w:tcBorders>
              <w:top w:val="single" w:sz="12" w:space="0" w:color="C9C9C9" w:themeColor="accent3" w:themeTint="99"/>
              <w:left w:val="single" w:sz="12" w:space="0" w:color="C9C9C9" w:themeColor="accent3" w:themeTint="99"/>
              <w:right w:val="single" w:sz="12" w:space="0" w:color="C9C9C9" w:themeColor="accent3" w:themeTint="99"/>
            </w:tcBorders>
          </w:tcPr>
          <w:p w14:paraId="178103D0" w14:textId="77777777" w:rsidR="00C50748" w:rsidRPr="00353E2B" w:rsidRDefault="00C50748" w:rsidP="00040A4E">
            <w:pPr>
              <w:spacing w:before="100" w:beforeAutospacing="1" w:after="100" w:afterAutospacing="1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CX3CR1</w:t>
            </w:r>
          </w:p>
        </w:tc>
        <w:tc>
          <w:tcPr>
            <w:tcW w:w="1559" w:type="dxa"/>
            <w:tcBorders>
              <w:top w:val="single" w:sz="12" w:space="0" w:color="C9C9C9" w:themeColor="accent3" w:themeTint="99"/>
              <w:left w:val="single" w:sz="12" w:space="0" w:color="C9C9C9" w:themeColor="accent3" w:themeTint="99"/>
              <w:right w:val="single" w:sz="12" w:space="0" w:color="C9C9C9" w:themeColor="accent3" w:themeTint="99"/>
            </w:tcBorders>
          </w:tcPr>
          <w:p w14:paraId="4B7BFCDB" w14:textId="77777777" w:rsidR="00C50748" w:rsidRPr="00353E2B" w:rsidRDefault="00C50748" w:rsidP="00040A4E">
            <w:pPr>
              <w:spacing w:before="100" w:beforeAutospacing="1" w:after="100" w:afterAutospacing="1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353E2B">
              <w:rPr>
                <w:color w:val="000000"/>
                <w:lang w:val="en-US"/>
              </w:rPr>
              <w:t>CCR2</w:t>
            </w:r>
          </w:p>
        </w:tc>
        <w:tc>
          <w:tcPr>
            <w:tcW w:w="1436" w:type="dxa"/>
            <w:tcBorders>
              <w:top w:val="single" w:sz="12" w:space="0" w:color="C9C9C9" w:themeColor="accent3" w:themeTint="99"/>
              <w:left w:val="single" w:sz="12" w:space="0" w:color="C9C9C9" w:themeColor="accent3" w:themeTint="99"/>
              <w:right w:val="single" w:sz="12" w:space="0" w:color="C9C9C9" w:themeColor="accent3" w:themeTint="99"/>
            </w:tcBorders>
          </w:tcPr>
          <w:p w14:paraId="6EA04389" w14:textId="77777777" w:rsidR="00C50748" w:rsidRPr="00353E2B" w:rsidRDefault="00C50748" w:rsidP="00040A4E">
            <w:pPr>
              <w:spacing w:before="100" w:beforeAutospacing="1" w:after="100" w:afterAutospacing="1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CD14</w:t>
            </w:r>
          </w:p>
        </w:tc>
        <w:tc>
          <w:tcPr>
            <w:tcW w:w="1399" w:type="dxa"/>
            <w:tcBorders>
              <w:top w:val="single" w:sz="12" w:space="0" w:color="C9C9C9" w:themeColor="accent3" w:themeTint="99"/>
              <w:left w:val="single" w:sz="12" w:space="0" w:color="C9C9C9" w:themeColor="accent3" w:themeTint="99"/>
              <w:right w:val="single" w:sz="12" w:space="0" w:color="C9C9C9" w:themeColor="accent3" w:themeTint="99"/>
            </w:tcBorders>
          </w:tcPr>
          <w:p w14:paraId="154BC0C7" w14:textId="77777777" w:rsidR="00C50748" w:rsidRPr="00353E2B" w:rsidRDefault="00C50748" w:rsidP="00040A4E">
            <w:pPr>
              <w:spacing w:before="100" w:beforeAutospacing="1" w:after="100" w:afterAutospacing="1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CD16a</w:t>
            </w:r>
          </w:p>
        </w:tc>
        <w:tc>
          <w:tcPr>
            <w:tcW w:w="1410" w:type="dxa"/>
            <w:tcBorders>
              <w:top w:val="single" w:sz="12" w:space="0" w:color="C9C9C9" w:themeColor="accent3" w:themeTint="99"/>
              <w:left w:val="single" w:sz="12" w:space="0" w:color="C9C9C9" w:themeColor="accent3" w:themeTint="99"/>
              <w:right w:val="single" w:sz="12" w:space="0" w:color="C9C9C9" w:themeColor="accent3" w:themeTint="99"/>
            </w:tcBorders>
          </w:tcPr>
          <w:p w14:paraId="162F5C40" w14:textId="77777777" w:rsidR="00C50748" w:rsidRPr="00353E2B" w:rsidRDefault="00C50748" w:rsidP="00040A4E">
            <w:pPr>
              <w:spacing w:before="100" w:beforeAutospacing="1" w:after="100" w:afterAutospacing="1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CD16b</w:t>
            </w:r>
          </w:p>
        </w:tc>
      </w:tr>
      <w:tr w:rsidR="00C50748" w:rsidRPr="00501BA6" w14:paraId="4A6AFC7D" w14:textId="77777777" w:rsidTr="00040A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14:paraId="48F3DCC0" w14:textId="77777777" w:rsidR="00C50748" w:rsidRPr="00353E2B" w:rsidRDefault="00C50748" w:rsidP="00040A4E">
            <w:pPr>
              <w:spacing w:before="100" w:beforeAutospacing="1" w:after="100" w:afterAutospacing="1" w:line="36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MELD</w:t>
            </w:r>
          </w:p>
        </w:tc>
        <w:tc>
          <w:tcPr>
            <w:tcW w:w="1380" w:type="dxa"/>
          </w:tcPr>
          <w:p w14:paraId="4E687D47" w14:textId="77777777" w:rsidR="00C50748" w:rsidRPr="00353E2B" w:rsidRDefault="00C50748" w:rsidP="00040A4E">
            <w:pPr>
              <w:spacing w:before="100" w:beforeAutospacing="1" w:after="100" w:afterAutospacing="1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353E2B">
              <w:rPr>
                <w:color w:val="000000"/>
                <w:lang w:val="en-US"/>
              </w:rPr>
              <w:t>0.05</w:t>
            </w:r>
            <w:r>
              <w:rPr>
                <w:color w:val="000000"/>
                <w:lang w:val="en-US"/>
              </w:rPr>
              <w:t xml:space="preserve"> (</w:t>
            </w:r>
            <w:r w:rsidRPr="00353E2B">
              <w:rPr>
                <w:color w:val="000000"/>
                <w:lang w:val="en-US"/>
              </w:rPr>
              <w:t>0.87</w:t>
            </w:r>
            <w:r>
              <w:rPr>
                <w:color w:val="000000"/>
                <w:lang w:val="en-US"/>
              </w:rPr>
              <w:t>)</w:t>
            </w:r>
          </w:p>
        </w:tc>
        <w:tc>
          <w:tcPr>
            <w:tcW w:w="1418" w:type="dxa"/>
          </w:tcPr>
          <w:p w14:paraId="199AEA3B" w14:textId="77777777" w:rsidR="00C50748" w:rsidRPr="00353E2B" w:rsidRDefault="00C50748" w:rsidP="00040A4E">
            <w:pPr>
              <w:spacing w:before="100" w:beforeAutospacing="1" w:after="100" w:afterAutospacing="1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-0.27 (0.39)</w:t>
            </w:r>
          </w:p>
        </w:tc>
        <w:tc>
          <w:tcPr>
            <w:tcW w:w="1559" w:type="dxa"/>
          </w:tcPr>
          <w:p w14:paraId="6718A050" w14:textId="77777777" w:rsidR="00C50748" w:rsidRPr="00353E2B" w:rsidRDefault="00C50748" w:rsidP="00040A4E">
            <w:pPr>
              <w:spacing w:before="100" w:beforeAutospacing="1" w:after="100" w:afterAutospacing="1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353E2B">
              <w:rPr>
                <w:color w:val="000000"/>
                <w:lang w:val="en-US"/>
              </w:rPr>
              <w:t>-0.37</w:t>
            </w:r>
            <w:r>
              <w:rPr>
                <w:color w:val="000000"/>
                <w:lang w:val="en-US"/>
              </w:rPr>
              <w:t xml:space="preserve"> (</w:t>
            </w:r>
            <w:r w:rsidRPr="00353E2B">
              <w:rPr>
                <w:color w:val="000000"/>
                <w:lang w:val="en-US"/>
              </w:rPr>
              <w:t>0.23</w:t>
            </w:r>
            <w:r>
              <w:rPr>
                <w:color w:val="000000"/>
                <w:lang w:val="en-US"/>
              </w:rPr>
              <w:t>)</w:t>
            </w:r>
          </w:p>
        </w:tc>
        <w:tc>
          <w:tcPr>
            <w:tcW w:w="1436" w:type="dxa"/>
          </w:tcPr>
          <w:p w14:paraId="36CB16D2" w14:textId="77777777" w:rsidR="00C50748" w:rsidRPr="00353E2B" w:rsidRDefault="00C50748" w:rsidP="00040A4E">
            <w:pPr>
              <w:spacing w:before="100" w:beforeAutospacing="1" w:after="100" w:afterAutospacing="1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-0.30 (0.35)</w:t>
            </w:r>
          </w:p>
        </w:tc>
        <w:tc>
          <w:tcPr>
            <w:tcW w:w="1399" w:type="dxa"/>
          </w:tcPr>
          <w:p w14:paraId="28375680" w14:textId="77777777" w:rsidR="00C50748" w:rsidRPr="00353E2B" w:rsidRDefault="00C50748" w:rsidP="00040A4E">
            <w:pPr>
              <w:spacing w:before="100" w:beforeAutospacing="1" w:after="100" w:afterAutospacing="1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-0.03 (0.93)</w:t>
            </w:r>
          </w:p>
        </w:tc>
        <w:tc>
          <w:tcPr>
            <w:tcW w:w="1410" w:type="dxa"/>
          </w:tcPr>
          <w:p w14:paraId="6DFE28AA" w14:textId="77777777" w:rsidR="00C50748" w:rsidRPr="00353E2B" w:rsidRDefault="00C50748" w:rsidP="00040A4E">
            <w:pPr>
              <w:spacing w:before="100" w:beforeAutospacing="1" w:after="100" w:afterAutospacing="1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0.27 (0.39)</w:t>
            </w:r>
          </w:p>
        </w:tc>
      </w:tr>
      <w:tr w:rsidR="00C50748" w:rsidRPr="00501BA6" w14:paraId="212662BE" w14:textId="77777777" w:rsidTr="00040A4E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14:paraId="056535A2" w14:textId="77777777" w:rsidR="00C50748" w:rsidRPr="00353E2B" w:rsidRDefault="00C50748" w:rsidP="00040A4E">
            <w:pPr>
              <w:spacing w:before="100" w:beforeAutospacing="1" w:after="100" w:afterAutospacing="1" w:line="36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GAHS</w:t>
            </w:r>
          </w:p>
        </w:tc>
        <w:tc>
          <w:tcPr>
            <w:tcW w:w="1380" w:type="dxa"/>
          </w:tcPr>
          <w:p w14:paraId="16C742BF" w14:textId="77777777" w:rsidR="00C50748" w:rsidRPr="00353E2B" w:rsidRDefault="00C50748" w:rsidP="00040A4E">
            <w:pPr>
              <w:spacing w:before="100" w:beforeAutospacing="1"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353E2B">
              <w:rPr>
                <w:color w:val="000000"/>
                <w:lang w:val="en-US"/>
              </w:rPr>
              <w:t>0.21</w:t>
            </w:r>
            <w:r>
              <w:rPr>
                <w:color w:val="000000"/>
                <w:lang w:val="en-US"/>
              </w:rPr>
              <w:t xml:space="preserve"> (</w:t>
            </w:r>
            <w:r w:rsidRPr="00353E2B">
              <w:rPr>
                <w:color w:val="000000"/>
                <w:lang w:val="en-US"/>
              </w:rPr>
              <w:t>0.51</w:t>
            </w:r>
            <w:r>
              <w:rPr>
                <w:color w:val="000000"/>
                <w:lang w:val="en-US"/>
              </w:rPr>
              <w:t>)</w:t>
            </w:r>
          </w:p>
        </w:tc>
        <w:tc>
          <w:tcPr>
            <w:tcW w:w="1418" w:type="dxa"/>
          </w:tcPr>
          <w:p w14:paraId="75586A62" w14:textId="77777777" w:rsidR="00C50748" w:rsidRPr="00353E2B" w:rsidRDefault="00C50748" w:rsidP="00040A4E">
            <w:pPr>
              <w:spacing w:before="100" w:beforeAutospacing="1"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-0.14 (0.66)</w:t>
            </w:r>
          </w:p>
        </w:tc>
        <w:tc>
          <w:tcPr>
            <w:tcW w:w="1559" w:type="dxa"/>
          </w:tcPr>
          <w:p w14:paraId="5BF61900" w14:textId="77777777" w:rsidR="00C50748" w:rsidRPr="00353E2B" w:rsidRDefault="00C50748" w:rsidP="00040A4E">
            <w:pPr>
              <w:spacing w:before="100" w:beforeAutospacing="1"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353E2B">
              <w:rPr>
                <w:color w:val="000000"/>
                <w:lang w:val="en-US"/>
              </w:rPr>
              <w:t>-0.38</w:t>
            </w:r>
            <w:r>
              <w:rPr>
                <w:color w:val="000000"/>
                <w:lang w:val="en-US"/>
              </w:rPr>
              <w:t xml:space="preserve"> (</w:t>
            </w:r>
            <w:r w:rsidRPr="00353E2B">
              <w:rPr>
                <w:color w:val="000000"/>
                <w:lang w:val="en-US"/>
              </w:rPr>
              <w:t>0.22</w:t>
            </w:r>
            <w:r>
              <w:rPr>
                <w:color w:val="000000"/>
                <w:lang w:val="en-US"/>
              </w:rPr>
              <w:t>)</w:t>
            </w:r>
          </w:p>
        </w:tc>
        <w:tc>
          <w:tcPr>
            <w:tcW w:w="1436" w:type="dxa"/>
          </w:tcPr>
          <w:p w14:paraId="0B2A0851" w14:textId="77777777" w:rsidR="00C50748" w:rsidRPr="00353E2B" w:rsidRDefault="00C50748" w:rsidP="00040A4E">
            <w:pPr>
              <w:spacing w:before="100" w:beforeAutospacing="1"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-0.49 (0.11)</w:t>
            </w:r>
          </w:p>
        </w:tc>
        <w:tc>
          <w:tcPr>
            <w:tcW w:w="1399" w:type="dxa"/>
          </w:tcPr>
          <w:p w14:paraId="668DD3CE" w14:textId="77777777" w:rsidR="00C50748" w:rsidRPr="00353E2B" w:rsidRDefault="00C50748" w:rsidP="00040A4E">
            <w:pPr>
              <w:spacing w:before="100" w:beforeAutospacing="1"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0.09 (0.78)</w:t>
            </w:r>
          </w:p>
        </w:tc>
        <w:tc>
          <w:tcPr>
            <w:tcW w:w="1410" w:type="dxa"/>
          </w:tcPr>
          <w:p w14:paraId="6A037181" w14:textId="77777777" w:rsidR="00C50748" w:rsidRPr="00353E2B" w:rsidRDefault="00C50748" w:rsidP="00040A4E">
            <w:pPr>
              <w:spacing w:before="100" w:beforeAutospacing="1"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0.43 (0.16)</w:t>
            </w:r>
          </w:p>
        </w:tc>
      </w:tr>
      <w:tr w:rsidR="00C50748" w:rsidRPr="00501BA6" w14:paraId="2C19DD5F" w14:textId="77777777" w:rsidTr="00040A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14:paraId="58A6D6AF" w14:textId="77777777" w:rsidR="00C50748" w:rsidRPr="00353E2B" w:rsidRDefault="00C50748" w:rsidP="00040A4E">
            <w:pPr>
              <w:spacing w:before="100" w:beforeAutospacing="1" w:after="100" w:afterAutospacing="1" w:line="360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CP</w:t>
            </w:r>
          </w:p>
        </w:tc>
        <w:tc>
          <w:tcPr>
            <w:tcW w:w="1380" w:type="dxa"/>
          </w:tcPr>
          <w:p w14:paraId="1386D23E" w14:textId="77777777" w:rsidR="00C50748" w:rsidRPr="00353E2B" w:rsidRDefault="00C50748" w:rsidP="00040A4E">
            <w:pPr>
              <w:spacing w:before="100" w:beforeAutospacing="1" w:after="100" w:afterAutospacing="1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353E2B">
              <w:rPr>
                <w:color w:val="000000"/>
                <w:lang w:val="en-US"/>
              </w:rPr>
              <w:t>0.30</w:t>
            </w:r>
            <w:r>
              <w:rPr>
                <w:color w:val="000000"/>
                <w:lang w:val="en-US"/>
              </w:rPr>
              <w:t xml:space="preserve"> (</w:t>
            </w:r>
            <w:r w:rsidRPr="00353E2B">
              <w:rPr>
                <w:color w:val="000000"/>
                <w:lang w:val="en-US"/>
              </w:rPr>
              <w:t>0.33</w:t>
            </w:r>
            <w:r>
              <w:rPr>
                <w:color w:val="000000"/>
                <w:lang w:val="en-US"/>
              </w:rPr>
              <w:t>)</w:t>
            </w:r>
          </w:p>
        </w:tc>
        <w:tc>
          <w:tcPr>
            <w:tcW w:w="1418" w:type="dxa"/>
          </w:tcPr>
          <w:p w14:paraId="363C3FC2" w14:textId="77777777" w:rsidR="00C50748" w:rsidRPr="00353E2B" w:rsidRDefault="00C50748" w:rsidP="00040A4E">
            <w:pPr>
              <w:spacing w:before="100" w:beforeAutospacing="1" w:after="100" w:afterAutospacing="1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0.04 (0.90)</w:t>
            </w:r>
          </w:p>
        </w:tc>
        <w:tc>
          <w:tcPr>
            <w:tcW w:w="1559" w:type="dxa"/>
          </w:tcPr>
          <w:p w14:paraId="4066C7E6" w14:textId="77777777" w:rsidR="00C50748" w:rsidRPr="00353E2B" w:rsidRDefault="00C50748" w:rsidP="00040A4E">
            <w:pPr>
              <w:spacing w:before="100" w:beforeAutospacing="1" w:after="100" w:afterAutospacing="1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 w:rsidRPr="00353E2B">
              <w:rPr>
                <w:color w:val="000000"/>
                <w:lang w:val="en-US"/>
              </w:rPr>
              <w:t>0.03</w:t>
            </w:r>
            <w:r>
              <w:rPr>
                <w:color w:val="000000"/>
                <w:lang w:val="en-US"/>
              </w:rPr>
              <w:t xml:space="preserve"> (0</w:t>
            </w:r>
            <w:r w:rsidRPr="00353E2B">
              <w:rPr>
                <w:color w:val="000000"/>
                <w:lang w:val="en-US"/>
              </w:rPr>
              <w:t>.94</w:t>
            </w:r>
            <w:r>
              <w:rPr>
                <w:color w:val="000000"/>
                <w:lang w:val="en-US"/>
              </w:rPr>
              <w:t>)</w:t>
            </w:r>
          </w:p>
        </w:tc>
        <w:tc>
          <w:tcPr>
            <w:tcW w:w="1436" w:type="dxa"/>
          </w:tcPr>
          <w:p w14:paraId="420F94E7" w14:textId="77777777" w:rsidR="00C50748" w:rsidRPr="00353E2B" w:rsidRDefault="00C50748" w:rsidP="00040A4E">
            <w:pPr>
              <w:spacing w:before="100" w:beforeAutospacing="1" w:after="100" w:afterAutospacing="1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-0.52 (0.09)</w:t>
            </w:r>
          </w:p>
        </w:tc>
        <w:tc>
          <w:tcPr>
            <w:tcW w:w="1399" w:type="dxa"/>
          </w:tcPr>
          <w:p w14:paraId="6AD02D4B" w14:textId="77777777" w:rsidR="00C50748" w:rsidRPr="00353E2B" w:rsidRDefault="00C50748" w:rsidP="00040A4E">
            <w:pPr>
              <w:spacing w:before="100" w:beforeAutospacing="1" w:after="100" w:afterAutospacing="1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0.23 (0.47)</w:t>
            </w:r>
          </w:p>
        </w:tc>
        <w:tc>
          <w:tcPr>
            <w:tcW w:w="1410" w:type="dxa"/>
          </w:tcPr>
          <w:p w14:paraId="4F668C1C" w14:textId="77777777" w:rsidR="00C50748" w:rsidRPr="00353E2B" w:rsidRDefault="00C50748" w:rsidP="00040A4E">
            <w:pPr>
              <w:spacing w:before="100" w:beforeAutospacing="1" w:after="100" w:afterAutospacing="1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0.62 (</w:t>
            </w:r>
            <w:proofErr w:type="gramStart"/>
            <w:r>
              <w:rPr>
                <w:color w:val="000000"/>
                <w:lang w:val="en-US"/>
              </w:rPr>
              <w:t>0.03)*</w:t>
            </w:r>
            <w:proofErr w:type="gramEnd"/>
          </w:p>
        </w:tc>
      </w:tr>
      <w:tr w:rsidR="00C50748" w:rsidRPr="00501BA6" w14:paraId="57A06212" w14:textId="77777777" w:rsidTr="00040A4E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" w:type="dxa"/>
          </w:tcPr>
          <w:p w14:paraId="774E5F1F" w14:textId="77777777" w:rsidR="00C50748" w:rsidRPr="00353E2B" w:rsidRDefault="00C50748" w:rsidP="00040A4E">
            <w:pPr>
              <w:spacing w:before="100" w:beforeAutospacing="1" w:after="100" w:afterAutospacing="1" w:line="360" w:lineRule="auto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CRP</w:t>
            </w:r>
          </w:p>
        </w:tc>
        <w:tc>
          <w:tcPr>
            <w:tcW w:w="1380" w:type="dxa"/>
          </w:tcPr>
          <w:p w14:paraId="14A431C2" w14:textId="77777777" w:rsidR="00C50748" w:rsidRPr="00353E2B" w:rsidRDefault="00C50748" w:rsidP="00040A4E">
            <w:pPr>
              <w:spacing w:before="100" w:beforeAutospacing="1"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  <w:r w:rsidRPr="00353E2B">
              <w:rPr>
                <w:color w:val="000000"/>
                <w:lang w:val="en-US"/>
              </w:rPr>
              <w:t>0.07</w:t>
            </w:r>
            <w:r>
              <w:rPr>
                <w:color w:val="000000"/>
                <w:lang w:val="en-US"/>
              </w:rPr>
              <w:t xml:space="preserve"> (</w:t>
            </w:r>
            <w:r w:rsidRPr="00353E2B">
              <w:rPr>
                <w:color w:val="000000"/>
                <w:lang w:val="en-US"/>
              </w:rPr>
              <w:t>0.83</w:t>
            </w:r>
            <w:r>
              <w:rPr>
                <w:color w:val="000000"/>
                <w:lang w:val="en-US"/>
              </w:rPr>
              <w:t>)</w:t>
            </w:r>
          </w:p>
        </w:tc>
        <w:tc>
          <w:tcPr>
            <w:tcW w:w="1418" w:type="dxa"/>
          </w:tcPr>
          <w:p w14:paraId="7A159EF0" w14:textId="77777777" w:rsidR="00C50748" w:rsidRPr="00353E2B" w:rsidRDefault="00C50748" w:rsidP="00040A4E">
            <w:pPr>
              <w:spacing w:before="100" w:beforeAutospacing="1"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0.03 (0.92)</w:t>
            </w:r>
          </w:p>
        </w:tc>
        <w:tc>
          <w:tcPr>
            <w:tcW w:w="1559" w:type="dxa"/>
          </w:tcPr>
          <w:p w14:paraId="2A7F579F" w14:textId="77777777" w:rsidR="00C50748" w:rsidRPr="00353E2B" w:rsidRDefault="00C50748" w:rsidP="00040A4E">
            <w:pPr>
              <w:spacing w:before="100" w:beforeAutospacing="1"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lang w:val="en-US"/>
              </w:rPr>
            </w:pPr>
            <w:r w:rsidRPr="00353E2B">
              <w:rPr>
                <w:color w:val="000000"/>
                <w:lang w:val="en-US"/>
              </w:rPr>
              <w:t>-0.14</w:t>
            </w:r>
            <w:r>
              <w:rPr>
                <w:color w:val="000000"/>
                <w:lang w:val="en-US"/>
              </w:rPr>
              <w:t xml:space="preserve"> (</w:t>
            </w:r>
            <w:r w:rsidRPr="00353E2B">
              <w:rPr>
                <w:color w:val="000000"/>
                <w:lang w:val="en-US"/>
              </w:rPr>
              <w:t>0.66</w:t>
            </w:r>
            <w:r>
              <w:rPr>
                <w:color w:val="000000"/>
                <w:lang w:val="en-US"/>
              </w:rPr>
              <w:t>)</w:t>
            </w:r>
          </w:p>
        </w:tc>
        <w:tc>
          <w:tcPr>
            <w:tcW w:w="1436" w:type="dxa"/>
          </w:tcPr>
          <w:p w14:paraId="7251411B" w14:textId="77777777" w:rsidR="00C50748" w:rsidRPr="00353E2B" w:rsidRDefault="00C50748" w:rsidP="00040A4E">
            <w:pPr>
              <w:spacing w:before="100" w:beforeAutospacing="1"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-0.19 (0.56)</w:t>
            </w:r>
          </w:p>
        </w:tc>
        <w:tc>
          <w:tcPr>
            <w:tcW w:w="1399" w:type="dxa"/>
          </w:tcPr>
          <w:p w14:paraId="323B9A8D" w14:textId="77777777" w:rsidR="00C50748" w:rsidRPr="00353E2B" w:rsidRDefault="00C50748" w:rsidP="00040A4E">
            <w:pPr>
              <w:spacing w:before="100" w:beforeAutospacing="1"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-0.07 (0.83)</w:t>
            </w:r>
          </w:p>
        </w:tc>
        <w:tc>
          <w:tcPr>
            <w:tcW w:w="1410" w:type="dxa"/>
          </w:tcPr>
          <w:p w14:paraId="33A4E2DF" w14:textId="77777777" w:rsidR="00C50748" w:rsidRPr="00353E2B" w:rsidRDefault="00C50748" w:rsidP="00040A4E">
            <w:pPr>
              <w:spacing w:before="100" w:beforeAutospacing="1" w:after="100" w:afterAutospacing="1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0.01 (0.99)</w:t>
            </w:r>
          </w:p>
        </w:tc>
      </w:tr>
    </w:tbl>
    <w:p w14:paraId="3EDF3D4E" w14:textId="77777777" w:rsidR="00C50748" w:rsidRPr="00CA49B8" w:rsidRDefault="00C50748" w:rsidP="00C50748">
      <w:pPr>
        <w:spacing w:line="360" w:lineRule="auto"/>
        <w:rPr>
          <w:i/>
          <w:iCs/>
          <w:lang w:val="en-US"/>
        </w:rPr>
      </w:pPr>
      <w:r>
        <w:rPr>
          <w:i/>
          <w:iCs/>
          <w:lang w:val="en-US"/>
        </w:rPr>
        <w:t xml:space="preserve">Data assessed by spearman correlation and presented as r (p). Asterix (*) marks a significant correlation and p value &lt; 0.05. </w:t>
      </w:r>
      <w:r w:rsidRPr="00957EC3">
        <w:rPr>
          <w:i/>
          <w:iCs/>
          <w:lang w:val="en-GB"/>
        </w:rPr>
        <w:t>(</w:t>
      </w:r>
      <w:r>
        <w:rPr>
          <w:i/>
          <w:iCs/>
          <w:lang w:val="en-GB"/>
        </w:rPr>
        <w:t xml:space="preserve">MELD: </w:t>
      </w:r>
      <w:r w:rsidRPr="00957EC3">
        <w:rPr>
          <w:i/>
          <w:iCs/>
          <w:lang w:val="en-GB"/>
        </w:rPr>
        <w:t xml:space="preserve">Model for End-Stage Liver Disease, </w:t>
      </w:r>
      <w:r>
        <w:rPr>
          <w:i/>
          <w:iCs/>
          <w:lang w:val="en-GB"/>
        </w:rPr>
        <w:t xml:space="preserve">GAHS: </w:t>
      </w:r>
      <w:r w:rsidRPr="00957EC3">
        <w:rPr>
          <w:i/>
          <w:iCs/>
          <w:lang w:val="en-GB"/>
        </w:rPr>
        <w:t>Glasgow Alcoholic Hepatitis Score</w:t>
      </w:r>
      <w:r>
        <w:rPr>
          <w:i/>
          <w:iCs/>
          <w:lang w:val="en-GB"/>
        </w:rPr>
        <w:t xml:space="preserve"> and</w:t>
      </w:r>
      <w:r w:rsidRPr="00957EC3">
        <w:rPr>
          <w:i/>
          <w:iCs/>
          <w:lang w:val="en-GB"/>
        </w:rPr>
        <w:t xml:space="preserve"> </w:t>
      </w:r>
      <w:r>
        <w:rPr>
          <w:i/>
          <w:iCs/>
          <w:lang w:val="en-GB"/>
        </w:rPr>
        <w:t xml:space="preserve">CP: </w:t>
      </w:r>
      <w:r w:rsidRPr="00957EC3">
        <w:rPr>
          <w:i/>
          <w:iCs/>
          <w:lang w:val="en-GB"/>
        </w:rPr>
        <w:t>Child-Pugh Score</w:t>
      </w:r>
      <w:r>
        <w:rPr>
          <w:i/>
          <w:iCs/>
          <w:lang w:val="en-GB"/>
        </w:rPr>
        <w:t>). RPKM; Reads Per Kilobase Million.</w:t>
      </w:r>
    </w:p>
    <w:p w14:paraId="1BCAFB82" w14:textId="18A261BD" w:rsidR="00B42EF2" w:rsidRDefault="00B42EF2">
      <w:r>
        <w:br w:type="page"/>
      </w:r>
    </w:p>
    <w:p w14:paraId="288C4D67" w14:textId="3FCEEC43" w:rsidR="00C50748" w:rsidRDefault="00B42EF2">
      <w:r>
        <w:rPr>
          <w:noProof/>
        </w:rPr>
        <w:lastRenderedPageBreak/>
        <w:drawing>
          <wp:inline distT="0" distB="0" distL="0" distR="0" wp14:anchorId="004AA009" wp14:editId="4365DBC0">
            <wp:extent cx="5957093" cy="136110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80" t="36748" r="11217" b="38191"/>
                    <a:stretch/>
                  </pic:blipFill>
                  <pic:spPr bwMode="auto">
                    <a:xfrm>
                      <a:off x="0" y="0"/>
                      <a:ext cx="6009152" cy="1372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CD74D3" w14:textId="590FD9CB" w:rsidR="00B42EF2" w:rsidRPr="002E2351" w:rsidRDefault="00B42EF2" w:rsidP="00B42EF2">
      <w:pPr>
        <w:spacing w:line="360" w:lineRule="auto"/>
        <w:rPr>
          <w:i/>
          <w:iCs/>
          <w:lang w:val="en-US"/>
        </w:rPr>
      </w:pPr>
      <w:r w:rsidRPr="00002852">
        <w:rPr>
          <w:i/>
          <w:iCs/>
          <w:lang w:val="en-GB"/>
        </w:rPr>
        <w:t xml:space="preserve">Figure </w:t>
      </w:r>
      <w:r>
        <w:rPr>
          <w:i/>
          <w:iCs/>
          <w:lang w:val="en-GB"/>
        </w:rPr>
        <w:t>S1</w:t>
      </w:r>
      <w:r w:rsidRPr="00002852">
        <w:rPr>
          <w:i/>
          <w:iCs/>
          <w:lang w:val="en-GB"/>
        </w:rPr>
        <w:t>.</w:t>
      </w:r>
      <w:r w:rsidRPr="00657C1F">
        <w:rPr>
          <w:i/>
          <w:iCs/>
          <w:lang w:val="en-US"/>
        </w:rPr>
        <w:t xml:space="preserve"> </w:t>
      </w:r>
      <w:r w:rsidRPr="00002852">
        <w:rPr>
          <w:i/>
          <w:iCs/>
          <w:lang w:val="en-US"/>
        </w:rPr>
        <w:t>Gating strategy.</w:t>
      </w:r>
      <w:r w:rsidR="002E2351">
        <w:rPr>
          <w:i/>
          <w:iCs/>
          <w:lang w:val="en-US"/>
        </w:rPr>
        <w:t xml:space="preserve"> Monocytes were first gated on forward scatter (FSC-A) versus side scatter (SSC-A). Then, single cells were gated based on </w:t>
      </w:r>
      <w:r w:rsidR="002E2351">
        <w:rPr>
          <w:i/>
          <w:iCs/>
          <w:lang w:val="en-US"/>
        </w:rPr>
        <w:t>forward scatter area</w:t>
      </w:r>
      <w:r w:rsidR="002E2351">
        <w:rPr>
          <w:i/>
          <w:iCs/>
          <w:lang w:val="en-US"/>
        </w:rPr>
        <w:t xml:space="preserve"> (FSC-A) versus </w:t>
      </w:r>
      <w:r w:rsidR="002E2351">
        <w:rPr>
          <w:i/>
          <w:iCs/>
          <w:lang w:val="en-US"/>
        </w:rPr>
        <w:t>forward scatter height</w:t>
      </w:r>
      <w:r w:rsidR="002E2351">
        <w:rPr>
          <w:i/>
          <w:iCs/>
          <w:lang w:val="en-US"/>
        </w:rPr>
        <w:t xml:space="preserve"> (FSC-H). </w:t>
      </w:r>
      <w:r w:rsidR="002E2351" w:rsidRPr="002E2351">
        <w:rPr>
          <w:i/>
          <w:iCs/>
          <w:lang w:val="en-US"/>
        </w:rPr>
        <w:t xml:space="preserve">Anti-CD56 and </w:t>
      </w:r>
      <w:proofErr w:type="spellStart"/>
      <w:r w:rsidR="002E2351" w:rsidRPr="002E2351">
        <w:rPr>
          <w:i/>
          <w:iCs/>
          <w:lang w:val="en-US"/>
        </w:rPr>
        <w:t>LiveDead</w:t>
      </w:r>
      <w:proofErr w:type="spellEnd"/>
      <w:r w:rsidR="002E2351" w:rsidRPr="002E2351">
        <w:rPr>
          <w:i/>
          <w:iCs/>
          <w:lang w:val="en-US"/>
        </w:rPr>
        <w:t xml:space="preserve"> staining were combined in a dump channel to exclude dead cells and natural killer (NK) cells</w:t>
      </w:r>
      <w:r w:rsidR="002E2351">
        <w:rPr>
          <w:i/>
          <w:iCs/>
          <w:lang w:val="en-US"/>
        </w:rPr>
        <w:t>. Finally, monocytes were di</w:t>
      </w:r>
      <w:r w:rsidR="002E2351" w:rsidRPr="002E2351">
        <w:rPr>
          <w:i/>
          <w:iCs/>
          <w:lang w:val="en-US"/>
        </w:rPr>
        <w:t>vide</w:t>
      </w:r>
      <w:r w:rsidR="002E2351" w:rsidRPr="002E2351">
        <w:rPr>
          <w:i/>
          <w:iCs/>
          <w:lang w:val="en-US"/>
        </w:rPr>
        <w:t>d</w:t>
      </w:r>
      <w:r w:rsidR="002E2351" w:rsidRPr="002E2351">
        <w:rPr>
          <w:i/>
          <w:iCs/>
          <w:lang w:val="en-US"/>
        </w:rPr>
        <w:t xml:space="preserve"> into three subsets based on their expression of CD14 and CD16; classical (CD14highCD16neg), non-classical (CD14lowCD16pos) and intermediate (CD14highCD16pos)</w:t>
      </w:r>
      <w:r w:rsidR="002E2351">
        <w:rPr>
          <w:i/>
          <w:iCs/>
          <w:lang w:val="en-US"/>
        </w:rPr>
        <w:t>.</w:t>
      </w:r>
    </w:p>
    <w:p w14:paraId="0351C561" w14:textId="77777777" w:rsidR="00B42EF2" w:rsidRDefault="00B42EF2"/>
    <w:sectPr w:rsidR="00B42EF2" w:rsidSect="00010C92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AB42A1"/>
    <w:multiLevelType w:val="hybridMultilevel"/>
    <w:tmpl w:val="6062277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519C8"/>
    <w:multiLevelType w:val="hybridMultilevel"/>
    <w:tmpl w:val="6E4278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748"/>
    <w:rsid w:val="00010C92"/>
    <w:rsid w:val="00046A0D"/>
    <w:rsid w:val="00066840"/>
    <w:rsid w:val="00072EDD"/>
    <w:rsid w:val="0007523D"/>
    <w:rsid w:val="000B7B43"/>
    <w:rsid w:val="000D334F"/>
    <w:rsid w:val="000D45BF"/>
    <w:rsid w:val="000D60C5"/>
    <w:rsid w:val="000F0885"/>
    <w:rsid w:val="00101447"/>
    <w:rsid w:val="001051B0"/>
    <w:rsid w:val="00145198"/>
    <w:rsid w:val="00164867"/>
    <w:rsid w:val="00181C10"/>
    <w:rsid w:val="001C2EF5"/>
    <w:rsid w:val="001C71AA"/>
    <w:rsid w:val="002033BA"/>
    <w:rsid w:val="00265FFD"/>
    <w:rsid w:val="002C6705"/>
    <w:rsid w:val="002D2422"/>
    <w:rsid w:val="002E2351"/>
    <w:rsid w:val="0036011E"/>
    <w:rsid w:val="003608DC"/>
    <w:rsid w:val="00372F30"/>
    <w:rsid w:val="003857C1"/>
    <w:rsid w:val="003D76DC"/>
    <w:rsid w:val="003E6CF5"/>
    <w:rsid w:val="003F6C20"/>
    <w:rsid w:val="0040739E"/>
    <w:rsid w:val="0042334A"/>
    <w:rsid w:val="0043036A"/>
    <w:rsid w:val="00440A32"/>
    <w:rsid w:val="00452A50"/>
    <w:rsid w:val="00485285"/>
    <w:rsid w:val="00494805"/>
    <w:rsid w:val="004D21C9"/>
    <w:rsid w:val="004D6727"/>
    <w:rsid w:val="004E24CF"/>
    <w:rsid w:val="00516130"/>
    <w:rsid w:val="005309F9"/>
    <w:rsid w:val="00545741"/>
    <w:rsid w:val="005958B9"/>
    <w:rsid w:val="005958F1"/>
    <w:rsid w:val="005B7155"/>
    <w:rsid w:val="005C6E6D"/>
    <w:rsid w:val="005D723E"/>
    <w:rsid w:val="0064562F"/>
    <w:rsid w:val="006B5FA9"/>
    <w:rsid w:val="006F6F1A"/>
    <w:rsid w:val="0070444D"/>
    <w:rsid w:val="00717227"/>
    <w:rsid w:val="007260EB"/>
    <w:rsid w:val="00770581"/>
    <w:rsid w:val="007953AA"/>
    <w:rsid w:val="007A749C"/>
    <w:rsid w:val="007C2459"/>
    <w:rsid w:val="007C33BD"/>
    <w:rsid w:val="007E4DA1"/>
    <w:rsid w:val="007F58F9"/>
    <w:rsid w:val="0082430F"/>
    <w:rsid w:val="00830B17"/>
    <w:rsid w:val="00844D9B"/>
    <w:rsid w:val="00884C37"/>
    <w:rsid w:val="008A388A"/>
    <w:rsid w:val="008C3670"/>
    <w:rsid w:val="008C57C2"/>
    <w:rsid w:val="008D5048"/>
    <w:rsid w:val="00932EB9"/>
    <w:rsid w:val="00933325"/>
    <w:rsid w:val="00936E3B"/>
    <w:rsid w:val="00944A40"/>
    <w:rsid w:val="00972C31"/>
    <w:rsid w:val="00993948"/>
    <w:rsid w:val="0099779E"/>
    <w:rsid w:val="00A06621"/>
    <w:rsid w:val="00A265DE"/>
    <w:rsid w:val="00A444F6"/>
    <w:rsid w:val="00A54037"/>
    <w:rsid w:val="00A87037"/>
    <w:rsid w:val="00B03CF4"/>
    <w:rsid w:val="00B20D57"/>
    <w:rsid w:val="00B30832"/>
    <w:rsid w:val="00B42EF2"/>
    <w:rsid w:val="00B63578"/>
    <w:rsid w:val="00B64A35"/>
    <w:rsid w:val="00B6759A"/>
    <w:rsid w:val="00B70D12"/>
    <w:rsid w:val="00B83D2F"/>
    <w:rsid w:val="00BA750C"/>
    <w:rsid w:val="00C21127"/>
    <w:rsid w:val="00C23AA9"/>
    <w:rsid w:val="00C24388"/>
    <w:rsid w:val="00C44120"/>
    <w:rsid w:val="00C50748"/>
    <w:rsid w:val="00C82FA2"/>
    <w:rsid w:val="00C86F51"/>
    <w:rsid w:val="00CB68B0"/>
    <w:rsid w:val="00CD26EE"/>
    <w:rsid w:val="00D32EFC"/>
    <w:rsid w:val="00D47890"/>
    <w:rsid w:val="00D665A6"/>
    <w:rsid w:val="00D84E68"/>
    <w:rsid w:val="00DA07CF"/>
    <w:rsid w:val="00DA512A"/>
    <w:rsid w:val="00E03D03"/>
    <w:rsid w:val="00E06175"/>
    <w:rsid w:val="00E379E8"/>
    <w:rsid w:val="00E466F6"/>
    <w:rsid w:val="00E85D0A"/>
    <w:rsid w:val="00EB4029"/>
    <w:rsid w:val="00ED078C"/>
    <w:rsid w:val="00ED7F4A"/>
    <w:rsid w:val="00EE20CB"/>
    <w:rsid w:val="00EE35E7"/>
    <w:rsid w:val="00F44C2D"/>
    <w:rsid w:val="00F5613B"/>
    <w:rsid w:val="00F65E63"/>
    <w:rsid w:val="00F80F48"/>
    <w:rsid w:val="00FC02F9"/>
    <w:rsid w:val="00FD2FDE"/>
    <w:rsid w:val="00FE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0D977"/>
  <w14:defaultImageDpi w14:val="32767"/>
  <w15:chartTrackingRefBased/>
  <w15:docId w15:val="{F93241DF-2DB2-224C-A36F-B02C61777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507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Gittertabel2-farve3">
    <w:name w:val="Grid Table 2 Accent 3"/>
    <w:basedOn w:val="Tabel-Normal"/>
    <w:uiPriority w:val="47"/>
    <w:rsid w:val="00C50748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Overskrift2Tegn">
    <w:name w:val="Overskrift 2 Tegn"/>
    <w:basedOn w:val="Standardskrifttypeiafsnit"/>
    <w:link w:val="Overskrift2"/>
    <w:uiPriority w:val="9"/>
    <w:rsid w:val="00C507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42EF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42EF2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42EF2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72F30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72F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320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Tue Wenzel Kragstrup</dc:creator>
  <cp:keywords/>
  <dc:description/>
  <cp:lastModifiedBy>Tue Wenzel Kragstrup</cp:lastModifiedBy>
  <cp:revision>2</cp:revision>
  <dcterms:created xsi:type="dcterms:W3CDTF">2021-05-03T06:38:00Z</dcterms:created>
  <dcterms:modified xsi:type="dcterms:W3CDTF">2021-05-03T06:38:00Z</dcterms:modified>
</cp:coreProperties>
</file>