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65" w:rsidRDefault="00425D39">
      <w:r>
        <w:rPr>
          <w:noProof/>
        </w:rPr>
        <w:drawing>
          <wp:inline distT="0" distB="0" distL="0" distR="0">
            <wp:extent cx="5274310" cy="36810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9376+Figure S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CFD" w:rsidRDefault="00A02CFD" w:rsidP="00425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5D39" w:rsidRDefault="00425D39" w:rsidP="00425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6DC1">
        <w:rPr>
          <w:rFonts w:ascii="Times New Roman" w:hAnsi="Times New Roman" w:cs="Times New Roman"/>
          <w:sz w:val="24"/>
          <w:szCs w:val="24"/>
        </w:rPr>
        <w:t xml:space="preserve">Additional file 1: Figure S1. </w:t>
      </w:r>
      <w:r>
        <w:rPr>
          <w:rFonts w:ascii="Times New Roman" w:hAnsi="Times New Roman" w:cs="Times New Roman"/>
          <w:sz w:val="24"/>
          <w:szCs w:val="24"/>
        </w:rPr>
        <w:t>The in vivo circu</w:t>
      </w:r>
      <w:r w:rsidRPr="00F37FE7">
        <w:rPr>
          <w:rFonts w:ascii="Times New Roman" w:hAnsi="Times New Roman" w:cs="Times New Roman"/>
          <w:sz w:val="24"/>
          <w:szCs w:val="24"/>
        </w:rPr>
        <w:t>lation half-life of the FBPD NPs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5D39" w:rsidRPr="00425D39" w:rsidRDefault="00425D39">
      <w:pPr>
        <w:rPr>
          <w:rFonts w:hint="eastAsia"/>
        </w:rPr>
      </w:pPr>
    </w:p>
    <w:sectPr w:rsidR="00425D39" w:rsidRPr="00425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5F"/>
    <w:rsid w:val="00425D39"/>
    <w:rsid w:val="00A02CFD"/>
    <w:rsid w:val="00B2415F"/>
    <w:rsid w:val="00E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89F"/>
  <w15:chartTrackingRefBased/>
  <w15:docId w15:val="{069216BA-959D-487C-8F51-014AE31C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赵佳佳佳呀</dc:creator>
  <cp:keywords/>
  <dc:description/>
  <cp:lastModifiedBy>赵佳佳佳呀</cp:lastModifiedBy>
  <cp:revision>3</cp:revision>
  <dcterms:created xsi:type="dcterms:W3CDTF">2021-04-06T00:59:00Z</dcterms:created>
  <dcterms:modified xsi:type="dcterms:W3CDTF">2021-04-06T01:00:00Z</dcterms:modified>
</cp:coreProperties>
</file>