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86830" w14:textId="77777777" w:rsidR="001D7F4E" w:rsidRDefault="00A57397">
      <w:pPr>
        <w:spacing w:line="520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</w:rPr>
        <w:t>S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</w:rPr>
        <w:t>upplementary materials</w:t>
      </w:r>
    </w:p>
    <w:p w14:paraId="7791E867" w14:textId="77777777" w:rsidR="001D7F4E" w:rsidRDefault="001D7F4E">
      <w:pPr>
        <w:spacing w:line="520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8DB7FF" w14:textId="77777777" w:rsidR="001D7F4E" w:rsidRDefault="00A57397">
      <w:pPr>
        <w:spacing w:line="52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1"/>
          <w:szCs w:val="21"/>
        </w:rPr>
        <w:t>T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able S1. Results of the GSEA</w:t>
      </w: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3680"/>
        <w:gridCol w:w="1300"/>
        <w:gridCol w:w="1683"/>
        <w:gridCol w:w="1559"/>
      </w:tblGrid>
      <w:tr w:rsidR="001D7F4E" w14:paraId="417905BC" w14:textId="77777777">
        <w:trPr>
          <w:trHeight w:val="320"/>
        </w:trPr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D87FC9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</w:rPr>
            </w:pPr>
            <w:r>
              <w:rPr>
                <w:rFonts w:ascii="Times New Roman" w:eastAsia="DengXian" w:hAnsi="Times New Roman" w:cs="Times New Roman"/>
                <w:b/>
                <w:color w:val="000000"/>
              </w:rPr>
              <w:t>Pathway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AB2D2B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</w:rPr>
            </w:pPr>
            <w:r>
              <w:rPr>
                <w:rFonts w:ascii="Times New Roman" w:eastAsia="DengXian" w:hAnsi="Times New Roman" w:cs="Times New Roman"/>
                <w:b/>
                <w:color w:val="000000"/>
              </w:rPr>
              <w:t>ES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F09AB8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</w:rPr>
            </w:pPr>
            <w:r>
              <w:rPr>
                <w:rFonts w:ascii="Times New Roman" w:eastAsia="DengXian" w:hAnsi="Times New Roman" w:cs="Times New Roman"/>
                <w:b/>
                <w:color w:val="000000"/>
              </w:rPr>
              <w:t>NOM-P-VAL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C655B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</w:rPr>
            </w:pPr>
            <w:r>
              <w:rPr>
                <w:rFonts w:ascii="Times New Roman" w:eastAsia="DengXian" w:hAnsi="Times New Roman" w:cs="Times New Roman"/>
                <w:b/>
                <w:color w:val="000000"/>
              </w:rPr>
              <w:t>FDR</w:t>
            </w:r>
          </w:p>
        </w:tc>
      </w:tr>
      <w:tr w:rsidR="001D7F4E" w14:paraId="7A784527" w14:textId="77777777">
        <w:trPr>
          <w:trHeight w:val="320"/>
        </w:trPr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E78B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Wnt signaling pathway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AF11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0.43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0E468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＜</w:t>
            </w:r>
            <w:r>
              <w:rPr>
                <w:rFonts w:ascii="Times New Roman" w:eastAsia="DengXian" w:hAnsi="Times New Roman" w:cs="Times New Roman"/>
                <w:color w:val="000000"/>
              </w:rPr>
              <w:t>0.05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763B1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＞</w:t>
            </w:r>
            <w:r>
              <w:rPr>
                <w:rFonts w:ascii="Times New Roman" w:eastAsia="DengXian" w:hAnsi="Times New Roman" w:cs="Times New Roman"/>
                <w:color w:val="000000"/>
              </w:rPr>
              <w:t>0.25</w:t>
            </w:r>
          </w:p>
        </w:tc>
      </w:tr>
      <w:tr w:rsidR="001D7F4E" w14:paraId="123B6216" w14:textId="77777777">
        <w:trPr>
          <w:trHeight w:val="3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1F0C9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Ubiquitin-mediated proteolysis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F4688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0.54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19E75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＜</w:t>
            </w:r>
            <w:r>
              <w:rPr>
                <w:rFonts w:ascii="Times New Roman" w:eastAsia="DengXian" w:hAnsi="Times New Roman" w:cs="Times New Roman"/>
                <w:color w:val="000000"/>
              </w:rPr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8BA2F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＞</w:t>
            </w:r>
            <w:r>
              <w:rPr>
                <w:rFonts w:ascii="Times New Roman" w:eastAsia="DengXian" w:hAnsi="Times New Roman" w:cs="Times New Roman"/>
                <w:color w:val="000000"/>
              </w:rPr>
              <w:t>0.25</w:t>
            </w:r>
          </w:p>
        </w:tc>
      </w:tr>
      <w:tr w:rsidR="001D7F4E" w14:paraId="07BC3BA7" w14:textId="77777777">
        <w:trPr>
          <w:trHeight w:val="3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EA4A3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Cell cycle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EAF00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-0.51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C45CE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＜</w:t>
            </w:r>
            <w:r>
              <w:rPr>
                <w:rFonts w:ascii="Times New Roman" w:eastAsia="DengXian" w:hAnsi="Times New Roman" w:cs="Times New Roman"/>
                <w:color w:val="000000"/>
              </w:rPr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4EA927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＞</w:t>
            </w:r>
            <w:r>
              <w:rPr>
                <w:rFonts w:ascii="Times New Roman" w:eastAsia="DengXian" w:hAnsi="Times New Roman" w:cs="Times New Roman"/>
                <w:color w:val="000000"/>
              </w:rPr>
              <w:t>0.25</w:t>
            </w:r>
          </w:p>
        </w:tc>
      </w:tr>
      <w:tr w:rsidR="001D7F4E" w14:paraId="1814871C" w14:textId="77777777">
        <w:trPr>
          <w:trHeight w:val="3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91A28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RNA polymerase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D5BFB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-0.53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E71CB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＜</w:t>
            </w:r>
            <w:r>
              <w:rPr>
                <w:rFonts w:ascii="Times New Roman" w:eastAsia="DengXian" w:hAnsi="Times New Roman" w:cs="Times New Roman"/>
                <w:color w:val="000000"/>
              </w:rPr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048C5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＞</w:t>
            </w:r>
            <w:r>
              <w:rPr>
                <w:rFonts w:ascii="Times New Roman" w:eastAsia="DengXian" w:hAnsi="Times New Roman" w:cs="Times New Roman"/>
                <w:color w:val="000000"/>
              </w:rPr>
              <w:t>0.25</w:t>
            </w:r>
          </w:p>
        </w:tc>
      </w:tr>
      <w:tr w:rsidR="001D7F4E" w14:paraId="0AE4A4AA" w14:textId="77777777">
        <w:trPr>
          <w:trHeight w:val="3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FF2F8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 xml:space="preserve">Pyrimidine </w:t>
            </w:r>
            <w:r>
              <w:rPr>
                <w:rFonts w:ascii="Times New Roman" w:eastAsia="DengXian" w:hAnsi="Times New Roman" w:cs="Times New Roman"/>
                <w:color w:val="000000"/>
              </w:rPr>
              <w:t>metabolism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8FDF8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-0.49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3DFD2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＜</w:t>
            </w:r>
            <w:r>
              <w:rPr>
                <w:rFonts w:ascii="Times New Roman" w:eastAsia="DengXian" w:hAnsi="Times New Roman" w:cs="Times New Roman"/>
                <w:color w:val="000000"/>
              </w:rPr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E5521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＞</w:t>
            </w:r>
            <w:r>
              <w:rPr>
                <w:rFonts w:ascii="Times New Roman" w:eastAsia="DengXian" w:hAnsi="Times New Roman" w:cs="Times New Roman"/>
                <w:color w:val="000000"/>
              </w:rPr>
              <w:t>0.25</w:t>
            </w:r>
          </w:p>
        </w:tc>
      </w:tr>
      <w:tr w:rsidR="001D7F4E" w14:paraId="5C40F4AE" w14:textId="77777777">
        <w:trPr>
          <w:trHeight w:val="320"/>
        </w:trPr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8DC0CA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Notch signaling pathway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29AD3E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-0.51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E815A4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＜</w:t>
            </w:r>
            <w:r>
              <w:rPr>
                <w:rFonts w:ascii="Times New Roman" w:eastAsia="DengXian" w:hAnsi="Times New Roman" w:cs="Times New Roman"/>
                <w:color w:val="000000"/>
              </w:rPr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930C06" w14:textId="77777777" w:rsidR="001D7F4E" w:rsidRDefault="00A57397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</w:rPr>
              <w:t>＞</w:t>
            </w:r>
            <w:r>
              <w:rPr>
                <w:rFonts w:ascii="Times New Roman" w:eastAsia="DengXian" w:hAnsi="Times New Roman" w:cs="Times New Roman"/>
                <w:color w:val="000000"/>
              </w:rPr>
              <w:t>0.25</w:t>
            </w:r>
          </w:p>
        </w:tc>
      </w:tr>
    </w:tbl>
    <w:p w14:paraId="42F7A162" w14:textId="77777777" w:rsidR="001D7F4E" w:rsidRDefault="001D7F4E">
      <w:pPr>
        <w:jc w:val="center"/>
        <w:rPr>
          <w:rFonts w:ascii="Times New Roman" w:eastAsia="DengXian" w:hAnsi="Times New Roman" w:cs="Times New Roman"/>
          <w:color w:val="000000"/>
        </w:rPr>
      </w:pPr>
    </w:p>
    <w:p w14:paraId="30F71534" w14:textId="77777777" w:rsidR="001D7F4E" w:rsidRDefault="00A57397">
      <w:pPr>
        <w:rPr>
          <w:rFonts w:ascii="Times New Roman" w:eastAsia="DengXian" w:hAnsi="Times New Roman" w:cs="Times New Roman"/>
          <w:color w:val="000000"/>
        </w:rPr>
      </w:pPr>
      <w:r>
        <w:rPr>
          <w:rFonts w:ascii="Times New Roman" w:eastAsia="DengXian" w:hAnsi="Times New Roman" w:cs="Times New Roman"/>
          <w:color w:val="000000"/>
        </w:rPr>
        <w:t>ES, enrichment score; FDR, false discovery rate; GSEA, gene set enrichment analysis; NOM-P-VAL, nominal p value</w:t>
      </w:r>
    </w:p>
    <w:p w14:paraId="11F53540" w14:textId="77777777" w:rsidR="001D7F4E" w:rsidRDefault="001D7F4E">
      <w:pPr>
        <w:rPr>
          <w:rFonts w:ascii="Times New Roman" w:eastAsia="DengXian" w:hAnsi="Times New Roman" w:cs="Times New Roman"/>
          <w:color w:val="000000"/>
        </w:rPr>
      </w:pPr>
    </w:p>
    <w:p w14:paraId="07088510" w14:textId="31ADB065" w:rsidR="001D7F4E" w:rsidRDefault="00A57397">
      <w:pPr>
        <w:spacing w:line="360" w:lineRule="auto"/>
        <w:jc w:val="both"/>
        <w:rPr>
          <w:rFonts w:ascii="Times New Roman" w:eastAsia="STKaiti" w:hAnsi="Times New Roman" w:cs="Times New Roman"/>
          <w:b/>
          <w:bCs/>
          <w:sz w:val="28"/>
          <w:szCs w:val="28"/>
        </w:rPr>
      </w:pPr>
      <w:r>
        <w:rPr>
          <w:rFonts w:ascii="Times New Roman" w:eastAsia="STKaiti" w:hAnsi="Times New Roman" w:cs="Times New Roman"/>
          <w:b/>
          <w:bCs/>
          <w:sz w:val="28"/>
          <w:szCs w:val="28"/>
        </w:rPr>
        <w:t>Supplementary Figure</w:t>
      </w:r>
    </w:p>
    <w:p w14:paraId="6F54E82F" w14:textId="35B5F6C0" w:rsidR="00A57397" w:rsidRDefault="00A57397">
      <w:pPr>
        <w:spacing w:line="360" w:lineRule="auto"/>
        <w:jc w:val="both"/>
        <w:rPr>
          <w:rFonts w:ascii="Times New Roman" w:eastAsia="STKaiti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06DEE7E" wp14:editId="585ECD64">
            <wp:extent cx="5270500" cy="223456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55BC0" w14:textId="77777777" w:rsidR="001D7F4E" w:rsidRDefault="00A57397">
      <w:pPr>
        <w:spacing w:line="360" w:lineRule="auto"/>
        <w:jc w:val="both"/>
        <w:rPr>
          <w:rFonts w:ascii="Times New Roman" w:eastAsia="STKaiti" w:hAnsi="Times New Roman" w:cs="Times New Roman"/>
        </w:rPr>
      </w:pPr>
      <w:r>
        <w:rPr>
          <w:rFonts w:ascii="Times New Roman" w:eastAsia="STKaiti" w:hAnsi="Times New Roman" w:cs="Times New Roman"/>
          <w:b/>
        </w:rPr>
        <w:t>Figure S1</w:t>
      </w:r>
      <w:r>
        <w:rPr>
          <w:rFonts w:ascii="Times New Roman" w:eastAsia="STKaiti" w:hAnsi="Times New Roman" w:cs="Times New Roman"/>
        </w:rPr>
        <w:t xml:space="preserve"> PCA of (A) HBV, (B) HCC, and (C) HBV-associated HCC. PCA: Principal component analysis; HBV: hepatitis B virus; HCC: hepatocellular carcinoma.</w:t>
      </w:r>
    </w:p>
    <w:p w14:paraId="35FDC3A5" w14:textId="77777777" w:rsidR="001D7F4E" w:rsidRDefault="001D7F4E">
      <w:pPr>
        <w:spacing w:line="360" w:lineRule="auto"/>
        <w:jc w:val="both"/>
        <w:rPr>
          <w:rFonts w:ascii="Times New Roman" w:eastAsia="STKaiti" w:hAnsi="Times New Roman" w:cs="Times New Roman"/>
        </w:rPr>
      </w:pPr>
    </w:p>
    <w:p w14:paraId="68DB94DE" w14:textId="0101040F" w:rsidR="00A57397" w:rsidRDefault="00A57397">
      <w:pPr>
        <w:spacing w:line="360" w:lineRule="auto"/>
        <w:jc w:val="both"/>
        <w:rPr>
          <w:rFonts w:ascii="Times New Roman" w:eastAsia="STKaiti" w:hAnsi="Times New Roman" w:cs="Times New Roman"/>
          <w:b/>
        </w:rPr>
      </w:pPr>
      <w:r>
        <w:rPr>
          <w:noProof/>
        </w:rPr>
        <w:lastRenderedPageBreak/>
        <w:drawing>
          <wp:inline distT="0" distB="0" distL="0" distR="0" wp14:anchorId="28D9B3C9" wp14:editId="7836FC31">
            <wp:extent cx="5270500" cy="335407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3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7642F" w14:textId="47FA4FFE" w:rsidR="001D7F4E" w:rsidRDefault="00A57397">
      <w:pPr>
        <w:spacing w:line="360" w:lineRule="auto"/>
        <w:jc w:val="both"/>
        <w:rPr>
          <w:rFonts w:ascii="Times New Roman" w:eastAsia="DengXian" w:hAnsi="Times New Roman" w:cs="Times New Roman"/>
          <w:color w:val="000000"/>
        </w:rPr>
      </w:pPr>
      <w:r>
        <w:rPr>
          <w:rFonts w:ascii="Times New Roman" w:eastAsia="STKaiti" w:hAnsi="Times New Roman" w:cs="Times New Roman"/>
          <w:b/>
        </w:rPr>
        <w:t>Figure S2</w:t>
      </w:r>
      <w:r>
        <w:rPr>
          <w:rFonts w:ascii="Times New Roman" w:eastAsia="STKaiti" w:hAnsi="Times New Roman" w:cs="Times New Roman"/>
        </w:rPr>
        <w:t xml:space="preserve"> Signaling pathways associated with genes differentially expressed in patients with HBV or HCC or both</w:t>
      </w:r>
      <w:r>
        <w:rPr>
          <w:rFonts w:ascii="Times New Roman" w:eastAsia="STKaiti" w:hAnsi="Times New Roman" w:cs="Times New Roman"/>
        </w:rPr>
        <w:t>. KEGG analysis was performed on differentially expressed genes. (A) HBV was significantly associated with the Wnt signaling pathway. (B) Stage I HCC was associated with alterations in genes involved in the cell cycle; stage II HCC, with alterations in gen</w:t>
      </w:r>
      <w:r>
        <w:rPr>
          <w:rFonts w:ascii="Times New Roman" w:eastAsia="STKaiti" w:hAnsi="Times New Roman" w:cs="Times New Roman"/>
        </w:rPr>
        <w:t>es related to RNA polymerase; stage III HCC, with alterations in genes related to pyrimidine metabolism; and stage IV HCC, with alterations in genes related to Notch signaling. (C) HBV-associated HCC was associated with ubiquitin-mediated proteolysis.</w:t>
      </w:r>
    </w:p>
    <w:sectPr w:rsidR="001D7F4E"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FD8F3B4A-63E3-49B3-AA6A-15A78A38B4DF}"/>
    <w:docVar w:name="KY_MEDREF_VERSION" w:val="3"/>
  </w:docVars>
  <w:rsids>
    <w:rsidRoot w:val="00B40E63"/>
    <w:rsid w:val="000019E5"/>
    <w:rsid w:val="0001633E"/>
    <w:rsid w:val="00022EA2"/>
    <w:rsid w:val="0003699E"/>
    <w:rsid w:val="00050BD3"/>
    <w:rsid w:val="0005725A"/>
    <w:rsid w:val="000776DF"/>
    <w:rsid w:val="00080C78"/>
    <w:rsid w:val="00084917"/>
    <w:rsid w:val="000915C4"/>
    <w:rsid w:val="00091D46"/>
    <w:rsid w:val="000A7B02"/>
    <w:rsid w:val="000B0AC6"/>
    <w:rsid w:val="000B1E0E"/>
    <w:rsid w:val="000B2ADA"/>
    <w:rsid w:val="000B4552"/>
    <w:rsid w:val="000B4746"/>
    <w:rsid w:val="000B6F46"/>
    <w:rsid w:val="000C2643"/>
    <w:rsid w:val="000F3EA9"/>
    <w:rsid w:val="00107FEF"/>
    <w:rsid w:val="00141889"/>
    <w:rsid w:val="001453DA"/>
    <w:rsid w:val="00152317"/>
    <w:rsid w:val="00157F18"/>
    <w:rsid w:val="001727BE"/>
    <w:rsid w:val="00181FE4"/>
    <w:rsid w:val="001847A5"/>
    <w:rsid w:val="00197A8D"/>
    <w:rsid w:val="001A35F1"/>
    <w:rsid w:val="001B4BD5"/>
    <w:rsid w:val="001D32F6"/>
    <w:rsid w:val="001D7F4E"/>
    <w:rsid w:val="001F57F5"/>
    <w:rsid w:val="00207094"/>
    <w:rsid w:val="00207A5E"/>
    <w:rsid w:val="00223AB3"/>
    <w:rsid w:val="00257B32"/>
    <w:rsid w:val="00263DB1"/>
    <w:rsid w:val="0027289F"/>
    <w:rsid w:val="002772A7"/>
    <w:rsid w:val="002B1CE5"/>
    <w:rsid w:val="002B2C8F"/>
    <w:rsid w:val="002C0836"/>
    <w:rsid w:val="002C60B8"/>
    <w:rsid w:val="002F34A9"/>
    <w:rsid w:val="003227DF"/>
    <w:rsid w:val="003259DA"/>
    <w:rsid w:val="003344E7"/>
    <w:rsid w:val="00335246"/>
    <w:rsid w:val="00345BAE"/>
    <w:rsid w:val="00375F89"/>
    <w:rsid w:val="003C37BB"/>
    <w:rsid w:val="003E3CF1"/>
    <w:rsid w:val="00402832"/>
    <w:rsid w:val="00406DB6"/>
    <w:rsid w:val="00415650"/>
    <w:rsid w:val="004172A1"/>
    <w:rsid w:val="00430D44"/>
    <w:rsid w:val="00445B3D"/>
    <w:rsid w:val="00456017"/>
    <w:rsid w:val="004920FF"/>
    <w:rsid w:val="004A3560"/>
    <w:rsid w:val="004A6919"/>
    <w:rsid w:val="004A69D7"/>
    <w:rsid w:val="004A6DE6"/>
    <w:rsid w:val="004C05FA"/>
    <w:rsid w:val="004C15B1"/>
    <w:rsid w:val="004D363A"/>
    <w:rsid w:val="004D7947"/>
    <w:rsid w:val="00503049"/>
    <w:rsid w:val="005077C1"/>
    <w:rsid w:val="00512352"/>
    <w:rsid w:val="005176F2"/>
    <w:rsid w:val="00526985"/>
    <w:rsid w:val="00541298"/>
    <w:rsid w:val="0055451F"/>
    <w:rsid w:val="00561931"/>
    <w:rsid w:val="00571C64"/>
    <w:rsid w:val="0057709F"/>
    <w:rsid w:val="00596E7B"/>
    <w:rsid w:val="005A44C8"/>
    <w:rsid w:val="005B5017"/>
    <w:rsid w:val="005C01E5"/>
    <w:rsid w:val="005E22CA"/>
    <w:rsid w:val="005E33C8"/>
    <w:rsid w:val="005E3589"/>
    <w:rsid w:val="00600C2A"/>
    <w:rsid w:val="0061076E"/>
    <w:rsid w:val="0062045F"/>
    <w:rsid w:val="0062624B"/>
    <w:rsid w:val="00650767"/>
    <w:rsid w:val="00661BE4"/>
    <w:rsid w:val="0066222B"/>
    <w:rsid w:val="00666534"/>
    <w:rsid w:val="006762FC"/>
    <w:rsid w:val="006769A1"/>
    <w:rsid w:val="006845A5"/>
    <w:rsid w:val="00690A67"/>
    <w:rsid w:val="006A3DF7"/>
    <w:rsid w:val="006B6322"/>
    <w:rsid w:val="006B7870"/>
    <w:rsid w:val="006C5133"/>
    <w:rsid w:val="006D2425"/>
    <w:rsid w:val="00701E77"/>
    <w:rsid w:val="00722015"/>
    <w:rsid w:val="00722B17"/>
    <w:rsid w:val="00724C10"/>
    <w:rsid w:val="007251D7"/>
    <w:rsid w:val="00736CAC"/>
    <w:rsid w:val="0074677F"/>
    <w:rsid w:val="007706FA"/>
    <w:rsid w:val="007719D6"/>
    <w:rsid w:val="0079427A"/>
    <w:rsid w:val="007F1CA6"/>
    <w:rsid w:val="007F77F3"/>
    <w:rsid w:val="008142B1"/>
    <w:rsid w:val="00815363"/>
    <w:rsid w:val="008168BC"/>
    <w:rsid w:val="008231E9"/>
    <w:rsid w:val="008725FD"/>
    <w:rsid w:val="00882812"/>
    <w:rsid w:val="00897745"/>
    <w:rsid w:val="008A1E9E"/>
    <w:rsid w:val="008B027D"/>
    <w:rsid w:val="008B6309"/>
    <w:rsid w:val="008B67ED"/>
    <w:rsid w:val="008C15F1"/>
    <w:rsid w:val="008F3AA4"/>
    <w:rsid w:val="00910CFA"/>
    <w:rsid w:val="009551A0"/>
    <w:rsid w:val="0095591F"/>
    <w:rsid w:val="00970820"/>
    <w:rsid w:val="00984C0B"/>
    <w:rsid w:val="009C02F8"/>
    <w:rsid w:val="009C0ED9"/>
    <w:rsid w:val="009C3880"/>
    <w:rsid w:val="009E3B1D"/>
    <w:rsid w:val="009E5BC7"/>
    <w:rsid w:val="00A06489"/>
    <w:rsid w:val="00A1274D"/>
    <w:rsid w:val="00A47A47"/>
    <w:rsid w:val="00A57397"/>
    <w:rsid w:val="00A6182A"/>
    <w:rsid w:val="00A74D92"/>
    <w:rsid w:val="00A85155"/>
    <w:rsid w:val="00A8643D"/>
    <w:rsid w:val="00AB1A44"/>
    <w:rsid w:val="00AD22F5"/>
    <w:rsid w:val="00AF07FA"/>
    <w:rsid w:val="00B0150F"/>
    <w:rsid w:val="00B0723A"/>
    <w:rsid w:val="00B2348D"/>
    <w:rsid w:val="00B40E63"/>
    <w:rsid w:val="00B412FE"/>
    <w:rsid w:val="00B419BA"/>
    <w:rsid w:val="00B4583E"/>
    <w:rsid w:val="00B46998"/>
    <w:rsid w:val="00B641F2"/>
    <w:rsid w:val="00B76622"/>
    <w:rsid w:val="00B844C9"/>
    <w:rsid w:val="00B91601"/>
    <w:rsid w:val="00B9423A"/>
    <w:rsid w:val="00BB6917"/>
    <w:rsid w:val="00BC1053"/>
    <w:rsid w:val="00BD073B"/>
    <w:rsid w:val="00BD22A8"/>
    <w:rsid w:val="00BE2668"/>
    <w:rsid w:val="00BE3EF3"/>
    <w:rsid w:val="00BF2A43"/>
    <w:rsid w:val="00C16178"/>
    <w:rsid w:val="00C24DE1"/>
    <w:rsid w:val="00C25757"/>
    <w:rsid w:val="00C30AAA"/>
    <w:rsid w:val="00C41C17"/>
    <w:rsid w:val="00C434EE"/>
    <w:rsid w:val="00C63B69"/>
    <w:rsid w:val="00C716A9"/>
    <w:rsid w:val="00C80094"/>
    <w:rsid w:val="00C90FC7"/>
    <w:rsid w:val="00CC194B"/>
    <w:rsid w:val="00D007D2"/>
    <w:rsid w:val="00D15212"/>
    <w:rsid w:val="00D17930"/>
    <w:rsid w:val="00D22268"/>
    <w:rsid w:val="00D34D2B"/>
    <w:rsid w:val="00D35AE3"/>
    <w:rsid w:val="00D44615"/>
    <w:rsid w:val="00D51761"/>
    <w:rsid w:val="00D541C0"/>
    <w:rsid w:val="00DA275D"/>
    <w:rsid w:val="00DA4E2A"/>
    <w:rsid w:val="00DB3D3C"/>
    <w:rsid w:val="00DC0AED"/>
    <w:rsid w:val="00DD21FC"/>
    <w:rsid w:val="00DE09B5"/>
    <w:rsid w:val="00E10BF3"/>
    <w:rsid w:val="00E24B53"/>
    <w:rsid w:val="00E321C1"/>
    <w:rsid w:val="00E36D8D"/>
    <w:rsid w:val="00E51478"/>
    <w:rsid w:val="00E526A8"/>
    <w:rsid w:val="00E6137D"/>
    <w:rsid w:val="00E652E9"/>
    <w:rsid w:val="00E65A9C"/>
    <w:rsid w:val="00E817D7"/>
    <w:rsid w:val="00EC660A"/>
    <w:rsid w:val="00ED44A6"/>
    <w:rsid w:val="00ED593D"/>
    <w:rsid w:val="00ED761E"/>
    <w:rsid w:val="00EE44E6"/>
    <w:rsid w:val="00F11F87"/>
    <w:rsid w:val="00F16180"/>
    <w:rsid w:val="00F4220A"/>
    <w:rsid w:val="00F45C29"/>
    <w:rsid w:val="00F51D70"/>
    <w:rsid w:val="00F5615E"/>
    <w:rsid w:val="00F73E00"/>
    <w:rsid w:val="00F76996"/>
    <w:rsid w:val="00F94E04"/>
    <w:rsid w:val="00F96956"/>
    <w:rsid w:val="00F96A40"/>
    <w:rsid w:val="00FB08E1"/>
    <w:rsid w:val="00FC1C1B"/>
    <w:rsid w:val="00FC5599"/>
    <w:rsid w:val="00FD5367"/>
    <w:rsid w:val="00FE27A6"/>
    <w:rsid w:val="00FE4FDA"/>
    <w:rsid w:val="00FE6A43"/>
    <w:rsid w:val="00FF525A"/>
    <w:rsid w:val="56DB152D"/>
    <w:rsid w:val="6B77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A587"/>
  <w15:docId w15:val="{CC24B554-7B4F-443C-92DF-417B8FD0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SimSun" w:eastAsia="SimSun" w:hAnsi="SimSun" w:cs="SimSu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TOC3">
    <w:name w:val="toc 3"/>
    <w:basedOn w:val="Normal"/>
    <w:next w:val="Normal"/>
    <w:qFormat/>
    <w:pPr>
      <w:widowControl w:val="0"/>
      <w:ind w:leftChars="400" w:left="840"/>
      <w:jc w:val="both"/>
    </w:pPr>
    <w:rPr>
      <w:rFonts w:ascii="Calibri" w:hAnsi="Calibri" w:cs="Times New Roman"/>
      <w:kern w:val="2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TOC1">
    <w:name w:val="toc 1"/>
    <w:basedOn w:val="TOC2"/>
    <w:next w:val="Normal"/>
    <w:uiPriority w:val="39"/>
    <w:qFormat/>
    <w:pPr>
      <w:ind w:left="0"/>
    </w:pPr>
  </w:style>
  <w:style w:type="paragraph" w:styleId="TOC2">
    <w:name w:val="toc 2"/>
    <w:basedOn w:val="2"/>
    <w:next w:val="2"/>
    <w:uiPriority w:val="39"/>
    <w:pPr>
      <w:spacing w:before="120" w:line="240" w:lineRule="auto"/>
      <w:ind w:leftChars="0" w:left="240"/>
    </w:pPr>
    <w:rPr>
      <w:rFonts w:asciiTheme="minorHAnsi" w:eastAsia="SimSun-ExtB" w:cs="SimSun"/>
      <w:b/>
      <w:bCs/>
      <w:kern w:val="0"/>
      <w:sz w:val="24"/>
      <w:szCs w:val="22"/>
    </w:rPr>
  </w:style>
  <w:style w:type="paragraph" w:customStyle="1" w:styleId="2">
    <w:name w:val="陈目录2"/>
    <w:basedOn w:val="Normal"/>
    <w:qFormat/>
    <w:pPr>
      <w:tabs>
        <w:tab w:val="right" w:leader="dot" w:pos="9072"/>
      </w:tabs>
      <w:spacing w:line="520" w:lineRule="exact"/>
      <w:ind w:leftChars="200" w:left="420"/>
    </w:pPr>
    <w:rPr>
      <w:rFonts w:cs="Times New Roman"/>
      <w:kern w:val="2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customStyle="1" w:styleId="a">
    <w:name w:val="陈目录"/>
    <w:basedOn w:val="Normal"/>
    <w:qFormat/>
    <w:pPr>
      <w:tabs>
        <w:tab w:val="right" w:leader="dot" w:pos="9072"/>
      </w:tabs>
      <w:spacing w:line="520" w:lineRule="exact"/>
    </w:pPr>
    <w:rPr>
      <w:rFonts w:cs="Times New Roman"/>
      <w:sz w:val="28"/>
      <w:szCs w:val="28"/>
    </w:rPr>
  </w:style>
  <w:style w:type="paragraph" w:customStyle="1" w:styleId="3">
    <w:name w:val="陈目录3"/>
    <w:basedOn w:val="Normal"/>
    <w:qFormat/>
    <w:pPr>
      <w:tabs>
        <w:tab w:val="right" w:leader="dot" w:pos="9072"/>
      </w:tabs>
      <w:spacing w:line="520" w:lineRule="exact"/>
      <w:ind w:leftChars="400" w:left="840"/>
    </w:pPr>
    <w:rPr>
      <w:rFonts w:cs="Times New Roman"/>
      <w:sz w:val="28"/>
      <w:szCs w:val="28"/>
    </w:rPr>
  </w:style>
  <w:style w:type="paragraph" w:customStyle="1" w:styleId="a0">
    <w:name w:val="陈参考文献英文"/>
    <w:basedOn w:val="Normal"/>
    <w:qFormat/>
    <w:pPr>
      <w:spacing w:line="520" w:lineRule="exact"/>
      <w:ind w:left="420" w:hangingChars="150" w:hanging="4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陈参考文献正文1"/>
    <w:basedOn w:val="Normal"/>
    <w:qFormat/>
    <w:pPr>
      <w:widowControl w:val="0"/>
      <w:jc w:val="center"/>
    </w:pPr>
    <w:rPr>
      <w:rFonts w:ascii="SimHei" w:eastAsia="SimHei" w:hAnsi="SimHei" w:cs="Times New Roman"/>
      <w:kern w:val="2"/>
      <w:sz w:val="44"/>
      <w:szCs w:val="44"/>
    </w:rPr>
  </w:style>
  <w:style w:type="paragraph" w:customStyle="1" w:styleId="10">
    <w:name w:val="陈目录1"/>
    <w:basedOn w:val="Normal"/>
    <w:next w:val="TOC1"/>
    <w:qFormat/>
    <w:pPr>
      <w:tabs>
        <w:tab w:val="right" w:leader="dot" w:pos="9072"/>
      </w:tabs>
      <w:spacing w:line="520" w:lineRule="exact"/>
    </w:pPr>
    <w:rPr>
      <w:rFonts w:cs="Times New Roman"/>
      <w:sz w:val="28"/>
      <w:szCs w:val="2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SimSun" w:eastAsia="SimSun" w:hAnsi="SimSun" w:cs="SimSun"/>
      <w:kern w:val="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SimSun" w:eastAsia="SimSun" w:hAnsi="SimSun" w:cs="SimSun"/>
      <w:b/>
      <w:bCs/>
      <w:kern w:val="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SimSu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Bartle</cp:lastModifiedBy>
  <cp:revision>7</cp:revision>
  <dcterms:created xsi:type="dcterms:W3CDTF">2021-02-26T14:28:00Z</dcterms:created>
  <dcterms:modified xsi:type="dcterms:W3CDTF">2021-03-11T20:25:00Z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