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4E82C" w14:textId="77777777" w:rsidR="00DF59DB" w:rsidRPr="00055743" w:rsidRDefault="00DF59DB" w:rsidP="00DF59DB">
      <w:pPr>
        <w:pStyle w:val="BodyText"/>
        <w:rPr>
          <w:b/>
        </w:rPr>
      </w:pPr>
      <w:r w:rsidRPr="00055743">
        <w:rPr>
          <w:b/>
        </w:rPr>
        <w:t>Supplementary file</w:t>
      </w:r>
    </w:p>
    <w:p w14:paraId="126BAB37" w14:textId="77777777" w:rsidR="00DF59DB" w:rsidRDefault="00DF59DB" w:rsidP="00DF59DB">
      <w:pPr>
        <w:pStyle w:val="BodyText"/>
      </w:pPr>
    </w:p>
    <w:p w14:paraId="47941E8B" w14:textId="77777777" w:rsidR="00DF59DB" w:rsidRDefault="00DF59DB" w:rsidP="00DF59DB">
      <w:pPr>
        <w:pStyle w:val="BodyText"/>
        <w:ind w:left="220" w:right="311"/>
      </w:pPr>
      <w:r w:rsidRPr="00055743">
        <w:rPr>
          <w:b/>
        </w:rPr>
        <w:t>Table S1</w:t>
      </w:r>
      <w:r>
        <w:t>: Total PSA (TPSA) and Free PSA (</w:t>
      </w:r>
      <w:proofErr w:type="spellStart"/>
      <w:r>
        <w:t>FrPSA</w:t>
      </w:r>
      <w:proofErr w:type="spellEnd"/>
      <w:r>
        <w:t>) were monitored to reflect the activity of prostate cancer in the patient.</w:t>
      </w:r>
    </w:p>
    <w:p w14:paraId="186491DD" w14:textId="77777777" w:rsidR="00DF59DB" w:rsidRDefault="00DF59DB" w:rsidP="00DF59DB">
      <w:pPr>
        <w:pStyle w:val="BodyText"/>
        <w:ind w:left="220" w:right="311"/>
      </w:pPr>
    </w:p>
    <w:tbl>
      <w:tblPr>
        <w:tblStyle w:val="TableNormal1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7"/>
      </w:tblGrid>
      <w:tr w:rsidR="00DF59DB" w14:paraId="6D243FBB" w14:textId="77777777" w:rsidTr="00D81313">
        <w:trPr>
          <w:trHeight w:val="256"/>
        </w:trPr>
        <w:tc>
          <w:tcPr>
            <w:tcW w:w="3116" w:type="dxa"/>
          </w:tcPr>
          <w:p w14:paraId="653C9D2E" w14:textId="77777777" w:rsidR="00DF59DB" w:rsidRDefault="00DF59DB" w:rsidP="00D81313">
            <w:pPr>
              <w:pStyle w:val="TableParagraph"/>
              <w:ind w:left="972" w:right="962"/>
              <w:jc w:val="center"/>
              <w:rPr>
                <w:sz w:val="21"/>
              </w:rPr>
            </w:pPr>
            <w:r>
              <w:rPr>
                <w:color w:val="1B1B1B"/>
                <w:sz w:val="21"/>
              </w:rPr>
              <w:t>Testing Date</w:t>
            </w:r>
          </w:p>
        </w:tc>
        <w:tc>
          <w:tcPr>
            <w:tcW w:w="3116" w:type="dxa"/>
          </w:tcPr>
          <w:p w14:paraId="6166DC01" w14:textId="77777777" w:rsidR="00DF59DB" w:rsidRDefault="00DF59DB" w:rsidP="00D81313">
            <w:pPr>
              <w:pStyle w:val="TableParagraph"/>
              <w:ind w:left="1344"/>
              <w:rPr>
                <w:sz w:val="21"/>
              </w:rPr>
            </w:pPr>
            <w:r>
              <w:rPr>
                <w:color w:val="1B1B1B"/>
                <w:sz w:val="21"/>
              </w:rPr>
              <w:t>TPSA</w:t>
            </w:r>
          </w:p>
        </w:tc>
        <w:tc>
          <w:tcPr>
            <w:tcW w:w="3117" w:type="dxa"/>
          </w:tcPr>
          <w:p w14:paraId="4212FA97" w14:textId="77777777" w:rsidR="00DF59DB" w:rsidRDefault="00DF59DB" w:rsidP="00D81313">
            <w:pPr>
              <w:pStyle w:val="TableParagraph"/>
              <w:ind w:left="1310"/>
              <w:rPr>
                <w:sz w:val="21"/>
              </w:rPr>
            </w:pPr>
            <w:proofErr w:type="spellStart"/>
            <w:r>
              <w:rPr>
                <w:color w:val="1B1B1B"/>
                <w:sz w:val="21"/>
              </w:rPr>
              <w:t>FrPSA</w:t>
            </w:r>
            <w:proofErr w:type="spellEnd"/>
          </w:p>
        </w:tc>
      </w:tr>
      <w:tr w:rsidR="00DF59DB" w14:paraId="68A76912" w14:textId="77777777" w:rsidTr="00D81313">
        <w:trPr>
          <w:trHeight w:val="256"/>
        </w:trPr>
        <w:tc>
          <w:tcPr>
            <w:tcW w:w="3116" w:type="dxa"/>
          </w:tcPr>
          <w:p w14:paraId="22ADD0B6" w14:textId="77777777" w:rsidR="00DF59DB" w:rsidRDefault="00DF59DB" w:rsidP="00D81313">
            <w:pPr>
              <w:pStyle w:val="TableParagraph"/>
              <w:ind w:left="972" w:right="961"/>
              <w:jc w:val="center"/>
              <w:rPr>
                <w:sz w:val="21"/>
              </w:rPr>
            </w:pPr>
            <w:r>
              <w:rPr>
                <w:color w:val="1B1B1B"/>
                <w:sz w:val="21"/>
              </w:rPr>
              <w:t>Aug-04,2014</w:t>
            </w:r>
          </w:p>
        </w:tc>
        <w:tc>
          <w:tcPr>
            <w:tcW w:w="3116" w:type="dxa"/>
          </w:tcPr>
          <w:p w14:paraId="012C9FA0" w14:textId="77777777" w:rsidR="00DF59DB" w:rsidRDefault="00DF59DB" w:rsidP="00D81313">
            <w:pPr>
              <w:pStyle w:val="TableParagraph"/>
              <w:ind w:left="1372"/>
              <w:rPr>
                <w:sz w:val="21"/>
              </w:rPr>
            </w:pPr>
            <w:r>
              <w:rPr>
                <w:color w:val="1B1B1B"/>
                <w:sz w:val="21"/>
              </w:rPr>
              <w:t>0.01</w:t>
            </w:r>
          </w:p>
        </w:tc>
        <w:tc>
          <w:tcPr>
            <w:tcW w:w="3117" w:type="dxa"/>
          </w:tcPr>
          <w:p w14:paraId="27F477DF" w14:textId="77777777" w:rsidR="00DF59DB" w:rsidRDefault="00DF59DB" w:rsidP="00D81313">
            <w:pPr>
              <w:pStyle w:val="TableParagraph"/>
              <w:ind w:left="1320"/>
              <w:rPr>
                <w:sz w:val="21"/>
              </w:rPr>
            </w:pPr>
            <w:r>
              <w:rPr>
                <w:color w:val="1B1B1B"/>
                <w:sz w:val="21"/>
              </w:rPr>
              <w:t>&lt;0.01</w:t>
            </w:r>
          </w:p>
        </w:tc>
      </w:tr>
      <w:tr w:rsidR="00DF59DB" w14:paraId="71E387AD" w14:textId="77777777" w:rsidTr="00D81313">
        <w:trPr>
          <w:trHeight w:val="256"/>
        </w:trPr>
        <w:tc>
          <w:tcPr>
            <w:tcW w:w="3116" w:type="dxa"/>
          </w:tcPr>
          <w:p w14:paraId="7976D2AE" w14:textId="77777777" w:rsidR="00DF59DB" w:rsidRDefault="00DF59DB" w:rsidP="00D81313">
            <w:pPr>
              <w:pStyle w:val="TableParagraph"/>
              <w:ind w:left="972" w:right="962"/>
              <w:jc w:val="center"/>
              <w:rPr>
                <w:sz w:val="21"/>
              </w:rPr>
            </w:pPr>
            <w:r>
              <w:rPr>
                <w:color w:val="1B1B1B"/>
                <w:sz w:val="21"/>
              </w:rPr>
              <w:t>Oct-14,2014</w:t>
            </w:r>
          </w:p>
        </w:tc>
        <w:tc>
          <w:tcPr>
            <w:tcW w:w="3116" w:type="dxa"/>
          </w:tcPr>
          <w:p w14:paraId="5E7D5E63" w14:textId="77777777" w:rsidR="00DF59DB" w:rsidRDefault="00DF59DB" w:rsidP="00D81313">
            <w:pPr>
              <w:pStyle w:val="TableParagraph"/>
              <w:ind w:left="1318"/>
              <w:rPr>
                <w:sz w:val="21"/>
              </w:rPr>
            </w:pPr>
            <w:r>
              <w:rPr>
                <w:color w:val="1B1B1B"/>
                <w:sz w:val="21"/>
              </w:rPr>
              <w:t>0.073</w:t>
            </w:r>
          </w:p>
        </w:tc>
        <w:tc>
          <w:tcPr>
            <w:tcW w:w="3117" w:type="dxa"/>
          </w:tcPr>
          <w:p w14:paraId="0A9ADB81" w14:textId="77777777" w:rsidR="00DF59DB" w:rsidRDefault="00DF59DB" w:rsidP="00D81313">
            <w:pPr>
              <w:pStyle w:val="TableParagraph"/>
              <w:ind w:left="1319"/>
              <w:rPr>
                <w:sz w:val="21"/>
              </w:rPr>
            </w:pPr>
            <w:r>
              <w:rPr>
                <w:color w:val="1B1B1B"/>
                <w:sz w:val="21"/>
              </w:rPr>
              <w:t>0.017</w:t>
            </w:r>
          </w:p>
        </w:tc>
      </w:tr>
      <w:tr w:rsidR="00DF59DB" w14:paraId="705D737E" w14:textId="77777777" w:rsidTr="00D81313">
        <w:trPr>
          <w:trHeight w:val="256"/>
        </w:trPr>
        <w:tc>
          <w:tcPr>
            <w:tcW w:w="3116" w:type="dxa"/>
          </w:tcPr>
          <w:p w14:paraId="40D8F14F" w14:textId="77777777" w:rsidR="00DF59DB" w:rsidRDefault="00DF59DB" w:rsidP="00D81313">
            <w:pPr>
              <w:pStyle w:val="TableParagraph"/>
              <w:ind w:left="972" w:right="962"/>
              <w:jc w:val="center"/>
              <w:rPr>
                <w:sz w:val="21"/>
              </w:rPr>
            </w:pPr>
            <w:r>
              <w:rPr>
                <w:color w:val="1B1B1B"/>
                <w:sz w:val="21"/>
              </w:rPr>
              <w:t>Dec-03,2014</w:t>
            </w:r>
          </w:p>
        </w:tc>
        <w:tc>
          <w:tcPr>
            <w:tcW w:w="3116" w:type="dxa"/>
          </w:tcPr>
          <w:p w14:paraId="5DAE281B" w14:textId="77777777" w:rsidR="00DF59DB" w:rsidRDefault="00DF59DB" w:rsidP="00D81313">
            <w:pPr>
              <w:pStyle w:val="TableParagraph"/>
              <w:ind w:left="1318"/>
              <w:rPr>
                <w:sz w:val="21"/>
              </w:rPr>
            </w:pPr>
            <w:r>
              <w:rPr>
                <w:color w:val="1B1B1B"/>
                <w:sz w:val="21"/>
              </w:rPr>
              <w:t>0.061</w:t>
            </w:r>
          </w:p>
        </w:tc>
        <w:tc>
          <w:tcPr>
            <w:tcW w:w="3117" w:type="dxa"/>
          </w:tcPr>
          <w:p w14:paraId="7D458DCA" w14:textId="77777777" w:rsidR="00DF59DB" w:rsidRDefault="00DF59DB" w:rsidP="00D81313">
            <w:pPr>
              <w:pStyle w:val="TableParagraph"/>
              <w:ind w:left="1319"/>
              <w:rPr>
                <w:sz w:val="21"/>
              </w:rPr>
            </w:pPr>
            <w:r>
              <w:rPr>
                <w:color w:val="1B1B1B"/>
                <w:sz w:val="21"/>
              </w:rPr>
              <w:t>0.018</w:t>
            </w:r>
          </w:p>
        </w:tc>
      </w:tr>
      <w:tr w:rsidR="00DF59DB" w14:paraId="44ED38A4" w14:textId="77777777" w:rsidTr="00D81313">
        <w:trPr>
          <w:trHeight w:val="256"/>
        </w:trPr>
        <w:tc>
          <w:tcPr>
            <w:tcW w:w="3116" w:type="dxa"/>
          </w:tcPr>
          <w:p w14:paraId="4C24A561" w14:textId="77777777" w:rsidR="00DF59DB" w:rsidRDefault="00DF59DB" w:rsidP="00D81313">
            <w:pPr>
              <w:pStyle w:val="TableParagraph"/>
              <w:ind w:left="972" w:right="961"/>
              <w:jc w:val="center"/>
              <w:rPr>
                <w:sz w:val="21"/>
              </w:rPr>
            </w:pPr>
            <w:r>
              <w:rPr>
                <w:color w:val="1B1B1B"/>
                <w:sz w:val="21"/>
              </w:rPr>
              <w:t>Feb-04,2015</w:t>
            </w:r>
          </w:p>
        </w:tc>
        <w:tc>
          <w:tcPr>
            <w:tcW w:w="3116" w:type="dxa"/>
          </w:tcPr>
          <w:p w14:paraId="34E956C7" w14:textId="77777777" w:rsidR="00DF59DB" w:rsidRDefault="00DF59DB" w:rsidP="00D81313">
            <w:pPr>
              <w:pStyle w:val="TableParagraph"/>
              <w:ind w:left="1318"/>
              <w:rPr>
                <w:sz w:val="21"/>
              </w:rPr>
            </w:pPr>
            <w:r>
              <w:rPr>
                <w:color w:val="1B1B1B"/>
                <w:sz w:val="21"/>
              </w:rPr>
              <w:t>0.123</w:t>
            </w:r>
          </w:p>
        </w:tc>
        <w:tc>
          <w:tcPr>
            <w:tcW w:w="3117" w:type="dxa"/>
          </w:tcPr>
          <w:p w14:paraId="76B2D047" w14:textId="77777777" w:rsidR="00DF59DB" w:rsidRDefault="00DF59DB" w:rsidP="00D81313">
            <w:pPr>
              <w:pStyle w:val="TableParagraph"/>
              <w:ind w:left="1319"/>
              <w:rPr>
                <w:sz w:val="21"/>
              </w:rPr>
            </w:pPr>
            <w:r>
              <w:rPr>
                <w:color w:val="1B1B1B"/>
                <w:sz w:val="21"/>
              </w:rPr>
              <w:t>0.024</w:t>
            </w:r>
          </w:p>
        </w:tc>
      </w:tr>
      <w:tr w:rsidR="00DF59DB" w14:paraId="5B87D3F6" w14:textId="77777777" w:rsidTr="00D81313">
        <w:trPr>
          <w:trHeight w:val="256"/>
        </w:trPr>
        <w:tc>
          <w:tcPr>
            <w:tcW w:w="3116" w:type="dxa"/>
          </w:tcPr>
          <w:p w14:paraId="5BA2C75D" w14:textId="77777777" w:rsidR="00DF59DB" w:rsidRDefault="00DF59DB" w:rsidP="00D81313">
            <w:pPr>
              <w:pStyle w:val="TableParagraph"/>
              <w:ind w:left="972" w:right="962"/>
              <w:jc w:val="center"/>
              <w:rPr>
                <w:sz w:val="21"/>
              </w:rPr>
            </w:pPr>
            <w:r>
              <w:rPr>
                <w:color w:val="1B1B1B"/>
                <w:sz w:val="21"/>
              </w:rPr>
              <w:t>Mar-03,2015</w:t>
            </w:r>
          </w:p>
        </w:tc>
        <w:tc>
          <w:tcPr>
            <w:tcW w:w="3116" w:type="dxa"/>
          </w:tcPr>
          <w:p w14:paraId="0EC7282F" w14:textId="77777777" w:rsidR="00DF59DB" w:rsidRDefault="00DF59DB" w:rsidP="00D81313">
            <w:pPr>
              <w:pStyle w:val="TableParagraph"/>
              <w:ind w:left="1318"/>
              <w:rPr>
                <w:sz w:val="21"/>
              </w:rPr>
            </w:pPr>
            <w:r>
              <w:rPr>
                <w:color w:val="1B1B1B"/>
                <w:sz w:val="21"/>
              </w:rPr>
              <w:t>0.051</w:t>
            </w:r>
          </w:p>
        </w:tc>
        <w:tc>
          <w:tcPr>
            <w:tcW w:w="3117" w:type="dxa"/>
          </w:tcPr>
          <w:p w14:paraId="095D4E0C" w14:textId="77777777" w:rsidR="00DF59DB" w:rsidRDefault="00DF59DB" w:rsidP="00D81313">
            <w:pPr>
              <w:pStyle w:val="TableParagraph"/>
              <w:ind w:left="1319"/>
              <w:rPr>
                <w:sz w:val="21"/>
              </w:rPr>
            </w:pPr>
            <w:r>
              <w:rPr>
                <w:color w:val="1B1B1B"/>
                <w:sz w:val="21"/>
              </w:rPr>
              <w:t>0.025</w:t>
            </w:r>
          </w:p>
        </w:tc>
      </w:tr>
      <w:tr w:rsidR="00DF59DB" w14:paraId="114DF443" w14:textId="77777777" w:rsidTr="00D81313">
        <w:trPr>
          <w:trHeight w:val="256"/>
        </w:trPr>
        <w:tc>
          <w:tcPr>
            <w:tcW w:w="3116" w:type="dxa"/>
          </w:tcPr>
          <w:p w14:paraId="04DB67A7" w14:textId="77777777" w:rsidR="00DF59DB" w:rsidRDefault="00DF59DB" w:rsidP="00D81313">
            <w:pPr>
              <w:pStyle w:val="TableParagraph"/>
              <w:ind w:left="972" w:right="962"/>
              <w:jc w:val="center"/>
              <w:rPr>
                <w:sz w:val="21"/>
              </w:rPr>
            </w:pPr>
            <w:r>
              <w:rPr>
                <w:color w:val="1B1B1B"/>
                <w:sz w:val="21"/>
              </w:rPr>
              <w:t>Apr-08,2015</w:t>
            </w:r>
          </w:p>
        </w:tc>
        <w:tc>
          <w:tcPr>
            <w:tcW w:w="3116" w:type="dxa"/>
          </w:tcPr>
          <w:p w14:paraId="702418A1" w14:textId="77777777" w:rsidR="00DF59DB" w:rsidRDefault="00DF59DB" w:rsidP="00D81313">
            <w:pPr>
              <w:pStyle w:val="TableParagraph"/>
              <w:ind w:left="1318"/>
              <w:rPr>
                <w:sz w:val="21"/>
              </w:rPr>
            </w:pPr>
            <w:r>
              <w:rPr>
                <w:color w:val="1B1B1B"/>
                <w:sz w:val="21"/>
              </w:rPr>
              <w:t>0.160</w:t>
            </w:r>
          </w:p>
        </w:tc>
        <w:tc>
          <w:tcPr>
            <w:tcW w:w="3117" w:type="dxa"/>
          </w:tcPr>
          <w:p w14:paraId="33D1C3B6" w14:textId="77777777" w:rsidR="00DF59DB" w:rsidRDefault="00DF59DB" w:rsidP="00D81313">
            <w:pPr>
              <w:pStyle w:val="TableParagraph"/>
              <w:ind w:left="1319"/>
              <w:rPr>
                <w:sz w:val="21"/>
              </w:rPr>
            </w:pPr>
            <w:r>
              <w:rPr>
                <w:color w:val="1B1B1B"/>
                <w:sz w:val="21"/>
              </w:rPr>
              <w:t>0.039</w:t>
            </w:r>
          </w:p>
        </w:tc>
      </w:tr>
      <w:tr w:rsidR="00DF59DB" w14:paraId="01DC1650" w14:textId="77777777" w:rsidTr="00D81313">
        <w:trPr>
          <w:trHeight w:val="256"/>
        </w:trPr>
        <w:tc>
          <w:tcPr>
            <w:tcW w:w="3116" w:type="dxa"/>
          </w:tcPr>
          <w:p w14:paraId="76A06B54" w14:textId="77777777" w:rsidR="00DF59DB" w:rsidRDefault="00DF59DB" w:rsidP="00D81313">
            <w:pPr>
              <w:pStyle w:val="TableParagraph"/>
              <w:ind w:left="972" w:right="962"/>
              <w:jc w:val="center"/>
              <w:rPr>
                <w:sz w:val="21"/>
              </w:rPr>
            </w:pPr>
            <w:r>
              <w:rPr>
                <w:color w:val="1B1B1B"/>
                <w:sz w:val="21"/>
              </w:rPr>
              <w:t>May-27,2015</w:t>
            </w:r>
          </w:p>
        </w:tc>
        <w:tc>
          <w:tcPr>
            <w:tcW w:w="3116" w:type="dxa"/>
          </w:tcPr>
          <w:p w14:paraId="0342702D" w14:textId="77777777" w:rsidR="00DF59DB" w:rsidRDefault="00DF59DB" w:rsidP="00D81313">
            <w:pPr>
              <w:pStyle w:val="TableParagraph"/>
              <w:ind w:left="1318"/>
              <w:rPr>
                <w:sz w:val="21"/>
              </w:rPr>
            </w:pPr>
            <w:r>
              <w:rPr>
                <w:color w:val="1B1B1B"/>
                <w:sz w:val="21"/>
              </w:rPr>
              <w:t>0.103</w:t>
            </w:r>
          </w:p>
        </w:tc>
        <w:tc>
          <w:tcPr>
            <w:tcW w:w="3117" w:type="dxa"/>
          </w:tcPr>
          <w:p w14:paraId="26D62F2A" w14:textId="77777777" w:rsidR="00DF59DB" w:rsidRDefault="00DF59DB" w:rsidP="00D81313">
            <w:pPr>
              <w:pStyle w:val="TableParagraph"/>
              <w:ind w:left="1319"/>
              <w:rPr>
                <w:sz w:val="21"/>
              </w:rPr>
            </w:pPr>
            <w:r>
              <w:rPr>
                <w:color w:val="1B1B1B"/>
                <w:sz w:val="21"/>
              </w:rPr>
              <w:t>0.026</w:t>
            </w:r>
          </w:p>
        </w:tc>
      </w:tr>
      <w:tr w:rsidR="00DF59DB" w14:paraId="71EB654F" w14:textId="77777777" w:rsidTr="00D81313">
        <w:trPr>
          <w:trHeight w:val="256"/>
        </w:trPr>
        <w:tc>
          <w:tcPr>
            <w:tcW w:w="3116" w:type="dxa"/>
          </w:tcPr>
          <w:p w14:paraId="73509A14" w14:textId="77777777" w:rsidR="00DF59DB" w:rsidRDefault="00DF59DB" w:rsidP="00D81313">
            <w:pPr>
              <w:pStyle w:val="TableParagraph"/>
              <w:ind w:left="972" w:right="961"/>
              <w:jc w:val="center"/>
              <w:rPr>
                <w:sz w:val="21"/>
              </w:rPr>
            </w:pPr>
            <w:r>
              <w:rPr>
                <w:color w:val="1B1B1B"/>
                <w:sz w:val="21"/>
              </w:rPr>
              <w:t>Jul-10,2015</w:t>
            </w:r>
          </w:p>
        </w:tc>
        <w:tc>
          <w:tcPr>
            <w:tcW w:w="3116" w:type="dxa"/>
          </w:tcPr>
          <w:p w14:paraId="7633F91C" w14:textId="77777777" w:rsidR="00DF59DB" w:rsidRDefault="00DF59DB" w:rsidP="00D81313">
            <w:pPr>
              <w:pStyle w:val="TableParagraph"/>
              <w:ind w:left="1318"/>
              <w:rPr>
                <w:sz w:val="21"/>
              </w:rPr>
            </w:pPr>
            <w:r>
              <w:rPr>
                <w:color w:val="1B1B1B"/>
                <w:sz w:val="21"/>
              </w:rPr>
              <w:t>1.100</w:t>
            </w:r>
          </w:p>
        </w:tc>
        <w:tc>
          <w:tcPr>
            <w:tcW w:w="3117" w:type="dxa"/>
          </w:tcPr>
          <w:p w14:paraId="42E8A414" w14:textId="77777777" w:rsidR="00DF59DB" w:rsidRDefault="00DF59DB" w:rsidP="00D81313">
            <w:pPr>
              <w:pStyle w:val="TableParagraph"/>
              <w:ind w:left="1319"/>
              <w:rPr>
                <w:sz w:val="21"/>
              </w:rPr>
            </w:pPr>
            <w:r>
              <w:rPr>
                <w:color w:val="1B1B1B"/>
                <w:sz w:val="21"/>
              </w:rPr>
              <w:t>0.130</w:t>
            </w:r>
          </w:p>
        </w:tc>
      </w:tr>
      <w:tr w:rsidR="00DF59DB" w14:paraId="3E867405" w14:textId="77777777" w:rsidTr="00D81313">
        <w:trPr>
          <w:trHeight w:val="256"/>
        </w:trPr>
        <w:tc>
          <w:tcPr>
            <w:tcW w:w="3116" w:type="dxa"/>
          </w:tcPr>
          <w:p w14:paraId="6E9A83EE" w14:textId="77777777" w:rsidR="00DF59DB" w:rsidRDefault="00DF59DB" w:rsidP="00D81313">
            <w:pPr>
              <w:pStyle w:val="TableParagraph"/>
              <w:ind w:left="972" w:right="962"/>
              <w:jc w:val="center"/>
              <w:rPr>
                <w:sz w:val="21"/>
              </w:rPr>
            </w:pPr>
            <w:r>
              <w:rPr>
                <w:color w:val="1B1B1B"/>
                <w:sz w:val="21"/>
              </w:rPr>
              <w:t>Nov-30,2015</w:t>
            </w:r>
          </w:p>
        </w:tc>
        <w:tc>
          <w:tcPr>
            <w:tcW w:w="3116" w:type="dxa"/>
          </w:tcPr>
          <w:p w14:paraId="38C42198" w14:textId="77777777" w:rsidR="00DF59DB" w:rsidRDefault="00DF59DB" w:rsidP="00D81313">
            <w:pPr>
              <w:pStyle w:val="TableParagraph"/>
              <w:ind w:left="1318"/>
              <w:rPr>
                <w:sz w:val="21"/>
              </w:rPr>
            </w:pPr>
            <w:r>
              <w:rPr>
                <w:color w:val="1B1B1B"/>
                <w:sz w:val="21"/>
              </w:rPr>
              <w:t>0.478</w:t>
            </w:r>
          </w:p>
        </w:tc>
        <w:tc>
          <w:tcPr>
            <w:tcW w:w="3117" w:type="dxa"/>
          </w:tcPr>
          <w:p w14:paraId="57499FDB" w14:textId="77777777" w:rsidR="00DF59DB" w:rsidRDefault="00DF59DB" w:rsidP="00D81313">
            <w:pPr>
              <w:pStyle w:val="TableParagraph"/>
              <w:ind w:left="1319"/>
              <w:rPr>
                <w:sz w:val="21"/>
              </w:rPr>
            </w:pPr>
            <w:r>
              <w:rPr>
                <w:color w:val="1B1B1B"/>
                <w:sz w:val="21"/>
              </w:rPr>
              <w:t>0.141</w:t>
            </w:r>
          </w:p>
        </w:tc>
      </w:tr>
    </w:tbl>
    <w:p w14:paraId="471DA707" w14:textId="77777777" w:rsidR="00DF59DB" w:rsidRPr="00573CF5" w:rsidRDefault="00DF59DB" w:rsidP="00DF59DB">
      <w:pPr>
        <w:rPr>
          <w:rFonts w:eastAsiaTheme="minorEastAsia"/>
          <w:sz w:val="21"/>
          <w:lang w:eastAsia="zh-CN"/>
        </w:rPr>
        <w:sectPr w:rsidR="00DF59DB" w:rsidRPr="00573CF5">
          <w:pgSz w:w="12240" w:h="15840"/>
          <w:pgMar w:top="1400" w:right="1160" w:bottom="960" w:left="1220" w:header="0" w:footer="764" w:gutter="0"/>
          <w:cols w:space="720"/>
        </w:sectPr>
      </w:pPr>
      <w:r>
        <w:rPr>
          <w:rFonts w:eastAsiaTheme="minorEastAsia" w:hint="eastAsia"/>
          <w:sz w:val="21"/>
          <w:lang w:eastAsia="zh-CN"/>
        </w:rPr>
        <w:t xml:space="preserve">Note: PSA, prostate specific antigen; TPSA, total prostate specific antigen; </w:t>
      </w:r>
      <w:proofErr w:type="spellStart"/>
      <w:r>
        <w:rPr>
          <w:rFonts w:eastAsiaTheme="minorEastAsia" w:hint="eastAsia"/>
          <w:sz w:val="21"/>
          <w:lang w:eastAsia="zh-CN"/>
        </w:rPr>
        <w:t>FrPSA</w:t>
      </w:r>
      <w:proofErr w:type="spellEnd"/>
      <w:r>
        <w:rPr>
          <w:rFonts w:eastAsiaTheme="minorEastAsia" w:hint="eastAsia"/>
          <w:sz w:val="21"/>
          <w:lang w:eastAsia="zh-CN"/>
        </w:rPr>
        <w:t>, free prostate specific antigen</w:t>
      </w:r>
    </w:p>
    <w:p w14:paraId="579D8EC2" w14:textId="77777777" w:rsidR="00EC6C8E" w:rsidRDefault="00EC6C8E"/>
    <w:sectPr w:rsidR="00EC6C8E" w:rsidSect="00EC6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9DB"/>
    <w:rsid w:val="007576BB"/>
    <w:rsid w:val="009473FE"/>
    <w:rsid w:val="00DF59DB"/>
    <w:rsid w:val="00EC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26C63"/>
  <w15:docId w15:val="{3F5EEB96-29E0-4842-98A8-EAD0C26F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F59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F59DB"/>
    <w:pPr>
      <w:widowControl w:val="0"/>
      <w:autoSpaceDE w:val="0"/>
      <w:autoSpaceDN w:val="0"/>
      <w:spacing w:after="0" w:line="240" w:lineRule="auto"/>
    </w:pPr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F59D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59DB"/>
    <w:rPr>
      <w:rFonts w:ascii="Calibri" w:eastAsia="Calibri" w:hAnsi="Calibri" w:cs="Calibri"/>
      <w:sz w:val="24"/>
      <w:szCs w:val="24"/>
      <w:lang w:eastAsia="en-US" w:bidi="en-US"/>
    </w:rPr>
  </w:style>
  <w:style w:type="paragraph" w:customStyle="1" w:styleId="TableParagraph">
    <w:name w:val="Table Paragraph"/>
    <w:basedOn w:val="Normal"/>
    <w:uiPriority w:val="1"/>
    <w:qFormat/>
    <w:rsid w:val="00DF59DB"/>
    <w:pPr>
      <w:spacing w:line="23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GF20200909</dc:creator>
  <cp:lastModifiedBy>Patel, Sonam Kajal</cp:lastModifiedBy>
  <cp:revision>4</cp:revision>
  <dcterms:created xsi:type="dcterms:W3CDTF">2021-03-27T15:16:00Z</dcterms:created>
  <dcterms:modified xsi:type="dcterms:W3CDTF">2021-04-01T01:03:00Z</dcterms:modified>
</cp:coreProperties>
</file>