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793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52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Classification</w:t>
            </w:r>
          </w:p>
        </w:tc>
        <w:tc>
          <w:tcPr>
            <w:tcW w:w="333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BTC patients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（n=75）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60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638" w:firstLineChars="304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Tumor category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GBC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37（49.33 %）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BDC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34（45.33 %）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AVC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4 （ 5.33 %）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638" w:firstLineChars="304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Pathology 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Low differentiation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12（16.00 %）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Low-middle differentiation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34（45.33 %）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Middle differentiation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18（24.00 %）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Middle-high differentiation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5 （ 6.67 %）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High differentiation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6 （ 8.00 %）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638" w:firstLineChars="304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istological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Adenocarcinoma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69（92.00 %）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Squamous carcinoma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1 （ 1.33 %）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euroendocrine carcinoma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2 （ 2.67 %）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Others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 （ 4.00 %）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638" w:firstLineChars="304"/>
              <w:jc w:val="left"/>
              <w:textAlignment w:val="auto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cTNM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6 （ 8.00 %）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Ⅱ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2 （ 2.67 %）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Ⅲ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29（38.67 %）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3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420" w:firstLineChars="2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Ⅳ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38（50.67 %）</w:t>
            </w:r>
          </w:p>
        </w:tc>
      </w:tr>
    </w:tbl>
    <w:p>
      <w:pPr>
        <w:autoSpaceDE w:val="0"/>
        <w:spacing w:line="300" w:lineRule="auto"/>
        <w:jc w:val="both"/>
        <w:rPr>
          <w:rFonts w:hint="default" w:ascii="Times New Roman" w:hAnsi="Times New Roman" w:eastAsia="宋体"/>
          <w:color w:val="000000"/>
          <w:kern w:val="0"/>
          <w:sz w:val="20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  <w:t xml:space="preserve">Table </w:t>
      </w:r>
      <w:r>
        <w:rPr>
          <w:rFonts w:hint="default" w:ascii="Times New Roman" w:hAnsi="Times New Roman"/>
          <w:color w:val="000000"/>
          <w:kern w:val="0"/>
          <w:sz w:val="20"/>
          <w:lang w:val="en-US" w:eastAsia="zh-CN"/>
        </w:rPr>
        <w:t>S</w:t>
      </w:r>
      <w: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  <w:t>1. Distribution of patients with BTC</w:t>
      </w: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autoSpaceDE w:val="0"/>
        <w:spacing w:line="300" w:lineRule="auto"/>
        <w:jc w:val="center"/>
        <w:rPr>
          <w:rFonts w:ascii="Times New Roman" w:hAnsi="Times New Roman"/>
          <w:color w:val="000000"/>
          <w:kern w:val="0"/>
          <w:sz w:val="20"/>
        </w:rPr>
      </w:pPr>
    </w:p>
    <w:p>
      <w:pPr>
        <w:rPr>
          <w:rFonts w:ascii="Times New Roman" w:hAnsi="Times New Roman"/>
          <w:color w:val="000000"/>
          <w:kern w:val="0"/>
          <w:sz w:val="20"/>
        </w:rPr>
      </w:pPr>
      <w:r>
        <w:rPr>
          <w:rFonts w:ascii="Times New Roman" w:hAnsi="Times New Roman"/>
          <w:color w:val="000000"/>
          <w:kern w:val="0"/>
          <w:sz w:val="20"/>
        </w:rPr>
        <w:br w:type="page"/>
      </w:r>
    </w:p>
    <w:tbl>
      <w:tblPr>
        <w:tblStyle w:val="5"/>
        <w:tblpPr w:leftFromText="180" w:rightFromText="180" w:vertAnchor="page" w:horzAnchor="page" w:tblpX="1937" w:tblpY="17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Total RNA (100ng) + Labeling Spike-In 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phosphatase treatment, incubate 30 minutes, 37℃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Dephosphorylated RNA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add DMSO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heat, 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4"/>
                <w:szCs w:val="24"/>
                <w:lang w:val="en-US" w:eastAsia="zh-CN" w:bidi="ar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assemble labeling reaction, incubate 2 hours, 16℃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Labeled RNA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4"/>
                <w:szCs w:val="24"/>
                <w:lang w:val="en-US" w:eastAsia="zh-CN" w:bidi="ar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desalt with Spin Column 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Desalted Labeled RNA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4"/>
                <w:szCs w:val="24"/>
                <w:lang w:val="en-US" w:eastAsia="zh-CN" w:bidi="ar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dry sample with vacuum concentrator,</w:t>
            </w:r>
            <w:r>
              <w:rPr>
                <w:rFonts w:hint="eastAsia" w:ascii="Times New Roman" w:hAnsi="Times New Roman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 to 3 hours (1 hour with columns), 45℃ to 55℃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4"/>
                <w:szCs w:val="24"/>
                <w:lang w:val="en-US" w:eastAsia="zh-CN" w:bidi="ar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assemble hybridization mixture+ Hyb Spike-In 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4"/>
                <w:szCs w:val="24"/>
                <w:lang w:val="en-US" w:eastAsia="zh-CN" w:bidi="ar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heat, 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4"/>
                <w:szCs w:val="24"/>
                <w:lang w:val="en-US" w:eastAsia="zh-CN" w:bidi="ar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hybridize 20 hours, 55℃, 20RPM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color w:val="000000"/>
                <w:kern w:val="2"/>
                <w:sz w:val="24"/>
                <w:szCs w:val="24"/>
                <w:lang w:val="en-US" w:eastAsia="zh-CN" w:bidi="ar"/>
              </w:rPr>
              <w:t>↓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wash,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right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miRNA Profile</w:t>
            </w:r>
          </w:p>
        </w:tc>
      </w:tr>
    </w:tbl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</w:p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  <w:t xml:space="preserve">Table S2. The specific experimental process of low-density chip sequencing </w:t>
      </w:r>
      <w:bookmarkStart w:id="0" w:name="_GoBack"/>
      <w:bookmarkEnd w:id="0"/>
    </w:p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</w:p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</w:p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</w:p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</w:p>
    <w:tbl>
      <w:tblPr>
        <w:tblStyle w:val="5"/>
        <w:tblW w:w="8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555"/>
        <w:gridCol w:w="42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5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Constituent 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Volume (μL) per Reaction</w:t>
            </w:r>
          </w:p>
        </w:tc>
        <w:tc>
          <w:tcPr>
            <w:tcW w:w="182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Volume (μL) per 9 Reaction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25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10× calf intestinal alkaline phosphatase buffer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0.4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Labeling of spike-in solution (3 times dilution)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1.1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Calf intestinal alkaline phosphatase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0.5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5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Total volume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2.0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18.0</w:t>
            </w:r>
          </w:p>
        </w:tc>
      </w:tr>
    </w:tbl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  <w:t>Table S3. Preparation of dephosphorylated mixture</w:t>
      </w:r>
    </w:p>
    <w:p>
      <w:pPr>
        <w:rPr>
          <w:rFonts w:ascii="Times New Roman" w:hAnsi="Times New Roman"/>
          <w:color w:val="000000"/>
          <w:kern w:val="0"/>
          <w:sz w:val="20"/>
        </w:rPr>
      </w:pPr>
      <w:r>
        <w:rPr>
          <w:rFonts w:ascii="Times New Roman" w:hAnsi="Times New Roman"/>
          <w:color w:val="000000"/>
          <w:kern w:val="0"/>
          <w:sz w:val="20"/>
        </w:rPr>
        <w:br w:type="page"/>
      </w:r>
    </w:p>
    <w:tbl>
      <w:tblPr>
        <w:tblStyle w:val="5"/>
        <w:tblW w:w="8300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6"/>
        <w:gridCol w:w="212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90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br w:type="page"/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 xml:space="preserve">Constituent </w:t>
            </w:r>
          </w:p>
        </w:tc>
        <w:tc>
          <w:tcPr>
            <w:tcW w:w="2121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Volume (μL) per Reaction</w:t>
            </w:r>
          </w:p>
        </w:tc>
        <w:tc>
          <w:tcPr>
            <w:tcW w:w="227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Volume (μL) per 9 Reaction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90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10× T4 RNA ligase buffer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0.4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 w:eastAsia="zh-CN" w:bidi="ar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Cyanine 3-pCp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1.1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T4 RNA ligase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90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Total volume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 w:eastAsia="zh-CN" w:bidi="ar"/>
              </w:rPr>
              <w:t>2.0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 w:eastAsia="zh-CN" w:bidi="ar"/>
              </w:rPr>
              <w:t>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30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The reaction mixture should be prepared before use, placed on ice and used within 15 minutes</w:t>
            </w:r>
          </w:p>
        </w:tc>
      </w:tr>
    </w:tbl>
    <w:p>
      <w:pP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  <w:t>Table S4. Combination reaction mixture preparation method</w:t>
      </w:r>
    </w:p>
    <w:tbl>
      <w:tblPr>
        <w:tblStyle w:val="5"/>
        <w:tblW w:w="7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325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Test Variable</w:t>
            </w:r>
          </w:p>
        </w:tc>
        <w:tc>
          <w:tcPr>
            <w:tcW w:w="4395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The malignant group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(n=75)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/>
                <w:iCs/>
                <w:kern w:val="0"/>
                <w:sz w:val="21"/>
                <w:szCs w:val="21"/>
                <w:lang w:val="en-US" w:eastAsia="zh-CN"/>
              </w:rPr>
              <w:t>vs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The benign group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（n=20） P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325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Gender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 xml:space="preserve">Age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≥60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years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Gallstones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PTCD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Hypertension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Diabetes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Laboratory detection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Hb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RBC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WBC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0.633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Neutrophil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0.359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TBIL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DBIL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LDH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Urobilinogen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Urobilin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Hepatitis 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Ferr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CA19-9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CEA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AFP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2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1058" w:firstLineChars="504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CA242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0.417</w:t>
            </w:r>
          </w:p>
        </w:tc>
      </w:tr>
    </w:tbl>
    <w:p>
      <w:pPr>
        <w:autoSpaceDE w:val="0"/>
        <w:spacing w:line="300" w:lineRule="auto"/>
        <w:jc w:val="both"/>
        <w:rPr>
          <w:rFonts w:ascii="Times New Roman" w:hAnsi="Times New Roman"/>
          <w:color w:val="000000"/>
          <w:kern w:val="0"/>
          <w:sz w:val="20"/>
        </w:rPr>
      </w:pPr>
      <w:r>
        <w:rPr>
          <w:rFonts w:hint="eastAsia" w:ascii="Times New Roman" w:hAnsi="Times New Roman"/>
          <w:color w:val="000000"/>
          <w:kern w:val="0"/>
          <w:sz w:val="20"/>
          <w:lang w:val="en-US" w:eastAsia="zh-CN"/>
        </w:rPr>
        <w:t>Ta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ble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S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. Statistical description of 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BTC and BBD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45"/>
        <w:gridCol w:w="211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31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Test Variable</w:t>
            </w:r>
          </w:p>
        </w:tc>
        <w:tc>
          <w:tcPr>
            <w:tcW w:w="2145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the malignant group </w:t>
            </w:r>
            <w:r>
              <w:rPr>
                <w:rFonts w:hint="eastAsia" w:ascii="Times New Roman" w:hAnsi="Times New Roman"/>
                <w:i/>
                <w:color w:val="000000"/>
                <w:kern w:val="0"/>
                <w:sz w:val="20"/>
              </w:rPr>
              <w:t>vs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 xml:space="preserve"> the benign group</w:t>
            </w:r>
          </w:p>
        </w:tc>
        <w:tc>
          <w:tcPr>
            <w:tcW w:w="2115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the malignant group </w:t>
            </w:r>
            <w:r>
              <w:rPr>
                <w:rFonts w:hint="eastAsia" w:ascii="Times New Roman" w:hAnsi="Times New Roman"/>
                <w:i/>
                <w:color w:val="000000"/>
                <w:kern w:val="0"/>
                <w:sz w:val="20"/>
              </w:rPr>
              <w:t>vs</w:t>
            </w:r>
            <w:r>
              <w:rPr>
                <w:rFonts w:hint="eastAsia" w:ascii="宋体" w:hAnsi="宋体"/>
                <w:i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the control group</w:t>
            </w:r>
          </w:p>
        </w:tc>
        <w:tc>
          <w:tcPr>
            <w:tcW w:w="212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the benign group </w:t>
            </w:r>
            <w:r>
              <w:rPr>
                <w:rFonts w:hint="eastAsia" w:ascii="Times New Roman" w:hAnsi="Times New Roman"/>
                <w:i/>
                <w:color w:val="000000"/>
                <w:kern w:val="0"/>
                <w:sz w:val="20"/>
              </w:rPr>
              <w:t>vs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 the control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hsa-miR-10a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0.923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0.012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hsa-miR-21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0.667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0.006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hsa-miR-23a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0.116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0.357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hsa-miR-106a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0.551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0.902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hsa-miR-130a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0.072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0.676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hsa-miR-135b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0.435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0.006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hsa-miR-143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0.740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0.272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hsa-miR-145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0.119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0.074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hsa-miR-200c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0.421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0.134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hsa-miR-221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0.041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0.022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hsa-miR-214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0.926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0.031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hsa-miR-483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0.001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0.588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3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400" w:firstLineChars="200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hsa-miR-627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0.097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0.075</w:t>
            </w:r>
          </w:p>
        </w:tc>
      </w:tr>
    </w:tbl>
    <w:p>
      <w:r>
        <w:rPr>
          <w:rFonts w:hint="eastAsia"/>
        </w:rPr>
        <w:t>Table</w:t>
      </w:r>
      <w:r>
        <w:t xml:space="preserve"> </w:t>
      </w:r>
      <w:r>
        <w:rPr>
          <w:rFonts w:hint="default"/>
          <w:lang w:val="en-US"/>
        </w:rPr>
        <w:t>S</w:t>
      </w:r>
      <w:r>
        <w:rPr>
          <w:rFonts w:hint="eastAsia"/>
          <w:lang w:val="en-US" w:eastAsia="zh-CN"/>
        </w:rPr>
        <w:t>6</w:t>
      </w:r>
      <w:r>
        <w:t>. Pairwise comparison of miRNAs between groups</w:t>
      </w:r>
    </w:p>
    <w:p/>
    <w:p>
      <w:pPr>
        <w:rPr>
          <w:rFonts w:hint="eastAsia"/>
        </w:rPr>
      </w:pPr>
    </w:p>
    <w:tbl>
      <w:tblPr>
        <w:tblStyle w:val="5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090"/>
        <w:gridCol w:w="2215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8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Test Variable</w:t>
            </w:r>
          </w:p>
        </w:tc>
        <w:tc>
          <w:tcPr>
            <w:tcW w:w="209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the malignant group </w:t>
            </w:r>
            <w:r>
              <w:rPr>
                <w:rFonts w:hint="eastAsia" w:ascii="Times New Roman" w:hAnsi="Times New Roman"/>
                <w:i/>
                <w:color w:val="000000"/>
                <w:kern w:val="0"/>
                <w:sz w:val="20"/>
              </w:rPr>
              <w:t>vs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 the benign group</w:t>
            </w:r>
          </w:p>
        </w:tc>
        <w:tc>
          <w:tcPr>
            <w:tcW w:w="2215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the malignant group </w:t>
            </w:r>
            <w:r>
              <w:rPr>
                <w:rFonts w:hint="eastAsia" w:ascii="Times New Roman" w:hAnsi="Times New Roman"/>
                <w:i/>
                <w:color w:val="000000"/>
                <w:kern w:val="0"/>
                <w:sz w:val="20"/>
              </w:rPr>
              <w:t>vs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 the control group</w:t>
            </w:r>
          </w:p>
        </w:tc>
        <w:tc>
          <w:tcPr>
            <w:tcW w:w="219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the benign group </w:t>
            </w:r>
            <w:r>
              <w:rPr>
                <w:rFonts w:hint="eastAsia" w:ascii="Times New Roman" w:hAnsi="Times New Roman"/>
                <w:i/>
                <w:color w:val="000000"/>
                <w:kern w:val="0"/>
                <w:sz w:val="20"/>
              </w:rPr>
              <w:t>vs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 xml:space="preserve"> the control group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208" w:firstLineChars="104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hsa-miR-10a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0.517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208" w:firstLineChars="104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hsa-miR-21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0.542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208" w:firstLineChars="104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hsa-miR-135b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0.121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208" w:firstLineChars="104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hsa-miR-214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0.386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0.002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208" w:firstLineChars="104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hsa-miR-221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0.005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 w:firstLine="208" w:firstLineChars="104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hsa-miR-483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0.981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</w:tbl>
    <w:p>
      <w:r>
        <w:rPr>
          <w:rFonts w:hint="eastAsia"/>
        </w:rPr>
        <w:t>T</w:t>
      </w:r>
      <w:r>
        <w:t xml:space="preserve">able </w:t>
      </w:r>
      <w:r>
        <w:rPr>
          <w:rFonts w:hint="default"/>
          <w:lang w:val="en-US"/>
        </w:rPr>
        <w:t>S</w:t>
      </w:r>
      <w:r>
        <w:rPr>
          <w:rFonts w:hint="eastAsia"/>
          <w:lang w:val="en-US" w:eastAsia="zh-CN"/>
        </w:rPr>
        <w:t>7</w:t>
      </w:r>
      <w:r>
        <w:t>. Pairwise comparisons of miRNAs in the malignant, the benign, and the control groups in verification test</w:t>
      </w:r>
    </w:p>
    <w:p/>
    <w:tbl>
      <w:tblPr>
        <w:tblStyle w:val="5"/>
        <w:tblW w:w="824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66"/>
        <w:gridCol w:w="1275"/>
        <w:gridCol w:w="1291"/>
        <w:gridCol w:w="1291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1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Test Variable</w:t>
            </w:r>
          </w:p>
        </w:tc>
        <w:tc>
          <w:tcPr>
            <w:tcW w:w="1366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area under curve (AUC)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standard error (SE)</w:t>
            </w:r>
          </w:p>
        </w:tc>
        <w:tc>
          <w:tcPr>
            <w:tcW w:w="1291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P value</w:t>
            </w:r>
          </w:p>
        </w:tc>
        <w:tc>
          <w:tcPr>
            <w:tcW w:w="268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95% confidence interval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color w:val="000000"/>
                <w:kern w:val="2"/>
                <w:sz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color w:val="000000"/>
                <w:kern w:val="2"/>
                <w:sz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color w:val="000000"/>
                <w:kern w:val="2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color w:val="000000"/>
                <w:kern w:val="2"/>
                <w:sz w:val="21"/>
              </w:rPr>
            </w:pPr>
          </w:p>
        </w:tc>
        <w:tc>
          <w:tcPr>
            <w:tcW w:w="1291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lower limit</w:t>
            </w:r>
          </w:p>
        </w:tc>
        <w:tc>
          <w:tcPr>
            <w:tcW w:w="1396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</w:rPr>
              <w:t>upper limit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 xml:space="preserve"> hsa-miR-10a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0.554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 xml:space="preserve"> hsa-miR-21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0.578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 xml:space="preserve"> hsa-miR-135b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0.064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0.530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 xml:space="preserve"> hsa-miR-214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0.506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2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 xml:space="preserve"> hsa-miR-221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0.724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0.064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0.002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0.598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  <w:t>0.850</w:t>
            </w:r>
          </w:p>
        </w:tc>
      </w:tr>
    </w:tbl>
    <w:p>
      <w:r>
        <w:rPr>
          <w:rFonts w:hint="eastAsia"/>
        </w:rPr>
        <w:t>T</w:t>
      </w:r>
      <w:r>
        <w:t xml:space="preserve">able </w:t>
      </w:r>
      <w:r>
        <w:rPr>
          <w:rFonts w:hint="default"/>
          <w:lang w:val="en-US"/>
        </w:rPr>
        <w:t>S</w:t>
      </w:r>
      <w:r>
        <w:rPr>
          <w:rFonts w:hint="eastAsia"/>
          <w:lang w:val="en-US" w:eastAsia="zh-CN"/>
        </w:rPr>
        <w:t>8</w:t>
      </w:r>
      <w:r>
        <w:t>. Distribution information of the ROC of five miRNAs subject characteristics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61"/>
    <w:rsid w:val="001C6EEC"/>
    <w:rsid w:val="00584CA6"/>
    <w:rsid w:val="00653BBE"/>
    <w:rsid w:val="00682D9F"/>
    <w:rsid w:val="00683F94"/>
    <w:rsid w:val="00871E61"/>
    <w:rsid w:val="00905347"/>
    <w:rsid w:val="009078A7"/>
    <w:rsid w:val="0093258C"/>
    <w:rsid w:val="00A20C75"/>
    <w:rsid w:val="00BF73E0"/>
    <w:rsid w:val="00C7032F"/>
    <w:rsid w:val="00C95526"/>
    <w:rsid w:val="00D1116B"/>
    <w:rsid w:val="00F809C1"/>
    <w:rsid w:val="00FC6161"/>
    <w:rsid w:val="045166C0"/>
    <w:rsid w:val="06DF1051"/>
    <w:rsid w:val="07283F71"/>
    <w:rsid w:val="085E0FB0"/>
    <w:rsid w:val="0C277958"/>
    <w:rsid w:val="0CD6191D"/>
    <w:rsid w:val="13D66CE6"/>
    <w:rsid w:val="1CBE7A15"/>
    <w:rsid w:val="1EAF343C"/>
    <w:rsid w:val="2A101DEB"/>
    <w:rsid w:val="30A91B0E"/>
    <w:rsid w:val="3EFE67E1"/>
    <w:rsid w:val="54080C35"/>
    <w:rsid w:val="563D6BEF"/>
    <w:rsid w:val="5BCE2BCC"/>
    <w:rsid w:val="717C5C9E"/>
    <w:rsid w:val="73962BA1"/>
    <w:rsid w:val="78D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1242</Characters>
  <Lines>10</Lines>
  <Paragraphs>2</Paragraphs>
  <TotalTime>0</TotalTime>
  <ScaleCrop>false</ScaleCrop>
  <LinksUpToDate>false</LinksUpToDate>
  <CharactersWithSpaces>1457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2019-06-12T13:26:00Z</dcterms:created>
  <dc:creator>周 正阳</dc:creator>
  <cp:lastModifiedBy>OldFox</cp:lastModifiedBy>
  <dcterms:modified xsi:type="dcterms:W3CDTF">2021-03-09T02:32:10Z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