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C9F49" w14:textId="77777777" w:rsidR="00457B4B" w:rsidRPr="00F63A90" w:rsidRDefault="00457B4B" w:rsidP="004737E0">
      <w:pPr>
        <w:rPr>
          <w:rFonts w:ascii="Arial" w:hAnsi="Arial" w:cs="Arial"/>
          <w:sz w:val="24"/>
          <w:szCs w:val="24"/>
        </w:rPr>
      </w:pPr>
      <w:bookmarkStart w:id="0" w:name="_GoBack"/>
      <w:bookmarkEnd w:id="0"/>
      <w:r>
        <w:rPr>
          <w:rFonts w:ascii="Arial" w:hAnsi="Arial" w:cs="Arial"/>
          <w:sz w:val="24"/>
          <w:szCs w:val="24"/>
        </w:rPr>
        <w:t>SUPPLEMENTARY DATA</w:t>
      </w:r>
    </w:p>
    <w:p w14:paraId="39B76A38" w14:textId="77777777" w:rsidR="00457B4B" w:rsidRPr="00F63A90" w:rsidRDefault="00457B4B" w:rsidP="004737E0">
      <w:pPr>
        <w:spacing w:after="0" w:line="480" w:lineRule="auto"/>
        <w:rPr>
          <w:rFonts w:ascii="Arial" w:eastAsia="Times New Roman" w:hAnsi="Arial" w:cs="Times New Roman"/>
          <w:sz w:val="24"/>
          <w:szCs w:val="24"/>
        </w:rPr>
      </w:pPr>
      <w:r w:rsidRPr="00F63A90">
        <w:rPr>
          <w:rFonts w:ascii="Arial" w:eastAsia="Times New Roman" w:hAnsi="Arial" w:cs="Times New Roman"/>
          <w:sz w:val="24"/>
          <w:szCs w:val="24"/>
        </w:rPr>
        <w:t>Jones et al</w:t>
      </w:r>
    </w:p>
    <w:p w14:paraId="4C72B0BF" w14:textId="71272C83" w:rsidR="00457B4B" w:rsidRPr="004737E0" w:rsidRDefault="00457B4B" w:rsidP="004737E0">
      <w:pPr>
        <w:pStyle w:val="Heading1"/>
        <w:keepLines w:val="0"/>
        <w:spacing w:after="60" w:line="480" w:lineRule="auto"/>
        <w:rPr>
          <w:rFonts w:ascii="Arial" w:eastAsia="Times New Roman" w:hAnsi="Arial" w:cs="Arial"/>
          <w:b/>
          <w:bCs/>
          <w:color w:val="auto"/>
          <w:kern w:val="32"/>
        </w:rPr>
      </w:pPr>
      <w:r w:rsidRPr="00F63A90">
        <w:rPr>
          <w:rFonts w:ascii="Arial" w:eastAsia="Times New Roman" w:hAnsi="Arial" w:cs="Arial"/>
          <w:b/>
          <w:bCs/>
          <w:color w:val="auto"/>
          <w:kern w:val="32"/>
        </w:rPr>
        <w:t>Ferric carboxymaltose for anemic perioperative</w:t>
      </w:r>
      <w:r w:rsidRPr="004737E0">
        <w:rPr>
          <w:rFonts w:ascii="Arial" w:eastAsia="Times New Roman" w:hAnsi="Arial" w:cs="Arial"/>
          <w:b/>
          <w:bCs/>
          <w:color w:val="auto"/>
          <w:kern w:val="32"/>
        </w:rPr>
        <w:t xml:space="preserve"> populations: a systemati</w:t>
      </w:r>
      <w:r w:rsidR="00FB7784">
        <w:rPr>
          <w:rFonts w:ascii="Arial" w:eastAsia="Times New Roman" w:hAnsi="Arial" w:cs="Arial"/>
          <w:b/>
          <w:bCs/>
          <w:color w:val="auto"/>
          <w:kern w:val="32"/>
        </w:rPr>
        <w:t>c</w:t>
      </w:r>
      <w:r w:rsidRPr="004737E0">
        <w:rPr>
          <w:rFonts w:ascii="Arial" w:eastAsia="Times New Roman" w:hAnsi="Arial" w:cs="Arial"/>
          <w:b/>
          <w:bCs/>
          <w:color w:val="auto"/>
          <w:kern w:val="32"/>
        </w:rPr>
        <w:t xml:space="preserve"> literature review of randomized controlled trials</w:t>
      </w:r>
    </w:p>
    <w:p w14:paraId="66F37763" w14:textId="77777777" w:rsidR="00457B4B" w:rsidRPr="000172B0" w:rsidRDefault="00457B4B" w:rsidP="000A3359">
      <w:pPr>
        <w:pStyle w:val="Heading2"/>
        <w:keepNext w:val="0"/>
        <w:keepLines w:val="0"/>
        <w:rPr>
          <w:rFonts w:ascii="Arial" w:hAnsi="Arial" w:cs="Arial"/>
          <w:b/>
          <w:color w:val="000000" w:themeColor="text1"/>
          <w:sz w:val="24"/>
          <w:szCs w:val="24"/>
        </w:rPr>
      </w:pPr>
      <w:r w:rsidRPr="000172B0">
        <w:rPr>
          <w:rFonts w:ascii="Arial" w:hAnsi="Arial" w:cs="Arial"/>
          <w:b/>
          <w:color w:val="000000" w:themeColor="text1"/>
          <w:sz w:val="24"/>
          <w:szCs w:val="24"/>
        </w:rPr>
        <w:t>APPENDICES</w:t>
      </w:r>
    </w:p>
    <w:p w14:paraId="2537EF4D" w14:textId="77777777" w:rsidR="00457B4B" w:rsidRPr="002B74C8" w:rsidRDefault="00457B4B" w:rsidP="00B85D42">
      <w:pPr>
        <w:ind w:left="720" w:hanging="720"/>
        <w:rPr>
          <w:rFonts w:ascii="Arial" w:hAnsi="Arial" w:cs="Arial"/>
          <w:szCs w:val="24"/>
        </w:rPr>
      </w:pPr>
    </w:p>
    <w:p w14:paraId="6DE42ABF" w14:textId="77777777" w:rsidR="00457B4B" w:rsidRPr="000172B0" w:rsidRDefault="00457B4B" w:rsidP="00CA6F6E">
      <w:pPr>
        <w:pStyle w:val="Heading3"/>
        <w:keepLines w:val="0"/>
        <w:rPr>
          <w:rFonts w:ascii="Arial" w:hAnsi="Arial" w:cs="Arial"/>
          <w:b/>
          <w:color w:val="000000" w:themeColor="text1"/>
        </w:rPr>
      </w:pPr>
      <w:r w:rsidRPr="000172B0">
        <w:rPr>
          <w:rFonts w:ascii="Arial" w:hAnsi="Arial" w:cs="Arial"/>
          <w:b/>
          <w:color w:val="000000" w:themeColor="text1"/>
        </w:rPr>
        <w:t xml:space="preserve">Appendix </w:t>
      </w:r>
      <w:r>
        <w:rPr>
          <w:rFonts w:ascii="Arial" w:hAnsi="Arial" w:cs="Arial"/>
          <w:b/>
          <w:color w:val="000000" w:themeColor="text1"/>
        </w:rPr>
        <w:t>1</w:t>
      </w:r>
      <w:r w:rsidRPr="000172B0">
        <w:rPr>
          <w:rFonts w:ascii="Arial" w:hAnsi="Arial" w:cs="Arial"/>
          <w:b/>
          <w:color w:val="000000" w:themeColor="text1"/>
        </w:rPr>
        <w:t>: Search Strategies</w:t>
      </w:r>
    </w:p>
    <w:p w14:paraId="6548D00E" w14:textId="77777777" w:rsidR="00457B4B" w:rsidRPr="007011A3" w:rsidRDefault="00457B4B" w:rsidP="00CA6F6E">
      <w:pPr>
        <w:keepNext/>
        <w:rPr>
          <w:rFonts w:ascii="Arial" w:hAnsi="Arial" w:cs="Arial"/>
          <w:b/>
          <w:sz w:val="24"/>
          <w:szCs w:val="24"/>
        </w:rPr>
      </w:pPr>
      <w:r w:rsidRPr="007011A3">
        <w:rPr>
          <w:rFonts w:ascii="Arial" w:hAnsi="Arial" w:cs="Arial"/>
          <w:b/>
          <w:sz w:val="24"/>
          <w:szCs w:val="24"/>
        </w:rPr>
        <w:t>PubMed</w:t>
      </w:r>
    </w:p>
    <w:p w14:paraId="35628DDE" w14:textId="77777777" w:rsidR="00457B4B" w:rsidRPr="002B74C8" w:rsidRDefault="00457B4B" w:rsidP="00B85D42">
      <w:pPr>
        <w:rPr>
          <w:rFonts w:ascii="Arial" w:hAnsi="Arial" w:cs="Arial"/>
          <w:szCs w:val="24"/>
        </w:rPr>
      </w:pPr>
      <w:r w:rsidRPr="002B74C8">
        <w:rPr>
          <w:rFonts w:ascii="Arial" w:hAnsi="Arial" w:cs="Arial"/>
          <w:szCs w:val="24"/>
        </w:rPr>
        <w:t>1.</w:t>
      </w:r>
      <w:r w:rsidRPr="002B74C8">
        <w:rPr>
          <w:rFonts w:ascii="Arial" w:hAnsi="Arial" w:cs="Arial"/>
          <w:szCs w:val="24"/>
        </w:rPr>
        <w:tab/>
        <w:t>('ferric carboxymaltose') AND (surg* OR periop* OR preop* OR postop*)</w:t>
      </w:r>
    </w:p>
    <w:p w14:paraId="20E93CE4" w14:textId="77777777" w:rsidR="00457B4B" w:rsidRPr="002B74C8" w:rsidRDefault="00457B4B" w:rsidP="00B85D42">
      <w:pPr>
        <w:ind w:left="720" w:hanging="720"/>
        <w:rPr>
          <w:rFonts w:ascii="Arial" w:hAnsi="Arial" w:cs="Arial"/>
          <w:szCs w:val="24"/>
        </w:rPr>
      </w:pPr>
      <w:r w:rsidRPr="002B74C8">
        <w:rPr>
          <w:rFonts w:ascii="Arial" w:hAnsi="Arial" w:cs="Arial"/>
          <w:szCs w:val="24"/>
        </w:rPr>
        <w:t>2.</w:t>
      </w:r>
      <w:r w:rsidRPr="002B74C8">
        <w:rPr>
          <w:rFonts w:ascii="Arial" w:hAnsi="Arial" w:cs="Arial"/>
          <w:szCs w:val="24"/>
        </w:rPr>
        <w:tab/>
        <w:t>("ferric carboxymaltose"[Supplementary Concept] OR ("ferric"[All Fields] AND "carboxymaltose"[All Fields]) OR "ferric carboxymaltose"[All Fields]) AND ("surgery"[Subheading] OR "Perioperative Care"[Mesh] OR "Perioperative Period"[Mesh] OR "Surgical Procedures, Operative"[Mesh] OR "Elective Surgical Procedures"[Mesh]) AND ("Randomized Controlled Trial"[Publication Type] OR "Comparative Study"[Publication Type] OR "Controlled Clinical Trial"[Publication Type]) NOT ("Animals"[Mesh] NOT ("Animals"[Mesh] AND "Humans"[Mesh]))</w:t>
      </w:r>
    </w:p>
    <w:p w14:paraId="2ED1B5FE" w14:textId="77777777" w:rsidR="00457B4B" w:rsidRPr="002B74C8" w:rsidRDefault="00457B4B" w:rsidP="00B85D42">
      <w:pPr>
        <w:rPr>
          <w:rFonts w:ascii="Arial" w:hAnsi="Arial" w:cs="Arial"/>
          <w:szCs w:val="24"/>
        </w:rPr>
      </w:pPr>
    </w:p>
    <w:p w14:paraId="3E3FAFD5" w14:textId="77777777" w:rsidR="00457B4B" w:rsidRPr="007011A3" w:rsidRDefault="00457B4B" w:rsidP="00B85D42">
      <w:pPr>
        <w:rPr>
          <w:rFonts w:ascii="Arial" w:hAnsi="Arial" w:cs="Arial"/>
          <w:b/>
          <w:sz w:val="24"/>
          <w:szCs w:val="24"/>
        </w:rPr>
      </w:pPr>
      <w:r w:rsidRPr="007011A3">
        <w:rPr>
          <w:rFonts w:ascii="Arial" w:hAnsi="Arial" w:cs="Arial"/>
          <w:b/>
          <w:sz w:val="24"/>
          <w:szCs w:val="24"/>
        </w:rPr>
        <w:t>Embase</w:t>
      </w:r>
    </w:p>
    <w:p w14:paraId="2C496110" w14:textId="77777777" w:rsidR="00457B4B" w:rsidRPr="002B74C8" w:rsidRDefault="00457B4B" w:rsidP="00B85D42">
      <w:pPr>
        <w:rPr>
          <w:rFonts w:ascii="Arial" w:hAnsi="Arial" w:cs="Arial"/>
          <w:szCs w:val="24"/>
        </w:rPr>
      </w:pPr>
      <w:r w:rsidRPr="002B74C8">
        <w:rPr>
          <w:rFonts w:ascii="Arial" w:hAnsi="Arial" w:cs="Arial"/>
          <w:szCs w:val="24"/>
        </w:rPr>
        <w:t>1.</w:t>
      </w:r>
      <w:r w:rsidRPr="002B74C8">
        <w:rPr>
          <w:rFonts w:ascii="Arial" w:hAnsi="Arial" w:cs="Arial"/>
          <w:szCs w:val="24"/>
        </w:rPr>
        <w:tab/>
        <w:t>'ferric carboxymaltose'/de</w:t>
      </w:r>
    </w:p>
    <w:p w14:paraId="161D5EC2" w14:textId="77777777" w:rsidR="00457B4B" w:rsidRPr="002B74C8" w:rsidRDefault="00457B4B" w:rsidP="00B85D42">
      <w:pPr>
        <w:rPr>
          <w:rFonts w:ascii="Arial" w:hAnsi="Arial" w:cs="Arial"/>
          <w:szCs w:val="24"/>
        </w:rPr>
      </w:pPr>
      <w:r w:rsidRPr="002B74C8">
        <w:rPr>
          <w:rFonts w:ascii="Arial" w:hAnsi="Arial" w:cs="Arial"/>
          <w:szCs w:val="24"/>
        </w:rPr>
        <w:t>2.</w:t>
      </w:r>
      <w:r w:rsidRPr="002B74C8">
        <w:rPr>
          <w:rFonts w:ascii="Arial" w:hAnsi="Arial" w:cs="Arial"/>
          <w:szCs w:val="24"/>
        </w:rPr>
        <w:tab/>
        <w:t xml:space="preserve">'elective surgery'/exp </w:t>
      </w:r>
    </w:p>
    <w:p w14:paraId="7FC8F7F0" w14:textId="77777777" w:rsidR="00457B4B" w:rsidRPr="002B74C8" w:rsidRDefault="00457B4B" w:rsidP="00B85D42">
      <w:pPr>
        <w:rPr>
          <w:rFonts w:ascii="Arial" w:hAnsi="Arial" w:cs="Arial"/>
          <w:szCs w:val="24"/>
        </w:rPr>
      </w:pPr>
      <w:r w:rsidRPr="002B74C8">
        <w:rPr>
          <w:rFonts w:ascii="Arial" w:hAnsi="Arial" w:cs="Arial"/>
          <w:szCs w:val="24"/>
        </w:rPr>
        <w:t>3.</w:t>
      </w:r>
      <w:r w:rsidRPr="002B74C8">
        <w:rPr>
          <w:rFonts w:ascii="Arial" w:hAnsi="Arial" w:cs="Arial"/>
          <w:szCs w:val="24"/>
        </w:rPr>
        <w:tab/>
        <w:t xml:space="preserve">'perioperative period'/exp </w:t>
      </w:r>
    </w:p>
    <w:p w14:paraId="5BDCAC9E" w14:textId="77777777" w:rsidR="00457B4B" w:rsidRPr="002B74C8" w:rsidRDefault="00457B4B" w:rsidP="00B85D42">
      <w:pPr>
        <w:rPr>
          <w:rFonts w:ascii="Arial" w:hAnsi="Arial" w:cs="Arial"/>
          <w:szCs w:val="24"/>
        </w:rPr>
      </w:pPr>
      <w:r w:rsidRPr="002B74C8">
        <w:rPr>
          <w:rFonts w:ascii="Arial" w:hAnsi="Arial" w:cs="Arial"/>
          <w:szCs w:val="24"/>
        </w:rPr>
        <w:t>4.</w:t>
      </w:r>
      <w:r w:rsidRPr="002B74C8">
        <w:rPr>
          <w:rFonts w:ascii="Arial" w:hAnsi="Arial" w:cs="Arial"/>
          <w:szCs w:val="24"/>
        </w:rPr>
        <w:tab/>
        <w:t>'surgery'/exp</w:t>
      </w:r>
    </w:p>
    <w:p w14:paraId="3BD7221C" w14:textId="77777777" w:rsidR="00457B4B" w:rsidRPr="002B74C8" w:rsidRDefault="00457B4B" w:rsidP="00B85D42">
      <w:pPr>
        <w:rPr>
          <w:rFonts w:ascii="Arial" w:hAnsi="Arial" w:cs="Arial"/>
          <w:szCs w:val="24"/>
        </w:rPr>
      </w:pPr>
      <w:r w:rsidRPr="002B74C8">
        <w:rPr>
          <w:rFonts w:ascii="Arial" w:hAnsi="Arial" w:cs="Arial"/>
          <w:szCs w:val="24"/>
        </w:rPr>
        <w:t>5.</w:t>
      </w:r>
      <w:r w:rsidRPr="002B74C8">
        <w:rPr>
          <w:rFonts w:ascii="Arial" w:hAnsi="Arial" w:cs="Arial"/>
          <w:szCs w:val="24"/>
        </w:rPr>
        <w:tab/>
        <w:t>2 or 3 or 4</w:t>
      </w:r>
    </w:p>
    <w:p w14:paraId="4744578D" w14:textId="77777777" w:rsidR="00457B4B" w:rsidRPr="002B74C8" w:rsidRDefault="00457B4B" w:rsidP="00B85D42">
      <w:pPr>
        <w:rPr>
          <w:rFonts w:ascii="Arial" w:hAnsi="Arial" w:cs="Arial"/>
          <w:szCs w:val="24"/>
        </w:rPr>
      </w:pPr>
      <w:r w:rsidRPr="002B74C8">
        <w:rPr>
          <w:rFonts w:ascii="Arial" w:hAnsi="Arial" w:cs="Arial"/>
          <w:szCs w:val="24"/>
        </w:rPr>
        <w:t>6.</w:t>
      </w:r>
      <w:r w:rsidRPr="002B74C8">
        <w:rPr>
          <w:rFonts w:ascii="Arial" w:hAnsi="Arial" w:cs="Arial"/>
          <w:szCs w:val="24"/>
        </w:rPr>
        <w:tab/>
        <w:t>1 and 5</w:t>
      </w:r>
    </w:p>
    <w:p w14:paraId="23DF8BB9" w14:textId="77777777" w:rsidR="00457B4B" w:rsidRPr="002B74C8" w:rsidRDefault="00457B4B" w:rsidP="00B85D42">
      <w:pPr>
        <w:rPr>
          <w:rFonts w:ascii="Arial" w:hAnsi="Arial" w:cs="Arial"/>
          <w:szCs w:val="24"/>
        </w:rPr>
      </w:pPr>
      <w:r w:rsidRPr="002B74C8">
        <w:rPr>
          <w:rFonts w:ascii="Arial" w:hAnsi="Arial" w:cs="Arial"/>
          <w:szCs w:val="24"/>
        </w:rPr>
        <w:t>7.</w:t>
      </w:r>
      <w:r w:rsidRPr="002B74C8">
        <w:rPr>
          <w:rFonts w:ascii="Arial" w:hAnsi="Arial" w:cs="Arial"/>
          <w:szCs w:val="24"/>
        </w:rPr>
        <w:tab/>
        <w:t>'randomized controlled trial'/exp</w:t>
      </w:r>
    </w:p>
    <w:p w14:paraId="52000755" w14:textId="77777777" w:rsidR="00457B4B" w:rsidRPr="002B74C8" w:rsidRDefault="00457B4B" w:rsidP="00B85D42">
      <w:pPr>
        <w:rPr>
          <w:rFonts w:ascii="Arial" w:hAnsi="Arial" w:cs="Arial"/>
          <w:szCs w:val="24"/>
        </w:rPr>
      </w:pPr>
      <w:r w:rsidRPr="002B74C8">
        <w:rPr>
          <w:rFonts w:ascii="Arial" w:hAnsi="Arial" w:cs="Arial"/>
          <w:szCs w:val="24"/>
        </w:rPr>
        <w:t>8.</w:t>
      </w:r>
      <w:r w:rsidRPr="002B74C8">
        <w:rPr>
          <w:rFonts w:ascii="Arial" w:hAnsi="Arial" w:cs="Arial"/>
          <w:szCs w:val="24"/>
        </w:rPr>
        <w:tab/>
        <w:t>‘controlled clinical trial’/exp</w:t>
      </w:r>
    </w:p>
    <w:p w14:paraId="66261A86" w14:textId="77777777" w:rsidR="00457B4B" w:rsidRPr="002B74C8" w:rsidRDefault="00457B4B" w:rsidP="00B85D42">
      <w:pPr>
        <w:rPr>
          <w:rFonts w:ascii="Arial" w:hAnsi="Arial" w:cs="Arial"/>
          <w:szCs w:val="24"/>
        </w:rPr>
      </w:pPr>
      <w:r w:rsidRPr="002B74C8">
        <w:rPr>
          <w:rFonts w:ascii="Arial" w:hAnsi="Arial" w:cs="Arial"/>
          <w:szCs w:val="24"/>
        </w:rPr>
        <w:t>9.</w:t>
      </w:r>
      <w:r w:rsidRPr="002B74C8">
        <w:rPr>
          <w:rFonts w:ascii="Arial" w:hAnsi="Arial" w:cs="Arial"/>
          <w:szCs w:val="24"/>
        </w:rPr>
        <w:tab/>
        <w:t>‘controlled study’/exp</w:t>
      </w:r>
    </w:p>
    <w:p w14:paraId="5ED46DEE" w14:textId="77777777" w:rsidR="00457B4B" w:rsidRPr="002B74C8" w:rsidRDefault="00457B4B" w:rsidP="00B85D42">
      <w:pPr>
        <w:rPr>
          <w:rFonts w:ascii="Arial" w:hAnsi="Arial" w:cs="Arial"/>
          <w:szCs w:val="24"/>
        </w:rPr>
      </w:pPr>
      <w:r w:rsidRPr="002B74C8">
        <w:rPr>
          <w:rFonts w:ascii="Arial" w:hAnsi="Arial" w:cs="Arial"/>
          <w:szCs w:val="24"/>
        </w:rPr>
        <w:t>10.</w:t>
      </w:r>
      <w:r w:rsidRPr="002B74C8">
        <w:rPr>
          <w:rFonts w:ascii="Arial" w:hAnsi="Arial" w:cs="Arial"/>
          <w:szCs w:val="24"/>
        </w:rPr>
        <w:tab/>
        <w:t>‘comparative study’/</w:t>
      </w:r>
    </w:p>
    <w:p w14:paraId="168A28D7" w14:textId="77777777" w:rsidR="00457B4B" w:rsidRPr="002B74C8" w:rsidRDefault="00457B4B" w:rsidP="00B85D42">
      <w:pPr>
        <w:rPr>
          <w:rFonts w:ascii="Arial" w:hAnsi="Arial" w:cs="Arial"/>
          <w:szCs w:val="24"/>
        </w:rPr>
      </w:pPr>
      <w:r w:rsidRPr="002B74C8">
        <w:rPr>
          <w:rFonts w:ascii="Arial" w:hAnsi="Arial" w:cs="Arial"/>
          <w:szCs w:val="24"/>
        </w:rPr>
        <w:t>11.</w:t>
      </w:r>
      <w:r w:rsidRPr="002B74C8">
        <w:rPr>
          <w:rFonts w:ascii="Arial" w:hAnsi="Arial" w:cs="Arial"/>
          <w:szCs w:val="24"/>
        </w:rPr>
        <w:tab/>
        <w:t>7 or 8 or 9 or 10</w:t>
      </w:r>
    </w:p>
    <w:p w14:paraId="4D4D90BA" w14:textId="77777777" w:rsidR="00457B4B" w:rsidRPr="002B74C8" w:rsidRDefault="00457B4B" w:rsidP="00B85D42">
      <w:pPr>
        <w:rPr>
          <w:rFonts w:ascii="Arial" w:hAnsi="Arial" w:cs="Arial"/>
          <w:szCs w:val="24"/>
        </w:rPr>
      </w:pPr>
      <w:r w:rsidRPr="002B74C8">
        <w:rPr>
          <w:rFonts w:ascii="Arial" w:hAnsi="Arial" w:cs="Arial"/>
          <w:szCs w:val="24"/>
        </w:rPr>
        <w:lastRenderedPageBreak/>
        <w:t>12.</w:t>
      </w:r>
      <w:r w:rsidRPr="002B74C8">
        <w:rPr>
          <w:rFonts w:ascii="Arial" w:hAnsi="Arial" w:cs="Arial"/>
          <w:szCs w:val="24"/>
        </w:rPr>
        <w:tab/>
        <w:t>6 and 11</w:t>
      </w:r>
    </w:p>
    <w:p w14:paraId="33B61A7E" w14:textId="77777777" w:rsidR="00457B4B" w:rsidRPr="002B74C8" w:rsidRDefault="00457B4B" w:rsidP="00B85D42">
      <w:pPr>
        <w:rPr>
          <w:rFonts w:ascii="Arial" w:hAnsi="Arial" w:cs="Arial"/>
          <w:color w:val="000000" w:themeColor="text1"/>
          <w:szCs w:val="24"/>
        </w:rPr>
      </w:pPr>
      <w:r w:rsidRPr="002B74C8">
        <w:rPr>
          <w:rFonts w:ascii="Arial" w:hAnsi="Arial" w:cs="Arial"/>
          <w:color w:val="000000" w:themeColor="text1"/>
          <w:szCs w:val="24"/>
        </w:rPr>
        <w:t>13.</w:t>
      </w:r>
      <w:r w:rsidRPr="002B74C8">
        <w:rPr>
          <w:rFonts w:ascii="Arial" w:hAnsi="Arial" w:cs="Arial"/>
          <w:color w:val="000000" w:themeColor="text1"/>
          <w:szCs w:val="24"/>
        </w:rPr>
        <w:tab/>
        <w:t>limit 12 to ([young adult]/ or [adult]/ or [middle aged]/ or [aged]/ or [very elderly]/)</w:t>
      </w:r>
    </w:p>
    <w:p w14:paraId="6C233554" w14:textId="77777777" w:rsidR="00457B4B" w:rsidRPr="002B74C8" w:rsidRDefault="00457B4B" w:rsidP="00B85D42">
      <w:pPr>
        <w:rPr>
          <w:rFonts w:ascii="Arial" w:hAnsi="Arial" w:cs="Arial"/>
          <w:color w:val="000000" w:themeColor="text1"/>
          <w:szCs w:val="24"/>
        </w:rPr>
      </w:pPr>
      <w:r w:rsidRPr="002B74C8">
        <w:rPr>
          <w:rFonts w:ascii="Arial" w:hAnsi="Arial" w:cs="Arial"/>
          <w:color w:val="000000" w:themeColor="text1"/>
          <w:szCs w:val="24"/>
        </w:rPr>
        <w:t>14.</w:t>
      </w:r>
      <w:r w:rsidRPr="002B74C8">
        <w:rPr>
          <w:rFonts w:ascii="Arial" w:hAnsi="Arial" w:cs="Arial"/>
          <w:color w:val="000000" w:themeColor="text1"/>
          <w:szCs w:val="24"/>
        </w:rPr>
        <w:tab/>
        <w:t>animal/exp not (human/exp and animal/exp)</w:t>
      </w:r>
    </w:p>
    <w:p w14:paraId="1DC1C464" w14:textId="77777777" w:rsidR="00457B4B" w:rsidRPr="002B74C8" w:rsidRDefault="00457B4B" w:rsidP="00B85D42">
      <w:pPr>
        <w:rPr>
          <w:rFonts w:ascii="Arial" w:hAnsi="Arial" w:cs="Arial"/>
          <w:color w:val="000000" w:themeColor="text1"/>
          <w:szCs w:val="24"/>
        </w:rPr>
      </w:pPr>
      <w:r w:rsidRPr="002B74C8">
        <w:rPr>
          <w:rFonts w:ascii="Arial" w:hAnsi="Arial" w:cs="Arial"/>
          <w:color w:val="000000" w:themeColor="text1"/>
          <w:szCs w:val="24"/>
        </w:rPr>
        <w:t>15.</w:t>
      </w:r>
      <w:r w:rsidRPr="002B74C8">
        <w:rPr>
          <w:rFonts w:ascii="Arial" w:hAnsi="Arial" w:cs="Arial"/>
          <w:color w:val="000000" w:themeColor="text1"/>
          <w:szCs w:val="24"/>
        </w:rPr>
        <w:tab/>
        <w:t>13 not 14</w:t>
      </w:r>
    </w:p>
    <w:p w14:paraId="2D97E0F5" w14:textId="77777777" w:rsidR="00457B4B" w:rsidRDefault="00457B4B">
      <w:pPr>
        <w:rPr>
          <w:rFonts w:ascii="Arial" w:eastAsiaTheme="majorEastAsia" w:hAnsi="Arial" w:cs="Arial"/>
          <w:b/>
          <w:color w:val="000000" w:themeColor="text1"/>
          <w:sz w:val="24"/>
          <w:szCs w:val="24"/>
        </w:rPr>
      </w:pPr>
    </w:p>
    <w:p w14:paraId="369DEC6C" w14:textId="77777777" w:rsidR="00457B4B" w:rsidRDefault="00457B4B" w:rsidP="00FD6B21">
      <w:pPr>
        <w:spacing w:before="240" w:after="0" w:line="480" w:lineRule="auto"/>
        <w:outlineLvl w:val="2"/>
        <w:rPr>
          <w:rFonts w:ascii="Arial" w:eastAsiaTheme="majorEastAsia" w:hAnsi="Arial" w:cs="Arial"/>
          <w:b/>
          <w:color w:val="000000" w:themeColor="text1"/>
          <w:sz w:val="24"/>
          <w:szCs w:val="24"/>
        </w:rPr>
        <w:sectPr w:rsidR="00457B4B" w:rsidSect="00C02DF9">
          <w:headerReference w:type="default" r:id="rId10"/>
          <w:footerReference w:type="default" r:id="rId11"/>
          <w:pgSz w:w="12240" w:h="15840"/>
          <w:pgMar w:top="1440" w:right="1440" w:bottom="1440" w:left="1440" w:header="720" w:footer="720" w:gutter="0"/>
          <w:cols w:space="720"/>
          <w:docGrid w:linePitch="360"/>
        </w:sectPr>
      </w:pPr>
      <w:r>
        <w:rPr>
          <w:rFonts w:ascii="Arial" w:eastAsiaTheme="majorEastAsia" w:hAnsi="Arial" w:cs="Arial"/>
          <w:b/>
          <w:color w:val="000000" w:themeColor="text1"/>
          <w:sz w:val="24"/>
          <w:szCs w:val="24"/>
        </w:rPr>
        <w:t>The 15 excluded full-text articles had exclusion criteria of study design (n=6), study population (n=5), and study intervention (n=4).</w:t>
      </w:r>
    </w:p>
    <w:p w14:paraId="6383C7C5" w14:textId="77777777" w:rsidR="00457B4B" w:rsidRPr="00D53146" w:rsidRDefault="00457B4B" w:rsidP="00FD6B21">
      <w:pPr>
        <w:spacing w:before="240" w:after="0" w:line="480" w:lineRule="auto"/>
        <w:outlineLvl w:val="2"/>
        <w:rPr>
          <w:rFonts w:ascii="Arial" w:hAnsi="Arial" w:cs="Arial"/>
          <w:b/>
          <w:sz w:val="20"/>
          <w:szCs w:val="20"/>
        </w:rPr>
      </w:pPr>
      <w:r w:rsidRPr="00D53146">
        <w:rPr>
          <w:rFonts w:ascii="Arial" w:eastAsiaTheme="majorEastAsia" w:hAnsi="Arial" w:cs="Arial"/>
          <w:b/>
          <w:sz w:val="24"/>
          <w:szCs w:val="24"/>
        </w:rPr>
        <w:lastRenderedPageBreak/>
        <w:t xml:space="preserve">Appendix </w:t>
      </w:r>
      <w:r>
        <w:rPr>
          <w:rFonts w:ascii="Arial" w:eastAsiaTheme="majorEastAsia" w:hAnsi="Arial" w:cs="Arial"/>
          <w:b/>
          <w:sz w:val="24"/>
          <w:szCs w:val="24"/>
        </w:rPr>
        <w:t>2</w:t>
      </w:r>
      <w:r w:rsidRPr="00D53146">
        <w:rPr>
          <w:rFonts w:ascii="Arial" w:eastAsiaTheme="majorEastAsia" w:hAnsi="Arial" w:cs="Arial"/>
          <w:b/>
          <w:sz w:val="24"/>
          <w:szCs w:val="24"/>
        </w:rPr>
        <w:t>: Adjudicated Quality of Evidence Assessments Support for Rationale</w:t>
      </w:r>
    </w:p>
    <w:tbl>
      <w:tblPr>
        <w:tblStyle w:val="TableGrid1"/>
        <w:tblW w:w="13887" w:type="dxa"/>
        <w:tblLayout w:type="fixed"/>
        <w:tblCellMar>
          <w:left w:w="58" w:type="dxa"/>
          <w:right w:w="58" w:type="dxa"/>
        </w:tblCellMar>
        <w:tblLook w:val="04A0" w:firstRow="1" w:lastRow="0" w:firstColumn="1" w:lastColumn="0" w:noHBand="0" w:noVBand="1"/>
      </w:tblPr>
      <w:tblGrid>
        <w:gridCol w:w="1082"/>
        <w:gridCol w:w="1185"/>
        <w:gridCol w:w="1534"/>
        <w:gridCol w:w="2024"/>
        <w:gridCol w:w="1428"/>
        <w:gridCol w:w="1961"/>
        <w:gridCol w:w="1295"/>
        <w:gridCol w:w="1639"/>
        <w:gridCol w:w="1739"/>
      </w:tblGrid>
      <w:tr w:rsidR="00457B4B" w:rsidRPr="00931E75" w14:paraId="2ADD33DB" w14:textId="77777777" w:rsidTr="7212EB0A">
        <w:trPr>
          <w:trHeight w:val="254"/>
        </w:trPr>
        <w:tc>
          <w:tcPr>
            <w:tcW w:w="13887" w:type="dxa"/>
            <w:gridSpan w:val="9"/>
            <w:tcBorders>
              <w:top w:val="nil"/>
              <w:left w:val="nil"/>
              <w:bottom w:val="single" w:sz="12" w:space="0" w:color="auto"/>
              <w:right w:val="nil"/>
            </w:tcBorders>
          </w:tcPr>
          <w:p w14:paraId="5193B6EB" w14:textId="77777777" w:rsidR="00457B4B" w:rsidRPr="00931E75" w:rsidRDefault="00457B4B" w:rsidP="00D53146">
            <w:pPr>
              <w:rPr>
                <w:rFonts w:ascii="Arial" w:hAnsi="Arial" w:cs="Arial"/>
                <w:b/>
                <w:color w:val="000000"/>
                <w:szCs w:val="20"/>
              </w:rPr>
            </w:pPr>
            <w:r w:rsidRPr="00931E75">
              <w:rPr>
                <w:rFonts w:ascii="Arial" w:hAnsi="Arial" w:cs="Arial"/>
                <w:b/>
                <w:szCs w:val="20"/>
              </w:rPr>
              <w:t>Table 1. Quality of Evidence</w:t>
            </w:r>
            <w:r w:rsidRPr="00931E75">
              <w:rPr>
                <w:rFonts w:ascii="Arial" w:hAnsi="Arial" w:cs="Arial"/>
                <w:b/>
                <w:color w:val="000000"/>
                <w:szCs w:val="20"/>
              </w:rPr>
              <w:t xml:space="preserve"> (GRADE) Assessment</w:t>
            </w:r>
          </w:p>
        </w:tc>
      </w:tr>
      <w:tr w:rsidR="00457B4B" w:rsidRPr="00011FBF" w14:paraId="1F8DFECA" w14:textId="77777777" w:rsidTr="7212EB0A">
        <w:trPr>
          <w:trHeight w:val="53"/>
        </w:trPr>
        <w:tc>
          <w:tcPr>
            <w:tcW w:w="1083" w:type="dxa"/>
            <w:tcBorders>
              <w:top w:val="single" w:sz="12" w:space="0" w:color="auto"/>
              <w:bottom w:val="single" w:sz="12" w:space="0" w:color="auto"/>
            </w:tcBorders>
            <w:vAlign w:val="bottom"/>
          </w:tcPr>
          <w:p w14:paraId="031B3446" w14:textId="77777777" w:rsidR="00457B4B" w:rsidRPr="00011FBF" w:rsidRDefault="00457B4B" w:rsidP="00D53146">
            <w:pPr>
              <w:rPr>
                <w:rFonts w:ascii="Arial" w:hAnsi="Arial" w:cs="Arial"/>
                <w:b/>
                <w:sz w:val="20"/>
                <w:szCs w:val="20"/>
              </w:rPr>
            </w:pPr>
            <w:r w:rsidRPr="00011FBF">
              <w:rPr>
                <w:rFonts w:ascii="Arial" w:hAnsi="Arial" w:cs="Arial"/>
                <w:b/>
                <w:sz w:val="20"/>
                <w:szCs w:val="20"/>
              </w:rPr>
              <w:t>Outcome</w:t>
            </w:r>
          </w:p>
        </w:tc>
        <w:tc>
          <w:tcPr>
            <w:tcW w:w="1185" w:type="dxa"/>
            <w:tcBorders>
              <w:top w:val="single" w:sz="12" w:space="0" w:color="auto"/>
              <w:bottom w:val="single" w:sz="12" w:space="0" w:color="auto"/>
            </w:tcBorders>
            <w:vAlign w:val="bottom"/>
          </w:tcPr>
          <w:p w14:paraId="45B1217E" w14:textId="77777777" w:rsidR="00457B4B" w:rsidRPr="00011FBF" w:rsidRDefault="00457B4B" w:rsidP="00D53146">
            <w:pPr>
              <w:jc w:val="center"/>
              <w:rPr>
                <w:rFonts w:ascii="Arial" w:hAnsi="Arial" w:cs="Arial"/>
                <w:b/>
                <w:sz w:val="20"/>
                <w:szCs w:val="20"/>
              </w:rPr>
            </w:pPr>
            <w:r w:rsidRPr="00011FBF">
              <w:rPr>
                <w:rFonts w:ascii="Arial" w:hAnsi="Arial" w:cs="Arial"/>
                <w:b/>
                <w:sz w:val="20"/>
                <w:szCs w:val="20"/>
              </w:rPr>
              <w:t>Studies</w:t>
            </w:r>
          </w:p>
        </w:tc>
        <w:tc>
          <w:tcPr>
            <w:tcW w:w="1530" w:type="dxa"/>
            <w:tcBorders>
              <w:top w:val="single" w:sz="12" w:space="0" w:color="auto"/>
              <w:bottom w:val="single" w:sz="12" w:space="0" w:color="auto"/>
            </w:tcBorders>
            <w:vAlign w:val="bottom"/>
          </w:tcPr>
          <w:p w14:paraId="375EC43B" w14:textId="77777777" w:rsidR="00457B4B" w:rsidRPr="00011FBF" w:rsidRDefault="00457B4B" w:rsidP="00D53146">
            <w:pPr>
              <w:jc w:val="center"/>
              <w:rPr>
                <w:rFonts w:ascii="Arial" w:hAnsi="Arial" w:cs="Arial"/>
                <w:b/>
                <w:sz w:val="20"/>
                <w:szCs w:val="20"/>
              </w:rPr>
            </w:pPr>
            <w:r w:rsidRPr="00011FBF">
              <w:rPr>
                <w:rFonts w:ascii="Arial" w:hAnsi="Arial" w:cs="Arial"/>
                <w:b/>
                <w:sz w:val="20"/>
                <w:szCs w:val="20"/>
              </w:rPr>
              <w:t>Risk of bias</w:t>
            </w:r>
          </w:p>
        </w:tc>
        <w:tc>
          <w:tcPr>
            <w:tcW w:w="2025" w:type="dxa"/>
            <w:tcBorders>
              <w:top w:val="single" w:sz="12" w:space="0" w:color="auto"/>
              <w:bottom w:val="single" w:sz="12" w:space="0" w:color="auto"/>
            </w:tcBorders>
            <w:vAlign w:val="bottom"/>
          </w:tcPr>
          <w:p w14:paraId="499AD3AA" w14:textId="77777777" w:rsidR="00457B4B" w:rsidRPr="00011FBF" w:rsidRDefault="00457B4B" w:rsidP="00D53146">
            <w:pPr>
              <w:jc w:val="center"/>
              <w:rPr>
                <w:rFonts w:ascii="Arial" w:hAnsi="Arial" w:cs="Arial"/>
                <w:b/>
                <w:sz w:val="20"/>
                <w:szCs w:val="20"/>
              </w:rPr>
            </w:pPr>
            <w:r w:rsidRPr="00011FBF">
              <w:rPr>
                <w:rFonts w:ascii="Arial" w:hAnsi="Arial" w:cs="Arial"/>
                <w:b/>
                <w:sz w:val="20"/>
                <w:szCs w:val="20"/>
              </w:rPr>
              <w:t>Inconsistency</w:t>
            </w:r>
          </w:p>
        </w:tc>
        <w:tc>
          <w:tcPr>
            <w:tcW w:w="1428" w:type="dxa"/>
            <w:tcBorders>
              <w:top w:val="single" w:sz="12" w:space="0" w:color="auto"/>
              <w:bottom w:val="single" w:sz="12" w:space="0" w:color="auto"/>
            </w:tcBorders>
            <w:vAlign w:val="bottom"/>
          </w:tcPr>
          <w:p w14:paraId="53B6FE7E" w14:textId="77777777" w:rsidR="00457B4B" w:rsidRPr="00011FBF" w:rsidRDefault="00457B4B" w:rsidP="00D53146">
            <w:pPr>
              <w:jc w:val="center"/>
              <w:rPr>
                <w:rFonts w:ascii="Arial" w:hAnsi="Arial" w:cs="Arial"/>
                <w:b/>
                <w:sz w:val="20"/>
                <w:szCs w:val="20"/>
              </w:rPr>
            </w:pPr>
            <w:r w:rsidRPr="00011FBF">
              <w:rPr>
                <w:rFonts w:ascii="Arial" w:hAnsi="Arial" w:cs="Arial"/>
                <w:b/>
                <w:sz w:val="20"/>
                <w:szCs w:val="20"/>
              </w:rPr>
              <w:t>Indirectness</w:t>
            </w:r>
          </w:p>
        </w:tc>
        <w:tc>
          <w:tcPr>
            <w:tcW w:w="1962" w:type="dxa"/>
            <w:tcBorders>
              <w:top w:val="single" w:sz="12" w:space="0" w:color="auto"/>
              <w:bottom w:val="single" w:sz="12" w:space="0" w:color="auto"/>
            </w:tcBorders>
            <w:vAlign w:val="bottom"/>
          </w:tcPr>
          <w:p w14:paraId="2E4E0A88" w14:textId="77777777" w:rsidR="00457B4B" w:rsidRPr="00011FBF" w:rsidRDefault="00457B4B" w:rsidP="00D53146">
            <w:pPr>
              <w:jc w:val="center"/>
              <w:rPr>
                <w:rFonts w:ascii="Arial" w:hAnsi="Arial" w:cs="Arial"/>
                <w:b/>
                <w:sz w:val="20"/>
                <w:szCs w:val="20"/>
              </w:rPr>
            </w:pPr>
            <w:r w:rsidRPr="00011FBF">
              <w:rPr>
                <w:rFonts w:ascii="Arial" w:hAnsi="Arial" w:cs="Arial"/>
                <w:b/>
                <w:sz w:val="20"/>
                <w:szCs w:val="20"/>
              </w:rPr>
              <w:t>Imprecision</w:t>
            </w:r>
          </w:p>
        </w:tc>
        <w:tc>
          <w:tcPr>
            <w:tcW w:w="1295" w:type="dxa"/>
            <w:tcBorders>
              <w:top w:val="single" w:sz="12" w:space="0" w:color="auto"/>
              <w:bottom w:val="single" w:sz="12" w:space="0" w:color="auto"/>
            </w:tcBorders>
            <w:vAlign w:val="bottom"/>
          </w:tcPr>
          <w:p w14:paraId="02F6C652" w14:textId="77777777" w:rsidR="00457B4B" w:rsidRPr="00011FBF" w:rsidRDefault="00457B4B" w:rsidP="00D53146">
            <w:pPr>
              <w:jc w:val="center"/>
              <w:rPr>
                <w:rFonts w:ascii="Arial" w:hAnsi="Arial" w:cs="Arial"/>
                <w:b/>
                <w:sz w:val="20"/>
                <w:szCs w:val="20"/>
              </w:rPr>
            </w:pPr>
            <w:r w:rsidRPr="00011FBF">
              <w:rPr>
                <w:rFonts w:ascii="Arial" w:hAnsi="Arial" w:cs="Arial"/>
                <w:b/>
                <w:sz w:val="20"/>
                <w:szCs w:val="20"/>
              </w:rPr>
              <w:t>Publication bias</w:t>
            </w:r>
          </w:p>
        </w:tc>
        <w:tc>
          <w:tcPr>
            <w:tcW w:w="1639" w:type="dxa"/>
            <w:tcBorders>
              <w:top w:val="single" w:sz="12" w:space="0" w:color="auto"/>
              <w:bottom w:val="single" w:sz="12" w:space="0" w:color="auto"/>
            </w:tcBorders>
            <w:vAlign w:val="bottom"/>
          </w:tcPr>
          <w:p w14:paraId="5022F322" w14:textId="77777777" w:rsidR="00457B4B" w:rsidRPr="00011FBF" w:rsidRDefault="00457B4B" w:rsidP="00D53146">
            <w:pPr>
              <w:jc w:val="center"/>
              <w:rPr>
                <w:rFonts w:ascii="Arial" w:hAnsi="Arial" w:cs="Arial"/>
                <w:b/>
                <w:sz w:val="20"/>
                <w:szCs w:val="20"/>
              </w:rPr>
            </w:pPr>
            <w:r w:rsidRPr="00011FBF">
              <w:rPr>
                <w:rFonts w:ascii="Arial" w:hAnsi="Arial" w:cs="Arial"/>
                <w:b/>
                <w:sz w:val="20"/>
                <w:szCs w:val="20"/>
              </w:rPr>
              <w:t>Other considerations</w:t>
            </w:r>
          </w:p>
        </w:tc>
        <w:tc>
          <w:tcPr>
            <w:tcW w:w="1740" w:type="dxa"/>
            <w:tcBorders>
              <w:top w:val="single" w:sz="12" w:space="0" w:color="auto"/>
              <w:bottom w:val="single" w:sz="12" w:space="0" w:color="auto"/>
            </w:tcBorders>
            <w:vAlign w:val="bottom"/>
          </w:tcPr>
          <w:p w14:paraId="67D633CC" w14:textId="77777777" w:rsidR="00457B4B" w:rsidRPr="00011FBF" w:rsidRDefault="00457B4B" w:rsidP="00D53146">
            <w:pPr>
              <w:jc w:val="center"/>
              <w:rPr>
                <w:rFonts w:ascii="Arial" w:hAnsi="Arial" w:cs="Arial"/>
                <w:b/>
                <w:sz w:val="20"/>
                <w:szCs w:val="20"/>
              </w:rPr>
            </w:pPr>
            <w:r w:rsidRPr="00011FBF">
              <w:rPr>
                <w:rFonts w:ascii="Arial" w:hAnsi="Arial" w:cs="Arial"/>
                <w:b/>
                <w:sz w:val="20"/>
                <w:szCs w:val="20"/>
              </w:rPr>
              <w:t>Quality of Evidence</w:t>
            </w:r>
          </w:p>
        </w:tc>
      </w:tr>
      <w:tr w:rsidR="00457B4B" w:rsidRPr="00011FBF" w14:paraId="7A680F63" w14:textId="77777777" w:rsidTr="7212EB0A">
        <w:trPr>
          <w:trHeight w:val="53"/>
        </w:trPr>
        <w:tc>
          <w:tcPr>
            <w:tcW w:w="13887" w:type="dxa"/>
            <w:gridSpan w:val="9"/>
            <w:tcBorders>
              <w:top w:val="single" w:sz="12" w:space="0" w:color="auto"/>
            </w:tcBorders>
          </w:tcPr>
          <w:p w14:paraId="25745185" w14:textId="77777777" w:rsidR="00457B4B" w:rsidRPr="00011FBF" w:rsidRDefault="00457B4B" w:rsidP="00D53146">
            <w:pPr>
              <w:rPr>
                <w:rFonts w:ascii="Arial" w:hAnsi="Arial" w:cs="Arial"/>
                <w:b/>
                <w:i/>
                <w:sz w:val="20"/>
                <w:szCs w:val="20"/>
              </w:rPr>
            </w:pPr>
            <w:r w:rsidRPr="00011FBF">
              <w:rPr>
                <w:rFonts w:ascii="Arial" w:hAnsi="Arial" w:cs="Arial"/>
                <w:b/>
                <w:i/>
                <w:sz w:val="20"/>
                <w:szCs w:val="20"/>
              </w:rPr>
              <w:t>Absolute or relative change in hemoglobin concentration</w:t>
            </w:r>
          </w:p>
        </w:tc>
      </w:tr>
      <w:tr w:rsidR="00457B4B" w:rsidRPr="00011FBF" w14:paraId="5E97AE82" w14:textId="77777777" w:rsidTr="7212EB0A">
        <w:trPr>
          <w:trHeight w:val="1664"/>
        </w:trPr>
        <w:tc>
          <w:tcPr>
            <w:tcW w:w="1083" w:type="dxa"/>
            <w:shd w:val="clear" w:color="auto" w:fill="A6A6A6" w:themeFill="background1" w:themeFillShade="A6"/>
          </w:tcPr>
          <w:p w14:paraId="05235263" w14:textId="77777777" w:rsidR="00457B4B" w:rsidRPr="00011FBF" w:rsidRDefault="00457B4B" w:rsidP="00D53146">
            <w:pPr>
              <w:rPr>
                <w:rFonts w:ascii="Arial" w:hAnsi="Arial" w:cs="Arial"/>
                <w:sz w:val="20"/>
                <w:szCs w:val="20"/>
              </w:rPr>
            </w:pPr>
            <w:r w:rsidRPr="00011FBF">
              <w:rPr>
                <w:rFonts w:ascii="Arial" w:hAnsi="Arial" w:cs="Arial"/>
                <w:sz w:val="20"/>
                <w:szCs w:val="20"/>
              </w:rPr>
              <w:t>Rationale</w:t>
            </w:r>
          </w:p>
        </w:tc>
        <w:tc>
          <w:tcPr>
            <w:tcW w:w="1185" w:type="dxa"/>
          </w:tcPr>
          <w:p w14:paraId="371C5889" w14:textId="77777777" w:rsidR="00457B4B" w:rsidRPr="00011FBF" w:rsidRDefault="00457B4B" w:rsidP="00D53146">
            <w:pPr>
              <w:rPr>
                <w:rFonts w:ascii="Arial" w:hAnsi="Arial" w:cs="Arial"/>
                <w:b/>
                <w:sz w:val="20"/>
                <w:szCs w:val="20"/>
              </w:rPr>
            </w:pPr>
            <w:r w:rsidRPr="00C24559">
              <w:rPr>
                <w:rFonts w:ascii="Arial" w:hAnsi="Arial" w:cs="Arial"/>
                <w:b/>
                <w:sz w:val="20"/>
                <w:szCs w:val="20"/>
              </w:rPr>
              <w:t xml:space="preserve">6/6 </w:t>
            </w:r>
          </w:p>
        </w:tc>
        <w:tc>
          <w:tcPr>
            <w:tcW w:w="1530" w:type="dxa"/>
          </w:tcPr>
          <w:p w14:paraId="557D5EED" w14:textId="6D0C88C4" w:rsidR="00457B4B" w:rsidRPr="00011FBF" w:rsidRDefault="00457B4B" w:rsidP="00D53146">
            <w:pPr>
              <w:rPr>
                <w:rFonts w:ascii="Arial" w:hAnsi="Arial" w:cs="Arial"/>
                <w:sz w:val="20"/>
                <w:szCs w:val="20"/>
              </w:rPr>
            </w:pPr>
            <w:r w:rsidRPr="7212EB0A">
              <w:rPr>
                <w:rFonts w:ascii="Arial" w:hAnsi="Arial" w:cs="Arial"/>
                <w:sz w:val="20"/>
                <w:szCs w:val="20"/>
              </w:rPr>
              <w:t>3/6 RCTs inadequately blinded outcome assessments; 4/6 RCTs inadequately blinded participants and personnel. The proportion of information from studies at high risk of bias is sufficient to affect the interpretation of results.</w:t>
            </w:r>
          </w:p>
        </w:tc>
        <w:tc>
          <w:tcPr>
            <w:tcW w:w="2025" w:type="dxa"/>
          </w:tcPr>
          <w:p w14:paraId="45AF9E29" w14:textId="77777777" w:rsidR="00457B4B" w:rsidRPr="00011FBF" w:rsidRDefault="00457B4B" w:rsidP="00D53146">
            <w:pPr>
              <w:rPr>
                <w:rFonts w:ascii="Arial" w:hAnsi="Arial" w:cs="Arial"/>
                <w:sz w:val="20"/>
                <w:szCs w:val="20"/>
              </w:rPr>
            </w:pPr>
            <w:r w:rsidRPr="00011FBF">
              <w:rPr>
                <w:rFonts w:ascii="Arial" w:hAnsi="Arial" w:cs="Arial"/>
                <w:sz w:val="20"/>
                <w:szCs w:val="20"/>
              </w:rPr>
              <w:t>Positive effect demonstrated in 6/6 RCTs. Both clinical and methodologic heterogeneity are high. Therefore, some inconsistency exists.</w:t>
            </w:r>
          </w:p>
        </w:tc>
        <w:tc>
          <w:tcPr>
            <w:tcW w:w="1428" w:type="dxa"/>
          </w:tcPr>
          <w:p w14:paraId="7D537298" w14:textId="77777777" w:rsidR="00457B4B" w:rsidRPr="00011FBF" w:rsidRDefault="00457B4B" w:rsidP="00D53146">
            <w:pPr>
              <w:rPr>
                <w:rFonts w:ascii="Arial" w:hAnsi="Arial" w:cs="Arial"/>
                <w:sz w:val="20"/>
                <w:szCs w:val="20"/>
              </w:rPr>
            </w:pPr>
            <w:r w:rsidRPr="00011FBF">
              <w:rPr>
                <w:rFonts w:ascii="Arial" w:hAnsi="Arial" w:cs="Arial"/>
                <w:sz w:val="20"/>
                <w:szCs w:val="20"/>
              </w:rPr>
              <w:t xml:space="preserve">Secondary endpoint in 4/6 studies (primary in 2/6) and therefore may not be powered appropriately. The intervention was given preop in 4/6 and postop in 2/6 studies. Difficult to make direct comparisons because of difference in comparators and populations. </w:t>
            </w:r>
          </w:p>
        </w:tc>
        <w:tc>
          <w:tcPr>
            <w:tcW w:w="1962" w:type="dxa"/>
          </w:tcPr>
          <w:p w14:paraId="05601A0C" w14:textId="77777777" w:rsidR="00457B4B" w:rsidRPr="00011FBF" w:rsidRDefault="00457B4B" w:rsidP="00D53146">
            <w:pPr>
              <w:rPr>
                <w:rFonts w:ascii="Arial" w:hAnsi="Arial" w:cs="Arial"/>
                <w:sz w:val="20"/>
                <w:szCs w:val="20"/>
              </w:rPr>
            </w:pPr>
            <w:r w:rsidRPr="00011FBF">
              <w:rPr>
                <w:rFonts w:ascii="Arial" w:hAnsi="Arial" w:cs="Arial"/>
                <w:sz w:val="20"/>
                <w:szCs w:val="20"/>
              </w:rPr>
              <w:t>1 study terminated early; no CIs reported for 3/6 studies; wide CI/IQR for 3/6 studies. Insufficient sample sizes (&lt;400 total) in 5/6 studies.</w:t>
            </w:r>
          </w:p>
        </w:tc>
        <w:tc>
          <w:tcPr>
            <w:tcW w:w="1295" w:type="dxa"/>
          </w:tcPr>
          <w:p w14:paraId="52D3F654" w14:textId="77777777" w:rsidR="00457B4B" w:rsidRPr="00011FBF" w:rsidRDefault="00457B4B" w:rsidP="00D53146">
            <w:pPr>
              <w:rPr>
                <w:rFonts w:ascii="Arial" w:hAnsi="Arial" w:cs="Arial"/>
                <w:sz w:val="20"/>
                <w:szCs w:val="20"/>
              </w:rPr>
            </w:pPr>
            <w:r w:rsidRPr="00011FBF">
              <w:rPr>
                <w:rFonts w:ascii="Arial" w:hAnsi="Arial" w:cs="Arial"/>
                <w:sz w:val="20"/>
                <w:szCs w:val="20"/>
              </w:rPr>
              <w:t>Undetected</w:t>
            </w:r>
          </w:p>
        </w:tc>
        <w:tc>
          <w:tcPr>
            <w:tcW w:w="1639" w:type="dxa"/>
          </w:tcPr>
          <w:p w14:paraId="289DE8A8" w14:textId="77777777" w:rsidR="00457B4B" w:rsidRPr="00011FBF" w:rsidRDefault="00457B4B" w:rsidP="00D53146">
            <w:pPr>
              <w:rPr>
                <w:rFonts w:ascii="Arial" w:hAnsi="Arial" w:cs="Arial"/>
                <w:sz w:val="20"/>
                <w:szCs w:val="20"/>
              </w:rPr>
            </w:pPr>
            <w:r w:rsidRPr="00011FBF">
              <w:rPr>
                <w:rFonts w:ascii="Arial" w:hAnsi="Arial" w:cs="Arial"/>
                <w:sz w:val="20"/>
                <w:szCs w:val="20"/>
              </w:rPr>
              <w:t>There are potentially many subgroups in this analysis (eg, type of surgery, severity of condition, age) that may have affected findings that cannot be considered because of small sample sizes.</w:t>
            </w:r>
          </w:p>
        </w:tc>
        <w:tc>
          <w:tcPr>
            <w:tcW w:w="1740" w:type="dxa"/>
          </w:tcPr>
          <w:p w14:paraId="4CF33D56" w14:textId="77777777" w:rsidR="00457B4B" w:rsidRPr="00011FBF" w:rsidRDefault="00457B4B" w:rsidP="00D53146">
            <w:pPr>
              <w:rPr>
                <w:rFonts w:ascii="Arial" w:hAnsi="Arial" w:cs="Arial"/>
                <w:sz w:val="20"/>
                <w:szCs w:val="20"/>
              </w:rPr>
            </w:pPr>
            <w:r w:rsidRPr="00011FBF">
              <w:rPr>
                <w:rFonts w:ascii="Arial" w:hAnsi="Arial" w:cs="Arial"/>
                <w:sz w:val="20"/>
                <w:szCs w:val="20"/>
              </w:rPr>
              <w:t>We have very little confidence in the effect estimate; the true effect is likely to be substantially different from the estimate of the effect.</w:t>
            </w:r>
          </w:p>
          <w:p w14:paraId="2A84F0F3" w14:textId="77777777" w:rsidR="00457B4B" w:rsidRPr="00011FBF" w:rsidRDefault="00457B4B" w:rsidP="00D53146">
            <w:pPr>
              <w:rPr>
                <w:rFonts w:ascii="Arial" w:hAnsi="Arial" w:cs="Arial"/>
                <w:sz w:val="20"/>
                <w:szCs w:val="20"/>
              </w:rPr>
            </w:pPr>
          </w:p>
          <w:p w14:paraId="491C528C" w14:textId="77777777" w:rsidR="00457B4B" w:rsidRPr="00011FBF" w:rsidRDefault="00457B4B" w:rsidP="00D53146">
            <w:pPr>
              <w:rPr>
                <w:rFonts w:ascii="Arial" w:hAnsi="Arial" w:cs="Arial"/>
                <w:sz w:val="20"/>
                <w:szCs w:val="20"/>
              </w:rPr>
            </w:pPr>
            <w:r w:rsidRPr="00011FBF">
              <w:rPr>
                <w:rFonts w:ascii="Arial" w:hAnsi="Arial" w:cs="Arial"/>
                <w:sz w:val="20"/>
                <w:szCs w:val="20"/>
              </w:rPr>
              <w:t>There generally appears to be a consistent effect with low risk of AEs. Most articles report positive outlook on use in future similar patient populations. Patients appear neutral to positive.</w:t>
            </w:r>
          </w:p>
        </w:tc>
      </w:tr>
      <w:tr w:rsidR="00457B4B" w:rsidRPr="00011FBF" w14:paraId="55A09559" w14:textId="77777777" w:rsidTr="7212EB0A">
        <w:trPr>
          <w:trHeight w:val="254"/>
        </w:trPr>
        <w:tc>
          <w:tcPr>
            <w:tcW w:w="13887" w:type="dxa"/>
            <w:gridSpan w:val="9"/>
          </w:tcPr>
          <w:p w14:paraId="7C0E8F68" w14:textId="77777777" w:rsidR="00457B4B" w:rsidRPr="00011FBF" w:rsidRDefault="00457B4B" w:rsidP="00D53146">
            <w:pPr>
              <w:keepNext/>
              <w:rPr>
                <w:rFonts w:ascii="Arial" w:hAnsi="Arial" w:cs="Arial"/>
                <w:b/>
                <w:i/>
                <w:sz w:val="20"/>
                <w:szCs w:val="20"/>
              </w:rPr>
            </w:pPr>
            <w:r w:rsidRPr="00011FBF">
              <w:rPr>
                <w:rFonts w:ascii="Arial" w:hAnsi="Arial" w:cs="Arial"/>
                <w:b/>
                <w:i/>
                <w:sz w:val="20"/>
                <w:szCs w:val="20"/>
              </w:rPr>
              <w:lastRenderedPageBreak/>
              <w:t>Absolute or relative change in iron stores (serum ferritin)</w:t>
            </w:r>
          </w:p>
        </w:tc>
      </w:tr>
      <w:tr w:rsidR="00457B4B" w:rsidRPr="00011FBF" w14:paraId="43503D1F" w14:textId="77777777" w:rsidTr="7212EB0A">
        <w:trPr>
          <w:trHeight w:val="1610"/>
        </w:trPr>
        <w:tc>
          <w:tcPr>
            <w:tcW w:w="1083" w:type="dxa"/>
            <w:shd w:val="clear" w:color="auto" w:fill="A6A6A6" w:themeFill="background1" w:themeFillShade="A6"/>
          </w:tcPr>
          <w:p w14:paraId="0C8E47E2" w14:textId="77777777" w:rsidR="00457B4B" w:rsidRPr="00011FBF" w:rsidRDefault="00457B4B" w:rsidP="00D53146">
            <w:pPr>
              <w:rPr>
                <w:rFonts w:ascii="Arial" w:hAnsi="Arial" w:cs="Arial"/>
                <w:sz w:val="20"/>
                <w:szCs w:val="20"/>
              </w:rPr>
            </w:pPr>
            <w:r w:rsidRPr="00011FBF">
              <w:rPr>
                <w:rFonts w:ascii="Arial" w:hAnsi="Arial" w:cs="Arial"/>
                <w:sz w:val="20"/>
                <w:szCs w:val="20"/>
              </w:rPr>
              <w:t>Rationale</w:t>
            </w:r>
          </w:p>
        </w:tc>
        <w:tc>
          <w:tcPr>
            <w:tcW w:w="1185" w:type="dxa"/>
          </w:tcPr>
          <w:p w14:paraId="496866B1"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6/6</w:t>
            </w:r>
          </w:p>
        </w:tc>
        <w:tc>
          <w:tcPr>
            <w:tcW w:w="1530" w:type="dxa"/>
          </w:tcPr>
          <w:p w14:paraId="453879FA" w14:textId="14E7C0BD" w:rsidR="00457B4B" w:rsidRPr="00011FBF" w:rsidRDefault="00457B4B" w:rsidP="00D53146">
            <w:pPr>
              <w:rPr>
                <w:rFonts w:ascii="Arial" w:hAnsi="Arial" w:cs="Arial"/>
                <w:sz w:val="20"/>
                <w:szCs w:val="20"/>
                <w:highlight w:val="yellow"/>
              </w:rPr>
            </w:pPr>
            <w:r w:rsidRPr="7212EB0A">
              <w:rPr>
                <w:rFonts w:ascii="Arial" w:hAnsi="Arial" w:cs="Arial"/>
                <w:sz w:val="20"/>
                <w:szCs w:val="20"/>
              </w:rPr>
              <w:t>3/6 RCTs inadequately blinded outcome assessments; 4/6 RCTs inadequately blinded participants and personnel. The proportion of information from studies at high risk of bias is sufficient to affect the interpretation of results.</w:t>
            </w:r>
          </w:p>
        </w:tc>
        <w:tc>
          <w:tcPr>
            <w:tcW w:w="2025" w:type="dxa"/>
          </w:tcPr>
          <w:p w14:paraId="22AC5852"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 xml:space="preserve">Positive effect demonstrated in 6/6 RCTs. Both clinical and methodologic heterogeneity are high. Therefore, some inconsistency exists. </w:t>
            </w:r>
          </w:p>
        </w:tc>
        <w:tc>
          <w:tcPr>
            <w:tcW w:w="1428" w:type="dxa"/>
          </w:tcPr>
          <w:p w14:paraId="48C4F5DD"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Secondary endpoint in 4/6 studies (primary in 1 study) and therefore not sufficiently powered. Difficult to make direct comparisons because of differences in comparators and populations.</w:t>
            </w:r>
          </w:p>
        </w:tc>
        <w:tc>
          <w:tcPr>
            <w:tcW w:w="1962" w:type="dxa"/>
          </w:tcPr>
          <w:p w14:paraId="47190257" w14:textId="77777777" w:rsidR="00457B4B" w:rsidRPr="00011FBF" w:rsidRDefault="00457B4B" w:rsidP="00D53146">
            <w:pPr>
              <w:rPr>
                <w:rFonts w:ascii="Arial" w:hAnsi="Arial" w:cs="Arial"/>
                <w:sz w:val="20"/>
                <w:szCs w:val="20"/>
              </w:rPr>
            </w:pPr>
            <w:r w:rsidRPr="00011FBF">
              <w:rPr>
                <w:rFonts w:ascii="Arial" w:hAnsi="Arial" w:cs="Arial"/>
                <w:sz w:val="20"/>
                <w:szCs w:val="20"/>
              </w:rPr>
              <w:t xml:space="preserve">1 study terminated early; no CI reported for 3/6; wide CI/IQR range for 3/6 studies. Insufficient sample sizes (&lt;400 total) in 5/6 studies. </w:t>
            </w:r>
          </w:p>
        </w:tc>
        <w:tc>
          <w:tcPr>
            <w:tcW w:w="1295" w:type="dxa"/>
          </w:tcPr>
          <w:p w14:paraId="257BA264" w14:textId="77777777" w:rsidR="00457B4B" w:rsidRPr="00011FBF" w:rsidRDefault="00457B4B" w:rsidP="00D53146">
            <w:pPr>
              <w:rPr>
                <w:rFonts w:ascii="Arial" w:hAnsi="Arial" w:cs="Arial"/>
                <w:sz w:val="20"/>
                <w:szCs w:val="20"/>
              </w:rPr>
            </w:pPr>
            <w:r w:rsidRPr="00011FBF">
              <w:rPr>
                <w:rFonts w:ascii="Arial" w:hAnsi="Arial" w:cs="Arial"/>
                <w:sz w:val="20"/>
                <w:szCs w:val="20"/>
              </w:rPr>
              <w:t>Undetected</w:t>
            </w:r>
          </w:p>
        </w:tc>
        <w:tc>
          <w:tcPr>
            <w:tcW w:w="1639" w:type="dxa"/>
          </w:tcPr>
          <w:p w14:paraId="1311A78E" w14:textId="77777777" w:rsidR="00457B4B" w:rsidRPr="00011FBF" w:rsidRDefault="00457B4B" w:rsidP="00D53146">
            <w:pPr>
              <w:rPr>
                <w:rFonts w:ascii="Arial" w:hAnsi="Arial" w:cs="Arial"/>
                <w:sz w:val="20"/>
                <w:szCs w:val="20"/>
              </w:rPr>
            </w:pPr>
            <w:r w:rsidRPr="00011FBF">
              <w:rPr>
                <w:rFonts w:ascii="Arial" w:hAnsi="Arial" w:cs="Arial"/>
                <w:sz w:val="20"/>
                <w:szCs w:val="20"/>
              </w:rPr>
              <w:t xml:space="preserve">Selective reporting in 2/6 studies (TSAT/ferritin endpoint not prespecified). </w:t>
            </w:r>
          </w:p>
          <w:p w14:paraId="2755A22B" w14:textId="77777777" w:rsidR="00457B4B" w:rsidRPr="00011FBF" w:rsidRDefault="00457B4B" w:rsidP="00D53146">
            <w:pPr>
              <w:rPr>
                <w:rFonts w:ascii="Arial" w:hAnsi="Arial" w:cs="Arial"/>
                <w:sz w:val="20"/>
                <w:szCs w:val="20"/>
              </w:rPr>
            </w:pPr>
          </w:p>
        </w:tc>
        <w:tc>
          <w:tcPr>
            <w:tcW w:w="1740" w:type="dxa"/>
          </w:tcPr>
          <w:p w14:paraId="1B3B0C36" w14:textId="77777777" w:rsidR="00457B4B" w:rsidRPr="00011FBF" w:rsidRDefault="00457B4B" w:rsidP="00D53146">
            <w:pPr>
              <w:rPr>
                <w:rFonts w:ascii="Arial" w:hAnsi="Arial" w:cs="Arial"/>
                <w:sz w:val="20"/>
                <w:szCs w:val="20"/>
              </w:rPr>
            </w:pPr>
            <w:r w:rsidRPr="00011FBF">
              <w:rPr>
                <w:rFonts w:ascii="Arial" w:hAnsi="Arial" w:cs="Arial"/>
                <w:sz w:val="20"/>
                <w:szCs w:val="20"/>
              </w:rPr>
              <w:t>We have very little confidence in the effect estimate; the true effect is likely to be substantially different from the estimate of the effect</w:t>
            </w:r>
          </w:p>
        </w:tc>
      </w:tr>
      <w:tr w:rsidR="00457B4B" w:rsidRPr="00011FBF" w14:paraId="24659293" w14:textId="77777777" w:rsidTr="7212EB0A">
        <w:trPr>
          <w:trHeight w:val="70"/>
        </w:trPr>
        <w:tc>
          <w:tcPr>
            <w:tcW w:w="13887" w:type="dxa"/>
            <w:gridSpan w:val="9"/>
            <w:shd w:val="clear" w:color="auto" w:fill="auto"/>
          </w:tcPr>
          <w:p w14:paraId="7845AF5E" w14:textId="77777777" w:rsidR="00457B4B" w:rsidRPr="00011FBF" w:rsidRDefault="00457B4B" w:rsidP="00D53146">
            <w:pPr>
              <w:rPr>
                <w:rFonts w:ascii="Arial" w:hAnsi="Arial" w:cs="Arial"/>
                <w:b/>
                <w:i/>
                <w:sz w:val="20"/>
                <w:szCs w:val="20"/>
              </w:rPr>
            </w:pPr>
            <w:r w:rsidRPr="00011FBF">
              <w:rPr>
                <w:rFonts w:ascii="Arial" w:hAnsi="Arial" w:cs="Arial"/>
                <w:b/>
                <w:i/>
                <w:sz w:val="20"/>
                <w:szCs w:val="20"/>
              </w:rPr>
              <w:t>Absolute or relative change in iron stores (TSAT)</w:t>
            </w:r>
          </w:p>
        </w:tc>
      </w:tr>
      <w:tr w:rsidR="00457B4B" w:rsidRPr="00011FBF" w14:paraId="4468495C" w14:textId="77777777" w:rsidTr="7212EB0A">
        <w:trPr>
          <w:trHeight w:val="278"/>
        </w:trPr>
        <w:tc>
          <w:tcPr>
            <w:tcW w:w="1083" w:type="dxa"/>
            <w:shd w:val="clear" w:color="auto" w:fill="A6A6A6" w:themeFill="background1" w:themeFillShade="A6"/>
          </w:tcPr>
          <w:p w14:paraId="67B4DAC1" w14:textId="77777777" w:rsidR="00457B4B" w:rsidRPr="00011FBF" w:rsidRDefault="00457B4B" w:rsidP="00D53146">
            <w:pPr>
              <w:rPr>
                <w:rFonts w:ascii="Arial" w:hAnsi="Arial" w:cs="Arial"/>
                <w:sz w:val="20"/>
                <w:szCs w:val="20"/>
              </w:rPr>
            </w:pPr>
            <w:r w:rsidRPr="00011FBF">
              <w:rPr>
                <w:rFonts w:ascii="Arial" w:hAnsi="Arial" w:cs="Arial"/>
                <w:sz w:val="20"/>
                <w:szCs w:val="20"/>
              </w:rPr>
              <w:t>Rationale</w:t>
            </w:r>
          </w:p>
        </w:tc>
        <w:tc>
          <w:tcPr>
            <w:tcW w:w="1185" w:type="dxa"/>
          </w:tcPr>
          <w:p w14:paraId="203917A6"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5/6</w:t>
            </w:r>
          </w:p>
        </w:tc>
        <w:tc>
          <w:tcPr>
            <w:tcW w:w="1530" w:type="dxa"/>
          </w:tcPr>
          <w:p w14:paraId="494D069B" w14:textId="77777777" w:rsidR="00457B4B" w:rsidRPr="00011FBF" w:rsidRDefault="00457B4B" w:rsidP="00D53146">
            <w:pPr>
              <w:rPr>
                <w:rFonts w:ascii="Arial" w:hAnsi="Arial" w:cs="Arial"/>
                <w:sz w:val="20"/>
                <w:szCs w:val="20"/>
              </w:rPr>
            </w:pPr>
            <w:r w:rsidRPr="00011FBF">
              <w:rPr>
                <w:rFonts w:ascii="Arial" w:hAnsi="Arial" w:cs="Arial"/>
                <w:sz w:val="20"/>
                <w:szCs w:val="20"/>
              </w:rPr>
              <w:t xml:space="preserve">3/5 RCTs inadequately blinded outcome assessments; 3/5 RCTs inadequately blinded participants and personnel. The proportion of information from studies at high risk of bias is sufficient to </w:t>
            </w:r>
            <w:r w:rsidRPr="00011FBF">
              <w:rPr>
                <w:rFonts w:ascii="Arial" w:hAnsi="Arial" w:cs="Arial"/>
                <w:sz w:val="20"/>
                <w:szCs w:val="20"/>
              </w:rPr>
              <w:lastRenderedPageBreak/>
              <w:t>affect the interpretation of results</w:t>
            </w:r>
          </w:p>
        </w:tc>
        <w:tc>
          <w:tcPr>
            <w:tcW w:w="2025" w:type="dxa"/>
          </w:tcPr>
          <w:p w14:paraId="2B035734"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lastRenderedPageBreak/>
              <w:t>Positive effect demonstrated in 5/5 RCTs. Both clinical and methodologic heterogeneity are high. Therefore, some inconsistency exists</w:t>
            </w:r>
          </w:p>
        </w:tc>
        <w:tc>
          <w:tcPr>
            <w:tcW w:w="1428" w:type="dxa"/>
          </w:tcPr>
          <w:p w14:paraId="3A353923"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 xml:space="preserve">Secondary endpoint in most studies (primary in 1 study) and therefore not sufficiently powered. Difficult to make direct comparisons because of difference in comparators and </w:t>
            </w:r>
            <w:r w:rsidRPr="00011FBF">
              <w:rPr>
                <w:rFonts w:ascii="Arial" w:hAnsi="Arial" w:cs="Arial"/>
                <w:sz w:val="20"/>
                <w:szCs w:val="20"/>
              </w:rPr>
              <w:lastRenderedPageBreak/>
              <w:t>populations</w:t>
            </w:r>
          </w:p>
        </w:tc>
        <w:tc>
          <w:tcPr>
            <w:tcW w:w="1962" w:type="dxa"/>
          </w:tcPr>
          <w:p w14:paraId="26DDC5FD" w14:textId="77777777" w:rsidR="00457B4B" w:rsidRPr="00011FBF" w:rsidRDefault="00457B4B" w:rsidP="00D53146">
            <w:pPr>
              <w:rPr>
                <w:rFonts w:ascii="Arial" w:hAnsi="Arial" w:cs="Arial"/>
                <w:sz w:val="20"/>
                <w:szCs w:val="20"/>
              </w:rPr>
            </w:pPr>
            <w:r w:rsidRPr="00011FBF">
              <w:rPr>
                <w:rFonts w:ascii="Arial" w:hAnsi="Arial" w:cs="Arial"/>
                <w:sz w:val="20"/>
                <w:szCs w:val="20"/>
              </w:rPr>
              <w:lastRenderedPageBreak/>
              <w:t>1 study terminated early; no confidence interval reported for 3/5; wide CI/IQR for 2/5 studies. Insufficient sample sizes in each study (&lt;400 total).</w:t>
            </w:r>
          </w:p>
        </w:tc>
        <w:tc>
          <w:tcPr>
            <w:tcW w:w="1295" w:type="dxa"/>
          </w:tcPr>
          <w:p w14:paraId="25013F52" w14:textId="77777777" w:rsidR="00457B4B" w:rsidRPr="00011FBF" w:rsidRDefault="00457B4B" w:rsidP="00D53146">
            <w:pPr>
              <w:rPr>
                <w:rFonts w:ascii="Arial" w:hAnsi="Arial" w:cs="Arial"/>
                <w:sz w:val="20"/>
                <w:szCs w:val="20"/>
              </w:rPr>
            </w:pPr>
            <w:r w:rsidRPr="00011FBF">
              <w:rPr>
                <w:rFonts w:ascii="Arial" w:hAnsi="Arial" w:cs="Arial"/>
                <w:sz w:val="20"/>
                <w:szCs w:val="20"/>
              </w:rPr>
              <w:t>Undetected</w:t>
            </w:r>
          </w:p>
        </w:tc>
        <w:tc>
          <w:tcPr>
            <w:tcW w:w="1639" w:type="dxa"/>
          </w:tcPr>
          <w:p w14:paraId="3BE70069" w14:textId="77777777" w:rsidR="00457B4B" w:rsidRPr="00011FBF" w:rsidRDefault="00457B4B" w:rsidP="00D53146">
            <w:pPr>
              <w:rPr>
                <w:rFonts w:ascii="Arial" w:hAnsi="Arial" w:cs="Arial"/>
                <w:sz w:val="20"/>
                <w:szCs w:val="20"/>
              </w:rPr>
            </w:pPr>
            <w:r w:rsidRPr="00011FBF">
              <w:rPr>
                <w:rFonts w:ascii="Arial" w:hAnsi="Arial" w:cs="Arial"/>
                <w:sz w:val="20"/>
                <w:szCs w:val="20"/>
              </w:rPr>
              <w:t>Selective reporting in 2/6 studies (TSAT/ferritin endpoint not prespecified).</w:t>
            </w:r>
          </w:p>
        </w:tc>
        <w:tc>
          <w:tcPr>
            <w:tcW w:w="1740" w:type="dxa"/>
          </w:tcPr>
          <w:p w14:paraId="28078AE5" w14:textId="77777777" w:rsidR="00457B4B" w:rsidRPr="00011FBF" w:rsidRDefault="00457B4B" w:rsidP="00D53146">
            <w:pPr>
              <w:rPr>
                <w:rFonts w:ascii="Arial" w:hAnsi="Arial" w:cs="Arial"/>
                <w:sz w:val="20"/>
                <w:szCs w:val="20"/>
              </w:rPr>
            </w:pPr>
            <w:r w:rsidRPr="00011FBF">
              <w:rPr>
                <w:rFonts w:ascii="Arial" w:hAnsi="Arial" w:cs="Arial"/>
                <w:sz w:val="20"/>
                <w:szCs w:val="20"/>
              </w:rPr>
              <w:t>We have very little confidence in the effect estimate; the true effect is likely to be substantially different from the estimate of the effect.</w:t>
            </w:r>
          </w:p>
        </w:tc>
      </w:tr>
      <w:tr w:rsidR="00457B4B" w:rsidRPr="00011FBF" w14:paraId="1215AB84" w14:textId="77777777" w:rsidTr="7212EB0A">
        <w:trPr>
          <w:trHeight w:val="254"/>
        </w:trPr>
        <w:tc>
          <w:tcPr>
            <w:tcW w:w="13887" w:type="dxa"/>
            <w:gridSpan w:val="9"/>
          </w:tcPr>
          <w:p w14:paraId="6FD323EA" w14:textId="77777777" w:rsidR="00457B4B" w:rsidRPr="00011FBF" w:rsidRDefault="00457B4B" w:rsidP="00D53146">
            <w:pPr>
              <w:rPr>
                <w:rFonts w:ascii="Arial" w:hAnsi="Arial" w:cs="Arial"/>
                <w:b/>
                <w:i/>
                <w:sz w:val="20"/>
                <w:szCs w:val="20"/>
              </w:rPr>
            </w:pPr>
            <w:r w:rsidRPr="00011FBF">
              <w:rPr>
                <w:rFonts w:ascii="Arial" w:hAnsi="Arial" w:cs="Arial"/>
                <w:b/>
                <w:i/>
                <w:sz w:val="20"/>
                <w:szCs w:val="20"/>
              </w:rPr>
              <w:t>Proportion of participants who received a perioperative ABT</w:t>
            </w:r>
          </w:p>
        </w:tc>
      </w:tr>
      <w:tr w:rsidR="00457B4B" w:rsidRPr="00011FBF" w14:paraId="4F7C7001" w14:textId="77777777" w:rsidTr="7212EB0A">
        <w:trPr>
          <w:trHeight w:val="254"/>
        </w:trPr>
        <w:tc>
          <w:tcPr>
            <w:tcW w:w="1083" w:type="dxa"/>
            <w:shd w:val="clear" w:color="auto" w:fill="A6A6A6" w:themeFill="background1" w:themeFillShade="A6"/>
          </w:tcPr>
          <w:p w14:paraId="6461A2D2" w14:textId="77777777" w:rsidR="00457B4B" w:rsidRPr="00011FBF" w:rsidRDefault="00457B4B" w:rsidP="00D53146">
            <w:pPr>
              <w:rPr>
                <w:rFonts w:ascii="Arial" w:hAnsi="Arial" w:cs="Arial"/>
                <w:sz w:val="20"/>
                <w:szCs w:val="20"/>
              </w:rPr>
            </w:pPr>
            <w:r w:rsidRPr="00011FBF">
              <w:rPr>
                <w:rFonts w:ascii="Arial" w:hAnsi="Arial" w:cs="Arial"/>
                <w:sz w:val="20"/>
                <w:szCs w:val="20"/>
              </w:rPr>
              <w:t>Rationale</w:t>
            </w:r>
          </w:p>
        </w:tc>
        <w:tc>
          <w:tcPr>
            <w:tcW w:w="1185" w:type="dxa"/>
          </w:tcPr>
          <w:p w14:paraId="10B03127"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6/6</w:t>
            </w:r>
          </w:p>
        </w:tc>
        <w:tc>
          <w:tcPr>
            <w:tcW w:w="1530" w:type="dxa"/>
          </w:tcPr>
          <w:p w14:paraId="525A56FF" w14:textId="77777777" w:rsidR="00457B4B" w:rsidRPr="00011FBF" w:rsidRDefault="00457B4B" w:rsidP="00D53146">
            <w:pPr>
              <w:rPr>
                <w:rFonts w:ascii="Arial" w:hAnsi="Arial" w:cs="Arial"/>
                <w:sz w:val="20"/>
                <w:szCs w:val="20"/>
                <w:highlight w:val="yellow"/>
              </w:rPr>
            </w:pPr>
            <w:r w:rsidRPr="00011FBF" w:rsidDel="00E71066">
              <w:rPr>
                <w:rFonts w:ascii="Arial" w:hAnsi="Arial" w:cs="Arial"/>
                <w:sz w:val="20"/>
                <w:szCs w:val="20"/>
              </w:rPr>
              <w:t>3</w:t>
            </w:r>
            <w:r w:rsidRPr="00011FBF">
              <w:rPr>
                <w:rFonts w:ascii="Arial" w:hAnsi="Arial" w:cs="Arial"/>
                <w:sz w:val="20"/>
                <w:szCs w:val="20"/>
              </w:rPr>
              <w:t>/6 RCTs inadequately blinded outcome assessments; the decision to transfuse at discretion of an unblinded surgeon; 4/6 RCTs had prespecified transfusion trigger. The proportion of information from studies at high risk of bias is sufficient to affect the interpretation of results.</w:t>
            </w:r>
          </w:p>
        </w:tc>
        <w:tc>
          <w:tcPr>
            <w:tcW w:w="2025" w:type="dxa"/>
          </w:tcPr>
          <w:p w14:paraId="6EC84675" w14:textId="77777777" w:rsidR="00457B4B" w:rsidRPr="00011FBF" w:rsidRDefault="00457B4B" w:rsidP="00D53146">
            <w:pPr>
              <w:rPr>
                <w:rFonts w:ascii="Arial" w:hAnsi="Arial" w:cs="Arial"/>
                <w:sz w:val="20"/>
                <w:szCs w:val="20"/>
              </w:rPr>
            </w:pPr>
            <w:r w:rsidRPr="00011FBF">
              <w:rPr>
                <w:rFonts w:ascii="Arial" w:hAnsi="Arial" w:cs="Arial"/>
                <w:sz w:val="20"/>
                <w:szCs w:val="20"/>
              </w:rPr>
              <w:t>Positive effect reported in 2/6 studies (no difference in 4/6 studies). Consistency in findings may be an artifact of the disease severity/age/complexity of the surgery.</w:t>
            </w:r>
          </w:p>
        </w:tc>
        <w:tc>
          <w:tcPr>
            <w:tcW w:w="1428" w:type="dxa"/>
          </w:tcPr>
          <w:p w14:paraId="1443DDD5" w14:textId="77777777" w:rsidR="00457B4B" w:rsidRPr="00011FBF" w:rsidRDefault="00457B4B" w:rsidP="00D53146">
            <w:pPr>
              <w:rPr>
                <w:rFonts w:ascii="Arial" w:hAnsi="Arial" w:cs="Arial"/>
                <w:sz w:val="20"/>
                <w:szCs w:val="20"/>
              </w:rPr>
            </w:pPr>
            <w:r w:rsidRPr="00011FBF">
              <w:rPr>
                <w:rFonts w:ascii="Arial" w:hAnsi="Arial" w:cs="Arial"/>
                <w:sz w:val="20"/>
                <w:szCs w:val="20"/>
              </w:rPr>
              <w:t>Primary endpoint in 3/6; percentage of blood transfusions secondary endpoint in 2/6; number of transfused blood units primary endpoint (1/6); reported as an absolute number across all studies.  Difference in populations and intervention schedules may have influenced outcome.</w:t>
            </w:r>
          </w:p>
        </w:tc>
        <w:tc>
          <w:tcPr>
            <w:tcW w:w="1962" w:type="dxa"/>
          </w:tcPr>
          <w:p w14:paraId="0AA1FA71" w14:textId="77777777" w:rsidR="00457B4B" w:rsidRPr="00011FBF" w:rsidRDefault="00457B4B" w:rsidP="00D53146">
            <w:pPr>
              <w:rPr>
                <w:rFonts w:ascii="Arial" w:hAnsi="Arial" w:cs="Arial"/>
                <w:sz w:val="20"/>
                <w:szCs w:val="20"/>
              </w:rPr>
            </w:pPr>
            <w:r w:rsidRPr="00011FBF">
              <w:rPr>
                <w:rFonts w:ascii="Arial" w:hAnsi="Arial" w:cs="Arial"/>
                <w:sz w:val="20"/>
                <w:szCs w:val="20"/>
              </w:rPr>
              <w:t>1 study terminated early; no CI reported for 3/6; wide CI/IQR for 2/6. Uncertain if there was a large enough sample size despite a large enough number of events to calculate a precise effect estimate. Several studies had only 1 participant with the outcome of interest.</w:t>
            </w:r>
          </w:p>
        </w:tc>
        <w:tc>
          <w:tcPr>
            <w:tcW w:w="1295" w:type="dxa"/>
          </w:tcPr>
          <w:p w14:paraId="03116E29" w14:textId="77777777" w:rsidR="00457B4B" w:rsidRPr="00C24559" w:rsidRDefault="00457B4B" w:rsidP="00D53146">
            <w:pPr>
              <w:rPr>
                <w:rFonts w:ascii="Arial" w:hAnsi="Arial" w:cs="Arial"/>
                <w:sz w:val="20"/>
                <w:szCs w:val="20"/>
              </w:rPr>
            </w:pPr>
            <w:r w:rsidRPr="00C24559">
              <w:rPr>
                <w:rFonts w:ascii="Arial" w:hAnsi="Arial" w:cs="Arial"/>
                <w:sz w:val="20"/>
                <w:szCs w:val="20"/>
              </w:rPr>
              <w:t>Undetected</w:t>
            </w:r>
          </w:p>
        </w:tc>
        <w:tc>
          <w:tcPr>
            <w:tcW w:w="1639" w:type="dxa"/>
          </w:tcPr>
          <w:p w14:paraId="4EBBDBB5" w14:textId="77777777" w:rsidR="00457B4B" w:rsidRPr="00C24559" w:rsidRDefault="00457B4B" w:rsidP="00D53146">
            <w:pPr>
              <w:rPr>
                <w:rFonts w:ascii="Arial" w:hAnsi="Arial" w:cs="Arial"/>
                <w:sz w:val="20"/>
                <w:szCs w:val="20"/>
              </w:rPr>
            </w:pPr>
            <w:r w:rsidRPr="00C24559">
              <w:rPr>
                <w:rFonts w:ascii="Arial" w:hAnsi="Arial" w:cs="Arial"/>
                <w:b/>
                <w:sz w:val="20"/>
                <w:szCs w:val="20"/>
              </w:rPr>
              <w:t>N/A</w:t>
            </w:r>
          </w:p>
        </w:tc>
        <w:tc>
          <w:tcPr>
            <w:tcW w:w="1740" w:type="dxa"/>
          </w:tcPr>
          <w:p w14:paraId="17E88D2B" w14:textId="77777777" w:rsidR="00457B4B" w:rsidRPr="00011FBF" w:rsidRDefault="00457B4B" w:rsidP="00D53146">
            <w:pPr>
              <w:rPr>
                <w:rFonts w:ascii="Arial" w:hAnsi="Arial" w:cs="Arial"/>
                <w:sz w:val="20"/>
                <w:szCs w:val="20"/>
              </w:rPr>
            </w:pPr>
            <w:r w:rsidRPr="00011FBF">
              <w:rPr>
                <w:rFonts w:ascii="Arial" w:hAnsi="Arial" w:cs="Arial"/>
                <w:sz w:val="20"/>
                <w:szCs w:val="20"/>
              </w:rPr>
              <w:t>We have very little confidence in the effect estimate; the true effect is likely to be substantially different from the estimate of the effect. The studies in this review looked at populations who had a large range of bleed/transfusion risk perioperatively. Need to assess ABT risk and adequately power the studies to detect sufficient number of events. Event may be too rare in some cases.</w:t>
            </w:r>
          </w:p>
        </w:tc>
      </w:tr>
      <w:tr w:rsidR="00457B4B" w:rsidRPr="00011FBF" w14:paraId="3556BF5F" w14:textId="77777777" w:rsidTr="7212EB0A">
        <w:trPr>
          <w:trHeight w:val="254"/>
        </w:trPr>
        <w:tc>
          <w:tcPr>
            <w:tcW w:w="13887" w:type="dxa"/>
            <w:gridSpan w:val="9"/>
          </w:tcPr>
          <w:p w14:paraId="73E1B7D8" w14:textId="77777777" w:rsidR="00457B4B" w:rsidRPr="00011FBF" w:rsidRDefault="00457B4B" w:rsidP="00D53146">
            <w:pPr>
              <w:contextualSpacing/>
              <w:rPr>
                <w:rFonts w:ascii="Arial" w:hAnsi="Arial" w:cs="Arial"/>
                <w:b/>
                <w:i/>
                <w:sz w:val="20"/>
                <w:szCs w:val="20"/>
              </w:rPr>
            </w:pPr>
            <w:r w:rsidRPr="00011FBF">
              <w:rPr>
                <w:rFonts w:ascii="Arial" w:hAnsi="Arial" w:cs="Arial"/>
                <w:b/>
                <w:i/>
                <w:sz w:val="20"/>
                <w:szCs w:val="20"/>
              </w:rPr>
              <w:t>Proportion of participants who experienced adverse events</w:t>
            </w:r>
          </w:p>
        </w:tc>
      </w:tr>
      <w:tr w:rsidR="00457B4B" w:rsidRPr="00011FBF" w14:paraId="2099CD3B" w14:textId="77777777" w:rsidTr="7212EB0A">
        <w:trPr>
          <w:trHeight w:val="254"/>
        </w:trPr>
        <w:tc>
          <w:tcPr>
            <w:tcW w:w="1083" w:type="dxa"/>
            <w:shd w:val="clear" w:color="auto" w:fill="A6A6A6" w:themeFill="background1" w:themeFillShade="A6"/>
          </w:tcPr>
          <w:p w14:paraId="5BF87A8C" w14:textId="77777777" w:rsidR="00457B4B" w:rsidRPr="00011FBF" w:rsidRDefault="00457B4B" w:rsidP="00D53146">
            <w:pPr>
              <w:rPr>
                <w:rFonts w:ascii="Arial" w:hAnsi="Arial" w:cs="Arial"/>
                <w:sz w:val="20"/>
                <w:szCs w:val="20"/>
              </w:rPr>
            </w:pPr>
            <w:r w:rsidRPr="00011FBF">
              <w:rPr>
                <w:rFonts w:ascii="Arial" w:hAnsi="Arial" w:cs="Arial"/>
                <w:sz w:val="20"/>
                <w:szCs w:val="20"/>
              </w:rPr>
              <w:t>Rationale</w:t>
            </w:r>
          </w:p>
        </w:tc>
        <w:tc>
          <w:tcPr>
            <w:tcW w:w="1185" w:type="dxa"/>
          </w:tcPr>
          <w:p w14:paraId="6682414C"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2/6</w:t>
            </w:r>
          </w:p>
        </w:tc>
        <w:tc>
          <w:tcPr>
            <w:tcW w:w="1530" w:type="dxa"/>
          </w:tcPr>
          <w:p w14:paraId="2E0FE4CA" w14:textId="77777777" w:rsidR="00457B4B" w:rsidRPr="00011FBF" w:rsidRDefault="00457B4B" w:rsidP="00D53146">
            <w:pPr>
              <w:rPr>
                <w:rFonts w:ascii="Arial" w:hAnsi="Arial" w:cs="Arial"/>
                <w:sz w:val="20"/>
                <w:szCs w:val="20"/>
                <w:highlight w:val="yellow"/>
              </w:rPr>
            </w:pPr>
            <w:r>
              <w:rPr>
                <w:rFonts w:ascii="Arial" w:hAnsi="Arial" w:cs="Arial"/>
                <w:sz w:val="20"/>
                <w:szCs w:val="20"/>
              </w:rPr>
              <w:t>3</w:t>
            </w:r>
            <w:r w:rsidRPr="00011FBF">
              <w:rPr>
                <w:rFonts w:ascii="Arial" w:hAnsi="Arial" w:cs="Arial"/>
                <w:sz w:val="20"/>
                <w:szCs w:val="20"/>
              </w:rPr>
              <w:t xml:space="preserve">/6 RCTs inadequately blinded outcome </w:t>
            </w:r>
            <w:r w:rsidRPr="00011FBF">
              <w:rPr>
                <w:rFonts w:ascii="Arial" w:hAnsi="Arial" w:cs="Arial"/>
                <w:sz w:val="20"/>
                <w:szCs w:val="20"/>
              </w:rPr>
              <w:lastRenderedPageBreak/>
              <w:t>assessments; 4/6 RCTs inadequately blinded participants and personnel. The proportion of information from studies at high risk of bias is sufficient to affect the interpretation of results.</w:t>
            </w:r>
          </w:p>
        </w:tc>
        <w:tc>
          <w:tcPr>
            <w:tcW w:w="2025" w:type="dxa"/>
          </w:tcPr>
          <w:p w14:paraId="32C8ED9A" w14:textId="77777777" w:rsidR="00457B4B" w:rsidRPr="00011FBF" w:rsidRDefault="00457B4B" w:rsidP="00D53146">
            <w:pPr>
              <w:rPr>
                <w:rFonts w:ascii="Arial" w:hAnsi="Arial" w:cs="Arial"/>
                <w:sz w:val="20"/>
                <w:szCs w:val="20"/>
              </w:rPr>
            </w:pPr>
            <w:r w:rsidRPr="00011FBF">
              <w:rPr>
                <w:rFonts w:ascii="Arial" w:hAnsi="Arial" w:cs="Arial"/>
                <w:sz w:val="20"/>
                <w:szCs w:val="20"/>
              </w:rPr>
              <w:lastRenderedPageBreak/>
              <w:t xml:space="preserve">No SAE (3/6); no significant difference in safety reported for </w:t>
            </w:r>
            <w:r w:rsidRPr="00011FBF">
              <w:rPr>
                <w:rFonts w:ascii="Arial" w:hAnsi="Arial" w:cs="Arial"/>
                <w:sz w:val="20"/>
                <w:szCs w:val="20"/>
              </w:rPr>
              <w:lastRenderedPageBreak/>
              <w:t>5/6 studies.</w:t>
            </w:r>
          </w:p>
        </w:tc>
        <w:tc>
          <w:tcPr>
            <w:tcW w:w="1428" w:type="dxa"/>
          </w:tcPr>
          <w:p w14:paraId="61500D14" w14:textId="77777777" w:rsidR="00457B4B" w:rsidRPr="00011FBF" w:rsidRDefault="00457B4B" w:rsidP="00D53146">
            <w:pPr>
              <w:rPr>
                <w:rFonts w:ascii="Arial" w:hAnsi="Arial" w:cs="Arial"/>
                <w:sz w:val="20"/>
                <w:szCs w:val="20"/>
              </w:rPr>
            </w:pPr>
            <w:r w:rsidRPr="00011FBF">
              <w:rPr>
                <w:rFonts w:ascii="Arial" w:hAnsi="Arial" w:cs="Arial"/>
                <w:sz w:val="20"/>
                <w:szCs w:val="20"/>
              </w:rPr>
              <w:lastRenderedPageBreak/>
              <w:t xml:space="preserve">Prespecified secondary endpoint (2/6). Safety was not </w:t>
            </w:r>
            <w:r w:rsidRPr="00011FBF">
              <w:rPr>
                <w:rFonts w:ascii="Arial" w:hAnsi="Arial" w:cs="Arial"/>
                <w:sz w:val="20"/>
                <w:szCs w:val="20"/>
              </w:rPr>
              <w:lastRenderedPageBreak/>
              <w:t>assessed similarly within or between. Difficult to make a conclusion based on 2 studies; these studies also had different comparators.</w:t>
            </w:r>
          </w:p>
        </w:tc>
        <w:tc>
          <w:tcPr>
            <w:tcW w:w="1962" w:type="dxa"/>
          </w:tcPr>
          <w:p w14:paraId="571293D4" w14:textId="77777777" w:rsidR="00457B4B" w:rsidRPr="00011FBF" w:rsidRDefault="00457B4B" w:rsidP="00D53146">
            <w:pPr>
              <w:rPr>
                <w:rFonts w:ascii="Arial" w:hAnsi="Arial" w:cs="Arial"/>
                <w:sz w:val="20"/>
                <w:szCs w:val="20"/>
              </w:rPr>
            </w:pPr>
            <w:r w:rsidRPr="00011FBF">
              <w:rPr>
                <w:rFonts w:ascii="Arial" w:hAnsi="Arial" w:cs="Arial"/>
                <w:sz w:val="20"/>
                <w:szCs w:val="20"/>
              </w:rPr>
              <w:lastRenderedPageBreak/>
              <w:t xml:space="preserve">1 study terminated early. Not clear how safety was </w:t>
            </w:r>
            <w:r w:rsidRPr="00011FBF">
              <w:rPr>
                <w:rFonts w:ascii="Arial" w:hAnsi="Arial" w:cs="Arial"/>
                <w:sz w:val="20"/>
                <w:szCs w:val="20"/>
              </w:rPr>
              <w:lastRenderedPageBreak/>
              <w:t>assessed.</w:t>
            </w:r>
          </w:p>
        </w:tc>
        <w:tc>
          <w:tcPr>
            <w:tcW w:w="1295" w:type="dxa"/>
          </w:tcPr>
          <w:p w14:paraId="7EBE0481" w14:textId="77777777" w:rsidR="00457B4B" w:rsidRPr="00C24559" w:rsidRDefault="00457B4B" w:rsidP="00D53146">
            <w:pPr>
              <w:rPr>
                <w:rFonts w:ascii="Arial" w:hAnsi="Arial" w:cs="Arial"/>
                <w:sz w:val="20"/>
                <w:szCs w:val="20"/>
              </w:rPr>
            </w:pPr>
            <w:r w:rsidRPr="00C24559">
              <w:rPr>
                <w:rFonts w:ascii="Arial" w:hAnsi="Arial" w:cs="Arial"/>
                <w:sz w:val="20"/>
                <w:szCs w:val="20"/>
              </w:rPr>
              <w:lastRenderedPageBreak/>
              <w:t>Undetected</w:t>
            </w:r>
          </w:p>
        </w:tc>
        <w:tc>
          <w:tcPr>
            <w:tcW w:w="1639" w:type="dxa"/>
          </w:tcPr>
          <w:p w14:paraId="5ABFB68F" w14:textId="77777777" w:rsidR="00457B4B" w:rsidRPr="00C24559" w:rsidRDefault="00457B4B" w:rsidP="00D53146">
            <w:pPr>
              <w:rPr>
                <w:rFonts w:ascii="Arial" w:hAnsi="Arial" w:cs="Arial"/>
                <w:sz w:val="20"/>
                <w:szCs w:val="20"/>
              </w:rPr>
            </w:pPr>
            <w:r w:rsidRPr="00C24559">
              <w:rPr>
                <w:rFonts w:ascii="Arial" w:hAnsi="Arial" w:cs="Arial"/>
                <w:sz w:val="20"/>
                <w:szCs w:val="20"/>
              </w:rPr>
              <w:t>N/A</w:t>
            </w:r>
          </w:p>
        </w:tc>
        <w:tc>
          <w:tcPr>
            <w:tcW w:w="1740" w:type="dxa"/>
          </w:tcPr>
          <w:p w14:paraId="07CB62CB" w14:textId="77777777" w:rsidR="00457B4B" w:rsidRPr="00011FBF" w:rsidRDefault="00457B4B" w:rsidP="00D53146">
            <w:pPr>
              <w:rPr>
                <w:rFonts w:ascii="Arial" w:hAnsi="Arial" w:cs="Arial"/>
                <w:sz w:val="20"/>
                <w:szCs w:val="20"/>
              </w:rPr>
            </w:pPr>
            <w:r w:rsidRPr="00011FBF">
              <w:rPr>
                <w:rFonts w:ascii="Arial" w:hAnsi="Arial" w:cs="Arial"/>
                <w:sz w:val="20"/>
                <w:szCs w:val="20"/>
              </w:rPr>
              <w:t xml:space="preserve">We have very little confidence in the effect estimate; the true </w:t>
            </w:r>
            <w:r w:rsidRPr="00011FBF">
              <w:rPr>
                <w:rFonts w:ascii="Arial" w:hAnsi="Arial" w:cs="Arial"/>
                <w:sz w:val="20"/>
                <w:szCs w:val="20"/>
              </w:rPr>
              <w:lastRenderedPageBreak/>
              <w:t>effect is likely to be substantially different from the estimate of the effect. Lack of evidence, high inconsistency in reporting, high indirectness, and high imprecision.</w:t>
            </w:r>
          </w:p>
        </w:tc>
      </w:tr>
      <w:tr w:rsidR="00457B4B" w:rsidRPr="00011FBF" w14:paraId="3E3D806F" w14:textId="77777777" w:rsidTr="7212EB0A">
        <w:trPr>
          <w:trHeight w:val="271"/>
        </w:trPr>
        <w:tc>
          <w:tcPr>
            <w:tcW w:w="13887" w:type="dxa"/>
            <w:gridSpan w:val="9"/>
          </w:tcPr>
          <w:p w14:paraId="47630ED9" w14:textId="77777777" w:rsidR="00457B4B" w:rsidRPr="00011FBF" w:rsidRDefault="00457B4B" w:rsidP="00D53146">
            <w:pPr>
              <w:rPr>
                <w:rFonts w:ascii="Arial" w:hAnsi="Arial" w:cs="Arial"/>
                <w:b/>
                <w:i/>
                <w:sz w:val="20"/>
                <w:szCs w:val="20"/>
              </w:rPr>
            </w:pPr>
            <w:r w:rsidRPr="00011FBF">
              <w:rPr>
                <w:rFonts w:ascii="Arial" w:hAnsi="Arial" w:cs="Arial"/>
                <w:b/>
                <w:i/>
                <w:sz w:val="20"/>
                <w:szCs w:val="20"/>
              </w:rPr>
              <w:lastRenderedPageBreak/>
              <w:t>Postoperative mortality</w:t>
            </w:r>
          </w:p>
        </w:tc>
      </w:tr>
      <w:tr w:rsidR="00457B4B" w:rsidRPr="00011FBF" w14:paraId="04CD9FC2" w14:textId="77777777" w:rsidTr="7212EB0A">
        <w:trPr>
          <w:trHeight w:val="254"/>
        </w:trPr>
        <w:tc>
          <w:tcPr>
            <w:tcW w:w="1083" w:type="dxa"/>
            <w:shd w:val="clear" w:color="auto" w:fill="A6A6A6" w:themeFill="background1" w:themeFillShade="A6"/>
          </w:tcPr>
          <w:p w14:paraId="587507DA" w14:textId="77777777" w:rsidR="00457B4B" w:rsidRPr="00011FBF" w:rsidRDefault="00457B4B" w:rsidP="00D53146">
            <w:pPr>
              <w:rPr>
                <w:rFonts w:ascii="Arial" w:hAnsi="Arial" w:cs="Arial"/>
                <w:sz w:val="20"/>
                <w:szCs w:val="20"/>
              </w:rPr>
            </w:pPr>
            <w:r w:rsidRPr="00011FBF">
              <w:rPr>
                <w:rFonts w:ascii="Arial" w:hAnsi="Arial" w:cs="Arial"/>
                <w:sz w:val="20"/>
                <w:szCs w:val="20"/>
              </w:rPr>
              <w:t>Rationale</w:t>
            </w:r>
          </w:p>
        </w:tc>
        <w:tc>
          <w:tcPr>
            <w:tcW w:w="1185" w:type="dxa"/>
          </w:tcPr>
          <w:p w14:paraId="1CBB14C2" w14:textId="77777777" w:rsidR="00457B4B" w:rsidRPr="00011FBF" w:rsidRDefault="00457B4B" w:rsidP="00D53146">
            <w:pPr>
              <w:rPr>
                <w:rFonts w:ascii="Arial" w:hAnsi="Arial" w:cs="Arial"/>
                <w:sz w:val="20"/>
                <w:szCs w:val="20"/>
              </w:rPr>
            </w:pPr>
            <w:r w:rsidRPr="00011FBF">
              <w:rPr>
                <w:rFonts w:ascii="Arial" w:hAnsi="Arial" w:cs="Arial"/>
                <w:sz w:val="20"/>
                <w:szCs w:val="20"/>
              </w:rPr>
              <w:t>Directly reported in 3/6 studies; indirectly in 3/6 as apparently no deaths occurred during follow-up.</w:t>
            </w:r>
          </w:p>
        </w:tc>
        <w:tc>
          <w:tcPr>
            <w:tcW w:w="1530" w:type="dxa"/>
          </w:tcPr>
          <w:p w14:paraId="501812CB" w14:textId="77777777" w:rsidR="00457B4B" w:rsidRPr="00011FBF" w:rsidRDefault="00457B4B" w:rsidP="00D53146">
            <w:pPr>
              <w:rPr>
                <w:rFonts w:ascii="Arial" w:hAnsi="Arial" w:cs="Arial"/>
                <w:sz w:val="20"/>
                <w:szCs w:val="20"/>
                <w:highlight w:val="yellow"/>
              </w:rPr>
            </w:pPr>
            <w:r w:rsidRPr="00011FBF" w:rsidDel="007919E7">
              <w:rPr>
                <w:rFonts w:ascii="Arial" w:hAnsi="Arial" w:cs="Arial"/>
                <w:sz w:val="20"/>
                <w:szCs w:val="20"/>
              </w:rPr>
              <w:t>3</w:t>
            </w:r>
            <w:r w:rsidRPr="00011FBF">
              <w:rPr>
                <w:rFonts w:ascii="Arial" w:hAnsi="Arial" w:cs="Arial"/>
                <w:sz w:val="20"/>
                <w:szCs w:val="20"/>
              </w:rPr>
              <w:t>/6 RCTs inadequately blinded outcome assessments; 4/6 RCTs inadequately blinded participants and personnel. The proportion of information from studies at high risk of bias is sufficient to affect the interpretation of results.</w:t>
            </w:r>
          </w:p>
        </w:tc>
        <w:tc>
          <w:tcPr>
            <w:tcW w:w="2025" w:type="dxa"/>
          </w:tcPr>
          <w:p w14:paraId="4695D80D" w14:textId="77777777" w:rsidR="00457B4B" w:rsidRPr="00011FBF" w:rsidRDefault="00457B4B" w:rsidP="00D53146">
            <w:pPr>
              <w:rPr>
                <w:rFonts w:ascii="Arial" w:hAnsi="Arial" w:cs="Arial"/>
                <w:sz w:val="20"/>
                <w:szCs w:val="20"/>
              </w:rPr>
            </w:pPr>
            <w:r w:rsidRPr="00011FBF">
              <w:rPr>
                <w:rFonts w:ascii="Arial" w:hAnsi="Arial" w:cs="Arial"/>
                <w:sz w:val="20"/>
                <w:szCs w:val="20"/>
              </w:rPr>
              <w:t>Results were not consistent; may be an artifact of severity of disease in population under study.</w:t>
            </w:r>
          </w:p>
        </w:tc>
        <w:tc>
          <w:tcPr>
            <w:tcW w:w="1428" w:type="dxa"/>
          </w:tcPr>
          <w:p w14:paraId="7D8E508C" w14:textId="77777777" w:rsidR="00457B4B" w:rsidRPr="00011FBF" w:rsidRDefault="00457B4B" w:rsidP="00D53146">
            <w:pPr>
              <w:rPr>
                <w:rFonts w:ascii="Arial" w:hAnsi="Arial" w:cs="Arial"/>
                <w:sz w:val="20"/>
                <w:szCs w:val="20"/>
              </w:rPr>
            </w:pPr>
            <w:r w:rsidRPr="00011FBF">
              <w:rPr>
                <w:rFonts w:ascii="Arial" w:hAnsi="Arial" w:cs="Arial"/>
                <w:sz w:val="20"/>
                <w:szCs w:val="20"/>
              </w:rPr>
              <w:t>Not a surrogate outcome; prespecified secondary endpoint (2/3); all-cause (1/3); 30-day (1/3). Death is dichotomous; however, the assumption in 3/6 studies is that no one had died.</w:t>
            </w:r>
          </w:p>
        </w:tc>
        <w:tc>
          <w:tcPr>
            <w:tcW w:w="1962" w:type="dxa"/>
          </w:tcPr>
          <w:p w14:paraId="57B5054B" w14:textId="77777777" w:rsidR="00457B4B" w:rsidRPr="00011FBF" w:rsidRDefault="00457B4B" w:rsidP="00D53146">
            <w:pPr>
              <w:rPr>
                <w:rFonts w:ascii="Arial" w:hAnsi="Arial" w:cs="Arial"/>
                <w:sz w:val="20"/>
                <w:szCs w:val="20"/>
              </w:rPr>
            </w:pPr>
            <w:r w:rsidRPr="00011FBF">
              <w:rPr>
                <w:rFonts w:ascii="Arial" w:hAnsi="Arial" w:cs="Arial"/>
                <w:sz w:val="20"/>
                <w:szCs w:val="20"/>
              </w:rPr>
              <w:t>Insufficient number of events to make a conclusion. Not a primary outcome, so likely underpowered to observe the true effect.</w:t>
            </w:r>
          </w:p>
        </w:tc>
        <w:tc>
          <w:tcPr>
            <w:tcW w:w="1295" w:type="dxa"/>
          </w:tcPr>
          <w:p w14:paraId="5698E097"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Undetected</w:t>
            </w:r>
          </w:p>
        </w:tc>
        <w:tc>
          <w:tcPr>
            <w:tcW w:w="1639" w:type="dxa"/>
          </w:tcPr>
          <w:p w14:paraId="41ECF299" w14:textId="77777777" w:rsidR="00457B4B" w:rsidRPr="00011FBF" w:rsidRDefault="00457B4B" w:rsidP="00D53146">
            <w:pPr>
              <w:rPr>
                <w:rFonts w:ascii="Arial" w:hAnsi="Arial" w:cs="Arial"/>
                <w:sz w:val="20"/>
                <w:szCs w:val="20"/>
                <w:highlight w:val="yellow"/>
              </w:rPr>
            </w:pPr>
            <w:r w:rsidRPr="00C24559">
              <w:rPr>
                <w:rFonts w:ascii="Arial" w:hAnsi="Arial" w:cs="Arial"/>
                <w:b/>
                <w:sz w:val="20"/>
                <w:szCs w:val="20"/>
              </w:rPr>
              <w:t>N/A</w:t>
            </w:r>
          </w:p>
        </w:tc>
        <w:tc>
          <w:tcPr>
            <w:tcW w:w="1740" w:type="dxa"/>
          </w:tcPr>
          <w:p w14:paraId="3A23A715" w14:textId="77777777" w:rsidR="00457B4B" w:rsidRPr="00011FBF" w:rsidRDefault="00457B4B" w:rsidP="00D53146">
            <w:pPr>
              <w:rPr>
                <w:rFonts w:ascii="Arial" w:hAnsi="Arial" w:cs="Arial"/>
                <w:sz w:val="20"/>
                <w:szCs w:val="20"/>
              </w:rPr>
            </w:pPr>
            <w:r w:rsidRPr="00011FBF">
              <w:rPr>
                <w:rFonts w:ascii="Arial" w:hAnsi="Arial" w:cs="Arial"/>
                <w:sz w:val="20"/>
                <w:szCs w:val="20"/>
              </w:rPr>
              <w:t>We have very little confidence in the effect estimate; the true effect is likely to be substantially different from the estimate of the effect.</w:t>
            </w:r>
          </w:p>
        </w:tc>
      </w:tr>
      <w:tr w:rsidR="00457B4B" w:rsidRPr="00011FBF" w14:paraId="605CD6BA" w14:textId="77777777" w:rsidTr="7212EB0A">
        <w:trPr>
          <w:trHeight w:val="271"/>
        </w:trPr>
        <w:tc>
          <w:tcPr>
            <w:tcW w:w="13887" w:type="dxa"/>
            <w:gridSpan w:val="9"/>
          </w:tcPr>
          <w:p w14:paraId="5F7681C2" w14:textId="77777777" w:rsidR="00457B4B" w:rsidRPr="00011FBF" w:rsidRDefault="00457B4B" w:rsidP="00D53146">
            <w:pPr>
              <w:keepNext/>
              <w:rPr>
                <w:rFonts w:ascii="Arial" w:hAnsi="Arial" w:cs="Arial"/>
                <w:b/>
                <w:i/>
                <w:sz w:val="20"/>
                <w:szCs w:val="20"/>
              </w:rPr>
            </w:pPr>
            <w:r w:rsidRPr="00011FBF">
              <w:rPr>
                <w:rFonts w:ascii="Arial" w:hAnsi="Arial" w:cs="Arial"/>
                <w:b/>
                <w:i/>
                <w:sz w:val="20"/>
                <w:szCs w:val="20"/>
              </w:rPr>
              <w:lastRenderedPageBreak/>
              <w:t>Length of hospital stay</w:t>
            </w:r>
          </w:p>
        </w:tc>
      </w:tr>
      <w:tr w:rsidR="00457B4B" w:rsidRPr="00011FBF" w14:paraId="4DC907A9" w14:textId="77777777" w:rsidTr="7212EB0A">
        <w:trPr>
          <w:trHeight w:val="254"/>
        </w:trPr>
        <w:tc>
          <w:tcPr>
            <w:tcW w:w="1083" w:type="dxa"/>
            <w:shd w:val="clear" w:color="auto" w:fill="A6A6A6" w:themeFill="background1" w:themeFillShade="A6"/>
          </w:tcPr>
          <w:p w14:paraId="64A682F2" w14:textId="77777777" w:rsidR="00457B4B" w:rsidRPr="00011FBF" w:rsidRDefault="00457B4B" w:rsidP="00D53146">
            <w:pPr>
              <w:rPr>
                <w:rFonts w:ascii="Arial" w:hAnsi="Arial" w:cs="Arial"/>
                <w:sz w:val="20"/>
                <w:szCs w:val="20"/>
              </w:rPr>
            </w:pPr>
            <w:r w:rsidRPr="00011FBF">
              <w:rPr>
                <w:rFonts w:ascii="Arial" w:hAnsi="Arial" w:cs="Arial"/>
                <w:sz w:val="20"/>
                <w:szCs w:val="20"/>
              </w:rPr>
              <w:t>Rationale</w:t>
            </w:r>
          </w:p>
        </w:tc>
        <w:tc>
          <w:tcPr>
            <w:tcW w:w="1185" w:type="dxa"/>
          </w:tcPr>
          <w:p w14:paraId="62FA74E6"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6/6</w:t>
            </w:r>
          </w:p>
        </w:tc>
        <w:tc>
          <w:tcPr>
            <w:tcW w:w="1530" w:type="dxa"/>
          </w:tcPr>
          <w:p w14:paraId="3D63867A"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3/6 RCTs inadequately blinded outcome assessments; 4/6 RCTs inadequately blinded participants and personnel. The proportion of information from studies at high risk of bias is sufficient to affect the interpretation of results.</w:t>
            </w:r>
          </w:p>
        </w:tc>
        <w:tc>
          <w:tcPr>
            <w:tcW w:w="2025" w:type="dxa"/>
          </w:tcPr>
          <w:p w14:paraId="2E2AD7E1"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Both clinical and methodologic heterogeneity are high. Heterogeneity among healthcare systems may also have influenced this outcome. Inconsistent results.</w:t>
            </w:r>
          </w:p>
        </w:tc>
        <w:tc>
          <w:tcPr>
            <w:tcW w:w="1428" w:type="dxa"/>
          </w:tcPr>
          <w:p w14:paraId="3CA8993F" w14:textId="77777777" w:rsidR="00457B4B" w:rsidRPr="00011FBF" w:rsidRDefault="00457B4B" w:rsidP="00D53146">
            <w:pPr>
              <w:rPr>
                <w:rFonts w:ascii="Arial" w:hAnsi="Arial" w:cs="Arial"/>
                <w:sz w:val="20"/>
                <w:szCs w:val="20"/>
              </w:rPr>
            </w:pPr>
            <w:r w:rsidRPr="00011FBF">
              <w:rPr>
                <w:rFonts w:ascii="Arial" w:hAnsi="Arial" w:cs="Arial"/>
                <w:sz w:val="20"/>
                <w:szCs w:val="20"/>
              </w:rPr>
              <w:t>Not a surrogate outcome; prespecified secondary endpoint in 2/6 studies.</w:t>
            </w:r>
          </w:p>
        </w:tc>
        <w:tc>
          <w:tcPr>
            <w:tcW w:w="1962" w:type="dxa"/>
          </w:tcPr>
          <w:p w14:paraId="2B0BDCCE" w14:textId="77777777" w:rsidR="00457B4B" w:rsidRPr="00011FBF" w:rsidRDefault="00457B4B" w:rsidP="00D53146">
            <w:pPr>
              <w:rPr>
                <w:rFonts w:ascii="Arial" w:hAnsi="Arial" w:cs="Arial"/>
                <w:sz w:val="20"/>
                <w:szCs w:val="20"/>
              </w:rPr>
            </w:pPr>
            <w:r w:rsidRPr="00011FBF">
              <w:rPr>
                <w:rFonts w:ascii="Arial" w:hAnsi="Arial" w:cs="Arial"/>
                <w:sz w:val="20"/>
                <w:szCs w:val="20"/>
              </w:rPr>
              <w:t>Wide CIs present in most studies.</w:t>
            </w:r>
          </w:p>
        </w:tc>
        <w:tc>
          <w:tcPr>
            <w:tcW w:w="1295" w:type="dxa"/>
          </w:tcPr>
          <w:p w14:paraId="0122994A" w14:textId="77777777" w:rsidR="00457B4B" w:rsidRPr="00C24559" w:rsidRDefault="00457B4B" w:rsidP="00D53146">
            <w:pPr>
              <w:rPr>
                <w:rFonts w:ascii="Arial" w:hAnsi="Arial" w:cs="Arial"/>
                <w:sz w:val="20"/>
                <w:szCs w:val="20"/>
              </w:rPr>
            </w:pPr>
            <w:r w:rsidRPr="00C24559">
              <w:rPr>
                <w:rFonts w:ascii="Arial" w:hAnsi="Arial" w:cs="Arial"/>
                <w:sz w:val="20"/>
                <w:szCs w:val="20"/>
              </w:rPr>
              <w:t>Undetected</w:t>
            </w:r>
          </w:p>
        </w:tc>
        <w:tc>
          <w:tcPr>
            <w:tcW w:w="1639" w:type="dxa"/>
          </w:tcPr>
          <w:p w14:paraId="275F662E" w14:textId="77777777" w:rsidR="00457B4B" w:rsidRPr="00C24559" w:rsidRDefault="00457B4B" w:rsidP="00D53146">
            <w:pPr>
              <w:rPr>
                <w:rFonts w:ascii="Arial" w:hAnsi="Arial" w:cs="Arial"/>
                <w:sz w:val="20"/>
                <w:szCs w:val="20"/>
              </w:rPr>
            </w:pPr>
            <w:r w:rsidRPr="00C24559">
              <w:rPr>
                <w:rFonts w:ascii="Arial" w:hAnsi="Arial" w:cs="Arial"/>
                <w:b/>
                <w:sz w:val="20"/>
                <w:szCs w:val="20"/>
              </w:rPr>
              <w:t>N/A</w:t>
            </w:r>
          </w:p>
        </w:tc>
        <w:tc>
          <w:tcPr>
            <w:tcW w:w="1740" w:type="dxa"/>
          </w:tcPr>
          <w:p w14:paraId="11DFB254"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We have very little confidence in the effect estimate; the true effect is likely to be substantially different from the estimate of the effect.</w:t>
            </w:r>
          </w:p>
        </w:tc>
      </w:tr>
      <w:tr w:rsidR="00457B4B" w:rsidRPr="00011FBF" w14:paraId="587439A4" w14:textId="77777777" w:rsidTr="7212EB0A">
        <w:trPr>
          <w:trHeight w:val="254"/>
        </w:trPr>
        <w:tc>
          <w:tcPr>
            <w:tcW w:w="13887" w:type="dxa"/>
            <w:gridSpan w:val="9"/>
          </w:tcPr>
          <w:p w14:paraId="3437B700" w14:textId="77777777" w:rsidR="00457B4B" w:rsidRPr="00011FBF" w:rsidRDefault="00457B4B" w:rsidP="00D53146">
            <w:pPr>
              <w:rPr>
                <w:rFonts w:ascii="Arial" w:hAnsi="Arial" w:cs="Arial"/>
                <w:b/>
                <w:i/>
                <w:sz w:val="20"/>
                <w:szCs w:val="20"/>
              </w:rPr>
            </w:pPr>
            <w:r w:rsidRPr="00011FBF">
              <w:rPr>
                <w:rFonts w:ascii="Arial" w:hAnsi="Arial" w:cs="Arial"/>
                <w:b/>
                <w:i/>
                <w:sz w:val="20"/>
                <w:szCs w:val="20"/>
              </w:rPr>
              <w:t>Any validated measure of quality of life</w:t>
            </w:r>
          </w:p>
        </w:tc>
      </w:tr>
      <w:tr w:rsidR="00457B4B" w:rsidRPr="00011FBF" w14:paraId="287E07E1" w14:textId="77777777" w:rsidTr="7212EB0A">
        <w:trPr>
          <w:trHeight w:val="271"/>
        </w:trPr>
        <w:tc>
          <w:tcPr>
            <w:tcW w:w="1083" w:type="dxa"/>
            <w:shd w:val="clear" w:color="auto" w:fill="A6A6A6" w:themeFill="background1" w:themeFillShade="A6"/>
          </w:tcPr>
          <w:p w14:paraId="7DD41CB8" w14:textId="77777777" w:rsidR="00457B4B" w:rsidRPr="00011FBF" w:rsidRDefault="00457B4B" w:rsidP="00D53146">
            <w:pPr>
              <w:rPr>
                <w:rFonts w:ascii="Arial" w:hAnsi="Arial" w:cs="Arial"/>
                <w:sz w:val="20"/>
                <w:szCs w:val="20"/>
              </w:rPr>
            </w:pPr>
            <w:r w:rsidRPr="00011FBF">
              <w:rPr>
                <w:rFonts w:ascii="Arial" w:hAnsi="Arial" w:cs="Arial"/>
                <w:sz w:val="20"/>
                <w:szCs w:val="20"/>
              </w:rPr>
              <w:t>Rationale</w:t>
            </w:r>
          </w:p>
        </w:tc>
        <w:tc>
          <w:tcPr>
            <w:tcW w:w="1185" w:type="dxa"/>
          </w:tcPr>
          <w:p w14:paraId="4D5EBE5F"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5/6</w:t>
            </w:r>
          </w:p>
        </w:tc>
        <w:tc>
          <w:tcPr>
            <w:tcW w:w="1534" w:type="dxa"/>
          </w:tcPr>
          <w:p w14:paraId="46BA2258" w14:textId="77777777" w:rsidR="00457B4B" w:rsidRPr="00011FBF" w:rsidRDefault="00457B4B" w:rsidP="00D53146">
            <w:pPr>
              <w:rPr>
                <w:rFonts w:ascii="Arial" w:hAnsi="Arial" w:cs="Arial"/>
                <w:sz w:val="20"/>
                <w:szCs w:val="20"/>
                <w:highlight w:val="yellow"/>
              </w:rPr>
            </w:pPr>
            <w:r w:rsidRPr="00011FBF" w:rsidDel="001132A4">
              <w:rPr>
                <w:rFonts w:ascii="Arial" w:hAnsi="Arial" w:cs="Arial"/>
                <w:sz w:val="20"/>
                <w:szCs w:val="20"/>
              </w:rPr>
              <w:t>3</w:t>
            </w:r>
            <w:r w:rsidRPr="00011FBF">
              <w:rPr>
                <w:rFonts w:ascii="Arial" w:hAnsi="Arial" w:cs="Arial"/>
                <w:sz w:val="20"/>
                <w:szCs w:val="20"/>
              </w:rPr>
              <w:t xml:space="preserve">/6 RCTs inadequately blinded outcome assessments; 4/6 RCTs inadequately blinded participants and personnel. The proportion of information from studies at high risk of bias is sufficient to </w:t>
            </w:r>
            <w:r w:rsidRPr="00011FBF">
              <w:rPr>
                <w:rFonts w:ascii="Arial" w:hAnsi="Arial" w:cs="Arial"/>
                <w:sz w:val="20"/>
                <w:szCs w:val="20"/>
              </w:rPr>
              <w:lastRenderedPageBreak/>
              <w:t>affect the interpretation of results.</w:t>
            </w:r>
          </w:p>
        </w:tc>
        <w:tc>
          <w:tcPr>
            <w:tcW w:w="2021" w:type="dxa"/>
          </w:tcPr>
          <w:p w14:paraId="6DC47005"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lastRenderedPageBreak/>
              <w:t>Both clinical and methodologic heterogeneity are high. Results reported inconsistently owing to different instruments. No difference of effect is consistent.</w:t>
            </w:r>
          </w:p>
        </w:tc>
        <w:tc>
          <w:tcPr>
            <w:tcW w:w="1428" w:type="dxa"/>
          </w:tcPr>
          <w:p w14:paraId="240A58CB" w14:textId="77777777" w:rsidR="00457B4B" w:rsidRPr="00011FBF" w:rsidRDefault="00457B4B" w:rsidP="00D53146">
            <w:pPr>
              <w:rPr>
                <w:rFonts w:ascii="Arial" w:hAnsi="Arial" w:cs="Arial"/>
                <w:sz w:val="20"/>
                <w:szCs w:val="20"/>
              </w:rPr>
            </w:pPr>
            <w:r w:rsidRPr="00011FBF">
              <w:rPr>
                <w:rFonts w:ascii="Arial" w:hAnsi="Arial" w:cs="Arial"/>
                <w:sz w:val="20"/>
                <w:szCs w:val="20"/>
              </w:rPr>
              <w:t>Surrogate marker; outcome not assessed similarly within and among studies, yielding very indirect comparisons.</w:t>
            </w:r>
          </w:p>
        </w:tc>
        <w:tc>
          <w:tcPr>
            <w:tcW w:w="1962" w:type="dxa"/>
          </w:tcPr>
          <w:p w14:paraId="3BFD29A8" w14:textId="77777777" w:rsidR="00457B4B" w:rsidRPr="00011FBF" w:rsidRDefault="00457B4B" w:rsidP="00D53146">
            <w:pPr>
              <w:rPr>
                <w:rFonts w:ascii="Arial" w:hAnsi="Arial" w:cs="Arial"/>
                <w:sz w:val="20"/>
                <w:szCs w:val="20"/>
              </w:rPr>
            </w:pPr>
            <w:r w:rsidRPr="00011FBF">
              <w:rPr>
                <w:rFonts w:ascii="Arial" w:hAnsi="Arial" w:cs="Arial"/>
                <w:sz w:val="20"/>
                <w:szCs w:val="20"/>
              </w:rPr>
              <w:t>Wide CIs present in most studies. Extreme imprecision present. Concentrated on certain subscores in some studies.</w:t>
            </w:r>
          </w:p>
        </w:tc>
        <w:tc>
          <w:tcPr>
            <w:tcW w:w="1295" w:type="dxa"/>
          </w:tcPr>
          <w:p w14:paraId="7A33D790" w14:textId="77777777" w:rsidR="00457B4B" w:rsidRPr="00011FBF" w:rsidRDefault="00457B4B" w:rsidP="00D53146">
            <w:pPr>
              <w:rPr>
                <w:rFonts w:ascii="Arial" w:hAnsi="Arial" w:cs="Arial"/>
                <w:sz w:val="20"/>
                <w:szCs w:val="20"/>
              </w:rPr>
            </w:pPr>
            <w:r w:rsidRPr="00011FBF">
              <w:rPr>
                <w:rFonts w:ascii="Arial" w:hAnsi="Arial" w:cs="Arial"/>
                <w:sz w:val="20"/>
                <w:szCs w:val="20"/>
              </w:rPr>
              <w:t>Undetected.</w:t>
            </w:r>
          </w:p>
        </w:tc>
        <w:tc>
          <w:tcPr>
            <w:tcW w:w="1639" w:type="dxa"/>
          </w:tcPr>
          <w:p w14:paraId="31E19EBB" w14:textId="77777777" w:rsidR="00457B4B" w:rsidRPr="00011FBF" w:rsidRDefault="00457B4B" w:rsidP="00D53146">
            <w:pPr>
              <w:rPr>
                <w:rFonts w:ascii="Arial" w:hAnsi="Arial" w:cs="Arial"/>
                <w:sz w:val="20"/>
                <w:szCs w:val="20"/>
              </w:rPr>
            </w:pPr>
            <w:r w:rsidRPr="00011FBF">
              <w:rPr>
                <w:rFonts w:ascii="Arial" w:hAnsi="Arial" w:cs="Arial"/>
                <w:sz w:val="20"/>
                <w:szCs w:val="20"/>
              </w:rPr>
              <w:t>Selective reporting was present for this outcome in a few studies.</w:t>
            </w:r>
          </w:p>
        </w:tc>
        <w:tc>
          <w:tcPr>
            <w:tcW w:w="1740" w:type="dxa"/>
          </w:tcPr>
          <w:p w14:paraId="379349AB" w14:textId="77777777" w:rsidR="00457B4B" w:rsidRPr="00011FBF" w:rsidRDefault="00457B4B" w:rsidP="00D53146">
            <w:pPr>
              <w:rPr>
                <w:rFonts w:ascii="Arial" w:hAnsi="Arial" w:cs="Arial"/>
                <w:sz w:val="20"/>
                <w:szCs w:val="20"/>
                <w:highlight w:val="yellow"/>
              </w:rPr>
            </w:pPr>
            <w:r w:rsidRPr="00011FBF">
              <w:rPr>
                <w:rFonts w:ascii="Arial" w:hAnsi="Arial" w:cs="Arial"/>
                <w:sz w:val="20"/>
                <w:szCs w:val="20"/>
              </w:rPr>
              <w:t>We have very little confidence in the effect estimate; the true effect is likely to be substantially different from the estimate of the effect.</w:t>
            </w:r>
          </w:p>
        </w:tc>
      </w:tr>
    </w:tbl>
    <w:p w14:paraId="060105A7" w14:textId="77777777" w:rsidR="00457B4B" w:rsidRPr="00011FBF" w:rsidRDefault="00457B4B" w:rsidP="00FD6B21">
      <w:pPr>
        <w:rPr>
          <w:rFonts w:ascii="Arial" w:eastAsiaTheme="majorEastAsia" w:hAnsi="Arial" w:cs="Arial"/>
          <w:color w:val="000000" w:themeColor="text1"/>
          <w:sz w:val="20"/>
          <w:szCs w:val="20"/>
        </w:rPr>
      </w:pPr>
      <w:r w:rsidRPr="00011FBF">
        <w:rPr>
          <w:rFonts w:ascii="Arial" w:eastAsiaTheme="majorEastAsia" w:hAnsi="Arial" w:cs="Arial"/>
          <w:color w:val="000000" w:themeColor="text1"/>
          <w:sz w:val="20"/>
          <w:szCs w:val="20"/>
        </w:rPr>
        <w:t>AE=adverse event; CI=confidence interval; IQR=interquartile range; RCT=randomized clinical trial; SAE=serious adverse event; TSAT=transferrin saturation.</w:t>
      </w:r>
    </w:p>
    <w:p w14:paraId="70429302" w14:textId="77777777" w:rsidR="00457B4B" w:rsidRDefault="00457B4B" w:rsidP="00D53146">
      <w:pPr>
        <w:pStyle w:val="Heading4"/>
        <w:keepNext w:val="0"/>
        <w:keepLines w:val="0"/>
        <w:rPr>
          <w:rStyle w:val="Heading3Char"/>
          <w:rFonts w:ascii="Arial" w:hAnsi="Arial" w:cs="Arial"/>
          <w:b/>
          <w:i w:val="0"/>
          <w:color w:val="000000" w:themeColor="text1"/>
        </w:rPr>
      </w:pPr>
    </w:p>
    <w:p w14:paraId="450EAE89" w14:textId="77777777" w:rsidR="00457B4B" w:rsidRPr="00D53146" w:rsidRDefault="00457B4B" w:rsidP="00D53146">
      <w:pPr>
        <w:sectPr w:rsidR="00457B4B" w:rsidRPr="00D53146" w:rsidSect="00D53146">
          <w:pgSz w:w="15840" w:h="12240" w:orient="landscape"/>
          <w:pgMar w:top="1440" w:right="1440" w:bottom="1440" w:left="1440" w:header="720" w:footer="720" w:gutter="0"/>
          <w:cols w:space="720"/>
          <w:docGrid w:linePitch="360"/>
        </w:sectPr>
      </w:pPr>
    </w:p>
    <w:p w14:paraId="5F4A8C85" w14:textId="77777777" w:rsidR="00457B4B" w:rsidRPr="009500D8" w:rsidRDefault="00457B4B" w:rsidP="146F07C5">
      <w:pPr>
        <w:pStyle w:val="Heading4"/>
        <w:spacing w:line="276" w:lineRule="auto"/>
        <w:rPr>
          <w:rStyle w:val="Heading3Char"/>
          <w:rFonts w:ascii="Arial" w:hAnsi="Arial" w:cs="Arial"/>
          <w:b/>
          <w:bCs/>
          <w:i w:val="0"/>
          <w:iCs w:val="0"/>
          <w:color w:val="000000" w:themeColor="text1"/>
        </w:rPr>
      </w:pPr>
      <w:r w:rsidRPr="146F07C5">
        <w:rPr>
          <w:rStyle w:val="Heading3Char"/>
          <w:rFonts w:ascii="Arial" w:hAnsi="Arial" w:cs="Arial"/>
          <w:b/>
          <w:bCs/>
          <w:i w:val="0"/>
          <w:iCs w:val="0"/>
          <w:color w:val="000000" w:themeColor="text1"/>
        </w:rPr>
        <w:lastRenderedPageBreak/>
        <w:t>Appendix 3: Adjudicated Risk of Bias Assessments Support for Rationale</w:t>
      </w:r>
    </w:p>
    <w:p w14:paraId="294EE590" w14:textId="76C3248C" w:rsidR="3C2ECE16" w:rsidRDefault="3C2ECE16" w:rsidP="146F07C5">
      <w:pPr>
        <w:rPr>
          <w:rFonts w:ascii="Calibri" w:eastAsia="Calibri" w:hAnsi="Calibri" w:cs="Calibri"/>
        </w:rPr>
      </w:pPr>
    </w:p>
    <w:tbl>
      <w:tblPr>
        <w:tblW w:w="0" w:type="auto"/>
        <w:tblLayout w:type="fixed"/>
        <w:tblLook w:val="04A0" w:firstRow="1" w:lastRow="0" w:firstColumn="1" w:lastColumn="0" w:noHBand="0" w:noVBand="1"/>
      </w:tblPr>
      <w:tblGrid>
        <w:gridCol w:w="1455"/>
        <w:gridCol w:w="1410"/>
        <w:gridCol w:w="6450"/>
      </w:tblGrid>
      <w:tr w:rsidR="146F07C5" w14:paraId="3BA60430" w14:textId="77777777" w:rsidTr="146F07C5">
        <w:tc>
          <w:tcPr>
            <w:tcW w:w="9315" w:type="dxa"/>
            <w:gridSpan w:val="3"/>
            <w:tcBorders>
              <w:top w:val="outset" w:sz="18" w:space="0" w:color="auto"/>
              <w:left w:val="outset" w:sz="18" w:space="0" w:color="auto"/>
              <w:bottom w:val="outset" w:sz="18" w:space="0" w:color="auto"/>
              <w:right w:val="outset" w:sz="18" w:space="0" w:color="auto"/>
            </w:tcBorders>
            <w:shd w:val="clear" w:color="auto" w:fill="D9D9D9" w:themeFill="background1" w:themeFillShade="D9"/>
          </w:tcPr>
          <w:p w14:paraId="39A73D58" w14:textId="3134D6F3" w:rsidR="146F07C5" w:rsidRDefault="146F07C5" w:rsidP="146F07C5">
            <w:pPr>
              <w:rPr>
                <w:rFonts w:ascii="Calibri" w:eastAsia="Calibri" w:hAnsi="Calibri" w:cs="Calibri"/>
              </w:rPr>
            </w:pPr>
            <w:r w:rsidRPr="146F07C5">
              <w:rPr>
                <w:rFonts w:ascii="Calibri" w:eastAsia="Calibri" w:hAnsi="Calibri" w:cs="Calibri"/>
              </w:rPr>
              <w:t>Bernabeu-Wittel M, Romero M, Ollero-Baturone M, et al. Ferric carboxymaltose with or without erythropoietin in anemic patients with hip fracture: a randomized clinical trial. Transfusion (Paris). 2016;56(9):2199-2211</w:t>
            </w:r>
            <w:r w:rsidRPr="146F07C5">
              <w:rPr>
                <w:rFonts w:ascii="Calibri" w:eastAsia="Calibri" w:hAnsi="Calibri" w:cs="Calibri"/>
                <w:color w:val="D13438"/>
              </w:rPr>
              <w:t>.</w:t>
            </w:r>
            <w:r w:rsidRPr="146F07C5">
              <w:rPr>
                <w:rFonts w:ascii="Calibri" w:eastAsia="Calibri" w:hAnsi="Calibri" w:cs="Calibri"/>
                <w:vertAlign w:val="superscript"/>
              </w:rPr>
              <w:t>1</w:t>
            </w:r>
            <w:r w:rsidRPr="146F07C5">
              <w:rPr>
                <w:rFonts w:ascii="Calibri" w:eastAsia="Calibri" w:hAnsi="Calibri" w:cs="Calibri"/>
              </w:rPr>
              <w:t> </w:t>
            </w:r>
          </w:p>
        </w:tc>
      </w:tr>
      <w:tr w:rsidR="146F07C5" w14:paraId="2F5A03CD" w14:textId="77777777" w:rsidTr="146F07C5">
        <w:trPr>
          <w:trHeight w:val="525"/>
        </w:trPr>
        <w:tc>
          <w:tcPr>
            <w:tcW w:w="1455" w:type="dxa"/>
            <w:tcBorders>
              <w:top w:val="outset" w:sz="18" w:space="0" w:color="auto"/>
              <w:left w:val="single" w:sz="6" w:space="0" w:color="auto"/>
              <w:bottom w:val="single" w:sz="6" w:space="0" w:color="auto"/>
              <w:right w:val="single" w:sz="6" w:space="0" w:color="auto"/>
            </w:tcBorders>
            <w:vAlign w:val="bottom"/>
          </w:tcPr>
          <w:p w14:paraId="670DB109" w14:textId="7EFCD65F" w:rsidR="146F07C5" w:rsidRDefault="146F07C5" w:rsidP="146F07C5">
            <w:pPr>
              <w:rPr>
                <w:rFonts w:ascii="Calibri" w:eastAsia="Calibri" w:hAnsi="Calibri" w:cs="Calibri"/>
              </w:rPr>
            </w:pPr>
            <w:r w:rsidRPr="146F07C5">
              <w:rPr>
                <w:rFonts w:ascii="Calibri" w:eastAsia="Calibri" w:hAnsi="Calibri" w:cs="Calibri"/>
              </w:rPr>
              <w:t>Bias </w:t>
            </w:r>
          </w:p>
        </w:tc>
        <w:tc>
          <w:tcPr>
            <w:tcW w:w="1410" w:type="dxa"/>
            <w:tcBorders>
              <w:top w:val="nil"/>
              <w:left w:val="single" w:sz="6" w:space="0" w:color="auto"/>
              <w:bottom w:val="single" w:sz="6" w:space="0" w:color="auto"/>
              <w:right w:val="single" w:sz="6" w:space="0" w:color="auto"/>
            </w:tcBorders>
            <w:vAlign w:val="bottom"/>
          </w:tcPr>
          <w:p w14:paraId="10865B42" w14:textId="52A6B162" w:rsidR="146F07C5" w:rsidRDefault="146F07C5" w:rsidP="146F07C5">
            <w:pPr>
              <w:rPr>
                <w:rFonts w:ascii="Calibri" w:eastAsia="Calibri" w:hAnsi="Calibri" w:cs="Calibri"/>
              </w:rPr>
            </w:pPr>
            <w:r w:rsidRPr="146F07C5">
              <w:rPr>
                <w:rFonts w:ascii="Calibri" w:eastAsia="Calibri" w:hAnsi="Calibri" w:cs="Calibri"/>
              </w:rPr>
              <w:t>Authors’ judgment (low, unclear, high) </w:t>
            </w:r>
          </w:p>
        </w:tc>
        <w:tc>
          <w:tcPr>
            <w:tcW w:w="6450" w:type="dxa"/>
            <w:tcBorders>
              <w:top w:val="nil"/>
              <w:left w:val="single" w:sz="6" w:space="0" w:color="auto"/>
              <w:bottom w:val="single" w:sz="6" w:space="0" w:color="auto"/>
              <w:right w:val="single" w:sz="6" w:space="0" w:color="auto"/>
            </w:tcBorders>
            <w:vAlign w:val="bottom"/>
          </w:tcPr>
          <w:p w14:paraId="0D0DF876" w14:textId="53328666" w:rsidR="146F07C5" w:rsidRDefault="146F07C5" w:rsidP="146F07C5">
            <w:pPr>
              <w:rPr>
                <w:rFonts w:ascii="Calibri" w:eastAsia="Calibri" w:hAnsi="Calibri" w:cs="Calibri"/>
              </w:rPr>
            </w:pPr>
            <w:r w:rsidRPr="146F07C5">
              <w:rPr>
                <w:rFonts w:ascii="Calibri" w:eastAsia="Calibri" w:hAnsi="Calibri" w:cs="Calibri"/>
              </w:rPr>
              <w:t>Support for judgment </w:t>
            </w:r>
          </w:p>
        </w:tc>
      </w:tr>
      <w:tr w:rsidR="146F07C5" w14:paraId="2F0A166F" w14:textId="77777777" w:rsidTr="146F07C5">
        <w:tc>
          <w:tcPr>
            <w:tcW w:w="1455" w:type="dxa"/>
            <w:tcBorders>
              <w:top w:val="single" w:sz="6" w:space="0" w:color="auto"/>
              <w:left w:val="single" w:sz="6" w:space="0" w:color="auto"/>
              <w:bottom w:val="single" w:sz="6" w:space="0" w:color="auto"/>
              <w:right w:val="single" w:sz="6" w:space="0" w:color="auto"/>
            </w:tcBorders>
          </w:tcPr>
          <w:p w14:paraId="4D2C52FC" w14:textId="0CDE6A46" w:rsidR="146F07C5" w:rsidRDefault="146F07C5" w:rsidP="146F07C5">
            <w:pPr>
              <w:rPr>
                <w:rFonts w:ascii="Calibri" w:eastAsia="Calibri" w:hAnsi="Calibri" w:cs="Calibri"/>
              </w:rPr>
            </w:pPr>
            <w:r w:rsidRPr="146F07C5">
              <w:rPr>
                <w:rFonts w:ascii="Calibri" w:eastAsia="Calibri" w:hAnsi="Calibri" w:cs="Calibri"/>
              </w:rPr>
              <w:t>Random sequence generation (selection bias) </w:t>
            </w:r>
          </w:p>
        </w:tc>
        <w:tc>
          <w:tcPr>
            <w:tcW w:w="1410" w:type="dxa"/>
            <w:tcBorders>
              <w:top w:val="single" w:sz="6" w:space="0" w:color="auto"/>
              <w:left w:val="single" w:sz="6" w:space="0" w:color="auto"/>
              <w:bottom w:val="single" w:sz="6" w:space="0" w:color="auto"/>
              <w:right w:val="single" w:sz="6" w:space="0" w:color="auto"/>
            </w:tcBorders>
          </w:tcPr>
          <w:p w14:paraId="747464A5" w14:textId="4D52603D" w:rsidR="146F07C5" w:rsidRDefault="146F07C5" w:rsidP="146F07C5">
            <w:pPr>
              <w:rPr>
                <w:rFonts w:ascii="Calibri" w:eastAsia="Calibri" w:hAnsi="Calibri" w:cs="Calibri"/>
              </w:rPr>
            </w:pPr>
            <w:r w:rsidRPr="146F07C5">
              <w:rPr>
                <w:rFonts w:ascii="Calibri" w:eastAsia="Calibri" w:hAnsi="Calibri" w:cs="Calibri"/>
              </w:rPr>
              <w:t>Low </w:t>
            </w:r>
          </w:p>
        </w:tc>
        <w:tc>
          <w:tcPr>
            <w:tcW w:w="6450" w:type="dxa"/>
            <w:tcBorders>
              <w:top w:val="single" w:sz="6" w:space="0" w:color="auto"/>
              <w:left w:val="single" w:sz="6" w:space="0" w:color="auto"/>
              <w:bottom w:val="single" w:sz="6" w:space="0" w:color="auto"/>
              <w:right w:val="single" w:sz="6" w:space="0" w:color="auto"/>
            </w:tcBorders>
          </w:tcPr>
          <w:p w14:paraId="49722A7C" w14:textId="27D906A5" w:rsidR="146F07C5" w:rsidRDefault="146F07C5" w:rsidP="146F07C5">
            <w:pPr>
              <w:rPr>
                <w:rFonts w:ascii="Calibri" w:eastAsia="Calibri" w:hAnsi="Calibri" w:cs="Calibri"/>
              </w:rPr>
            </w:pPr>
            <w:r w:rsidRPr="146F07C5">
              <w:rPr>
                <w:rFonts w:ascii="Calibri" w:eastAsia="Calibri" w:hAnsi="Calibri" w:cs="Calibri"/>
              </w:rPr>
              <w:t>“A randomization assignment list will be stratified by center. The randomization list for each center will be sent to the hospital Pharmacy Service at the time of the drug delivery.” (Details of the study methods published in Bernabeu-Wittel 2012)2  </w:t>
            </w:r>
          </w:p>
          <w:p w14:paraId="2F4B7EAC" w14:textId="56E3D13A" w:rsidR="146F07C5" w:rsidRDefault="146F07C5" w:rsidP="146F07C5">
            <w:pPr>
              <w:rPr>
                <w:rFonts w:ascii="Calibri" w:eastAsia="Calibri" w:hAnsi="Calibri" w:cs="Calibri"/>
              </w:rPr>
            </w:pPr>
            <w:r w:rsidRPr="146F07C5">
              <w:rPr>
                <w:rFonts w:ascii="Calibri" w:eastAsia="Calibri" w:hAnsi="Calibri" w:cs="Calibri"/>
              </w:rPr>
              <w:t> </w:t>
            </w:r>
          </w:p>
          <w:p w14:paraId="1F780775" w14:textId="36561A24" w:rsidR="146F07C5" w:rsidRDefault="146F07C5" w:rsidP="146F07C5">
            <w:pPr>
              <w:rPr>
                <w:rFonts w:ascii="Calibri" w:eastAsia="Calibri" w:hAnsi="Calibri" w:cs="Calibri"/>
              </w:rPr>
            </w:pPr>
            <w:r w:rsidRPr="146F07C5">
              <w:rPr>
                <w:rFonts w:ascii="Calibri" w:eastAsia="Calibri" w:hAnsi="Calibri" w:cs="Calibri"/>
              </w:rPr>
              <w:t>“The randomization assignment list was stratified by centers and performed by unequal blocks technique.” </w:t>
            </w:r>
          </w:p>
        </w:tc>
      </w:tr>
      <w:tr w:rsidR="146F07C5" w14:paraId="26DA5397" w14:textId="77777777" w:rsidTr="146F07C5">
        <w:tc>
          <w:tcPr>
            <w:tcW w:w="1455" w:type="dxa"/>
            <w:tcBorders>
              <w:top w:val="single" w:sz="6" w:space="0" w:color="auto"/>
              <w:left w:val="single" w:sz="6" w:space="0" w:color="auto"/>
              <w:bottom w:val="single" w:sz="6" w:space="0" w:color="auto"/>
              <w:right w:val="single" w:sz="6" w:space="0" w:color="auto"/>
            </w:tcBorders>
          </w:tcPr>
          <w:p w14:paraId="6E857F64" w14:textId="11A851F3" w:rsidR="146F07C5" w:rsidRDefault="146F07C5" w:rsidP="146F07C5">
            <w:pPr>
              <w:rPr>
                <w:rFonts w:ascii="Calibri" w:eastAsia="Calibri" w:hAnsi="Calibri" w:cs="Calibri"/>
              </w:rPr>
            </w:pPr>
            <w:r w:rsidRPr="146F07C5">
              <w:rPr>
                <w:rFonts w:ascii="Calibri" w:eastAsia="Calibri" w:hAnsi="Calibri" w:cs="Calibri"/>
              </w:rPr>
              <w:t>Allocation concealment (selection bias) </w:t>
            </w:r>
          </w:p>
        </w:tc>
        <w:tc>
          <w:tcPr>
            <w:tcW w:w="1410" w:type="dxa"/>
            <w:tcBorders>
              <w:top w:val="single" w:sz="6" w:space="0" w:color="auto"/>
              <w:left w:val="single" w:sz="6" w:space="0" w:color="auto"/>
              <w:bottom w:val="single" w:sz="6" w:space="0" w:color="auto"/>
              <w:right w:val="single" w:sz="6" w:space="0" w:color="auto"/>
            </w:tcBorders>
          </w:tcPr>
          <w:p w14:paraId="40433E93" w14:textId="6ABEFE5C" w:rsidR="146F07C5" w:rsidRDefault="146F07C5" w:rsidP="146F07C5">
            <w:pPr>
              <w:rPr>
                <w:rFonts w:ascii="Calibri" w:eastAsia="Calibri" w:hAnsi="Calibri" w:cs="Calibri"/>
              </w:rPr>
            </w:pPr>
            <w:r w:rsidRPr="146F07C5">
              <w:rPr>
                <w:rFonts w:ascii="Calibri" w:eastAsia="Calibri" w:hAnsi="Calibri" w:cs="Calibri"/>
              </w:rPr>
              <w:t>Low </w:t>
            </w:r>
          </w:p>
        </w:tc>
        <w:tc>
          <w:tcPr>
            <w:tcW w:w="6450" w:type="dxa"/>
            <w:tcBorders>
              <w:top w:val="single" w:sz="6" w:space="0" w:color="auto"/>
              <w:left w:val="single" w:sz="6" w:space="0" w:color="auto"/>
              <w:bottom w:val="single" w:sz="6" w:space="0" w:color="auto"/>
              <w:right w:val="single" w:sz="6" w:space="0" w:color="auto"/>
            </w:tcBorders>
          </w:tcPr>
          <w:p w14:paraId="46685E04" w14:textId="00CE7DEC" w:rsidR="146F07C5" w:rsidRDefault="146F07C5" w:rsidP="146F07C5">
            <w:pPr>
              <w:rPr>
                <w:rFonts w:ascii="Calibri" w:eastAsia="Calibri" w:hAnsi="Calibri" w:cs="Calibri"/>
              </w:rPr>
            </w:pPr>
            <w:r w:rsidRPr="146F07C5">
              <w:rPr>
                <w:rFonts w:ascii="Calibri" w:eastAsia="Calibri" w:hAnsi="Calibri" w:cs="Calibri"/>
              </w:rPr>
              <w:t>“The person responsible for clinical trials in the Pharmacy Service will be the one responsible for keeping the blinded assignment. The allocation and blinding will be done by masking the syringes of EPO/placebo and iron infusion in the Pharmacy Service of each of the participating centers. The highest quality standards for handling parenteral medications will be kept for the preparation of intravenous mixtures. FC will be performed using plastic bags and opaque infusion sets.” (Details of the study methods published in Bernabeu-Wittel 2012)2 </w:t>
            </w:r>
          </w:p>
          <w:p w14:paraId="0EF69127" w14:textId="1B3166A5" w:rsidR="146F07C5" w:rsidRDefault="146F07C5" w:rsidP="146F07C5">
            <w:pPr>
              <w:rPr>
                <w:rFonts w:ascii="Calibri" w:eastAsia="Calibri" w:hAnsi="Calibri" w:cs="Calibri"/>
              </w:rPr>
            </w:pPr>
            <w:r w:rsidRPr="146F07C5">
              <w:rPr>
                <w:rFonts w:ascii="Calibri" w:eastAsia="Calibri" w:hAnsi="Calibri" w:cs="Calibri"/>
              </w:rPr>
              <w:t> </w:t>
            </w:r>
          </w:p>
        </w:tc>
      </w:tr>
      <w:tr w:rsidR="146F07C5" w14:paraId="69C18EDB" w14:textId="77777777" w:rsidTr="146F07C5">
        <w:tc>
          <w:tcPr>
            <w:tcW w:w="1455" w:type="dxa"/>
            <w:tcBorders>
              <w:top w:val="single" w:sz="6" w:space="0" w:color="auto"/>
              <w:left w:val="single" w:sz="6" w:space="0" w:color="auto"/>
              <w:bottom w:val="single" w:sz="6" w:space="0" w:color="auto"/>
              <w:right w:val="single" w:sz="6" w:space="0" w:color="auto"/>
            </w:tcBorders>
          </w:tcPr>
          <w:p w14:paraId="2F6DE74E" w14:textId="09F36C47" w:rsidR="146F07C5" w:rsidRDefault="146F07C5" w:rsidP="146F07C5">
            <w:pPr>
              <w:rPr>
                <w:rFonts w:ascii="Calibri" w:eastAsia="Calibri" w:hAnsi="Calibri" w:cs="Calibri"/>
              </w:rPr>
            </w:pPr>
            <w:r w:rsidRPr="146F07C5">
              <w:rPr>
                <w:rFonts w:ascii="Calibri" w:eastAsia="Calibri" w:hAnsi="Calibri" w:cs="Calibri"/>
              </w:rPr>
              <w:t>Blinding of participants and personnel (performance bias) </w:t>
            </w:r>
          </w:p>
        </w:tc>
        <w:tc>
          <w:tcPr>
            <w:tcW w:w="1410" w:type="dxa"/>
            <w:tcBorders>
              <w:top w:val="single" w:sz="6" w:space="0" w:color="auto"/>
              <w:left w:val="single" w:sz="6" w:space="0" w:color="auto"/>
              <w:bottom w:val="single" w:sz="6" w:space="0" w:color="auto"/>
              <w:right w:val="single" w:sz="6" w:space="0" w:color="auto"/>
            </w:tcBorders>
          </w:tcPr>
          <w:p w14:paraId="66B19A31" w14:textId="1492040F" w:rsidR="146F07C5" w:rsidRDefault="146F07C5" w:rsidP="146F07C5">
            <w:pPr>
              <w:rPr>
                <w:rFonts w:ascii="Calibri" w:eastAsia="Calibri" w:hAnsi="Calibri" w:cs="Calibri"/>
              </w:rPr>
            </w:pPr>
            <w:r w:rsidRPr="146F07C5">
              <w:rPr>
                <w:rFonts w:ascii="Calibri" w:eastAsia="Calibri" w:hAnsi="Calibri" w:cs="Calibri"/>
              </w:rPr>
              <w:t>Low </w:t>
            </w:r>
          </w:p>
        </w:tc>
        <w:tc>
          <w:tcPr>
            <w:tcW w:w="6450" w:type="dxa"/>
            <w:tcBorders>
              <w:top w:val="single" w:sz="6" w:space="0" w:color="auto"/>
              <w:left w:val="single" w:sz="6" w:space="0" w:color="auto"/>
              <w:bottom w:val="single" w:sz="6" w:space="0" w:color="auto"/>
              <w:right w:val="single" w:sz="6" w:space="0" w:color="auto"/>
            </w:tcBorders>
          </w:tcPr>
          <w:p w14:paraId="48A94DBD" w14:textId="2803E2F6" w:rsidR="146F07C5" w:rsidRDefault="146F07C5" w:rsidP="146F07C5">
            <w:pPr>
              <w:rPr>
                <w:rFonts w:ascii="Calibri" w:eastAsia="Calibri" w:hAnsi="Calibri" w:cs="Calibri"/>
              </w:rPr>
            </w:pPr>
            <w:r w:rsidRPr="146F07C5">
              <w:rPr>
                <w:rFonts w:ascii="Calibri" w:eastAsia="Calibri" w:hAnsi="Calibri" w:cs="Calibri"/>
              </w:rPr>
              <w:t>“This was a multicenter, randomized, controlled, double-blind clinical trial of parallel groups, performed on adult patients admitted to hospital due to a HF.” </w:t>
            </w:r>
          </w:p>
        </w:tc>
      </w:tr>
      <w:tr w:rsidR="146F07C5" w14:paraId="55DC9DA4" w14:textId="77777777" w:rsidTr="146F07C5">
        <w:tc>
          <w:tcPr>
            <w:tcW w:w="1455" w:type="dxa"/>
            <w:tcBorders>
              <w:top w:val="single" w:sz="6" w:space="0" w:color="auto"/>
              <w:left w:val="single" w:sz="6" w:space="0" w:color="auto"/>
              <w:bottom w:val="single" w:sz="6" w:space="0" w:color="auto"/>
              <w:right w:val="single" w:sz="6" w:space="0" w:color="auto"/>
            </w:tcBorders>
          </w:tcPr>
          <w:p w14:paraId="191927C9" w14:textId="588251E2" w:rsidR="146F07C5" w:rsidRDefault="146F07C5" w:rsidP="146F07C5">
            <w:pPr>
              <w:rPr>
                <w:rFonts w:ascii="Calibri" w:eastAsia="Calibri" w:hAnsi="Calibri" w:cs="Calibri"/>
              </w:rPr>
            </w:pPr>
            <w:r w:rsidRPr="146F07C5">
              <w:rPr>
                <w:rFonts w:ascii="Calibri" w:eastAsia="Calibri" w:hAnsi="Calibri" w:cs="Calibri"/>
              </w:rPr>
              <w:t>Blinding of outcome assessment (detection bias) </w:t>
            </w:r>
          </w:p>
        </w:tc>
        <w:tc>
          <w:tcPr>
            <w:tcW w:w="1410" w:type="dxa"/>
            <w:tcBorders>
              <w:top w:val="single" w:sz="6" w:space="0" w:color="auto"/>
              <w:left w:val="single" w:sz="6" w:space="0" w:color="auto"/>
              <w:bottom w:val="single" w:sz="6" w:space="0" w:color="auto"/>
              <w:right w:val="single" w:sz="6" w:space="0" w:color="auto"/>
            </w:tcBorders>
          </w:tcPr>
          <w:p w14:paraId="2FCAF515" w14:textId="192881B7" w:rsidR="146F07C5" w:rsidRDefault="146F07C5" w:rsidP="146F07C5">
            <w:pPr>
              <w:rPr>
                <w:rFonts w:ascii="Calibri" w:eastAsia="Calibri" w:hAnsi="Calibri" w:cs="Calibri"/>
              </w:rPr>
            </w:pPr>
            <w:r w:rsidRPr="146F07C5">
              <w:rPr>
                <w:rFonts w:ascii="Calibri" w:eastAsia="Calibri" w:hAnsi="Calibri" w:cs="Calibri"/>
              </w:rPr>
              <w:t>Unclear </w:t>
            </w:r>
          </w:p>
        </w:tc>
        <w:tc>
          <w:tcPr>
            <w:tcW w:w="6450" w:type="dxa"/>
            <w:tcBorders>
              <w:top w:val="single" w:sz="6" w:space="0" w:color="auto"/>
              <w:left w:val="single" w:sz="6" w:space="0" w:color="auto"/>
              <w:bottom w:val="single" w:sz="6" w:space="0" w:color="auto"/>
              <w:right w:val="single" w:sz="6" w:space="0" w:color="auto"/>
            </w:tcBorders>
          </w:tcPr>
          <w:p w14:paraId="6C05521D" w14:textId="145B5A8F" w:rsidR="146F07C5" w:rsidRDefault="146F07C5" w:rsidP="146F07C5">
            <w:pPr>
              <w:rPr>
                <w:rFonts w:ascii="Calibri" w:eastAsia="Calibri" w:hAnsi="Calibri" w:cs="Calibri"/>
              </w:rPr>
            </w:pPr>
            <w:r w:rsidRPr="146F07C5">
              <w:rPr>
                <w:rFonts w:ascii="Calibri" w:eastAsia="Calibri" w:hAnsi="Calibri" w:cs="Calibri"/>
              </w:rPr>
              <w:t>No description of measures used to blind outcome assessment nor of effectiveness. </w:t>
            </w:r>
          </w:p>
        </w:tc>
      </w:tr>
      <w:tr w:rsidR="146F07C5" w14:paraId="02E544C9" w14:textId="77777777" w:rsidTr="146F07C5">
        <w:tc>
          <w:tcPr>
            <w:tcW w:w="1455" w:type="dxa"/>
            <w:tcBorders>
              <w:top w:val="single" w:sz="6" w:space="0" w:color="auto"/>
              <w:left w:val="single" w:sz="6" w:space="0" w:color="auto"/>
              <w:bottom w:val="single" w:sz="6" w:space="0" w:color="auto"/>
              <w:right w:val="single" w:sz="6" w:space="0" w:color="auto"/>
            </w:tcBorders>
          </w:tcPr>
          <w:p w14:paraId="1BB26123" w14:textId="27C7D632" w:rsidR="146F07C5" w:rsidRDefault="146F07C5" w:rsidP="146F07C5">
            <w:pPr>
              <w:rPr>
                <w:rFonts w:ascii="Calibri" w:eastAsia="Calibri" w:hAnsi="Calibri" w:cs="Calibri"/>
              </w:rPr>
            </w:pPr>
            <w:r w:rsidRPr="146F07C5">
              <w:rPr>
                <w:rFonts w:ascii="Calibri" w:eastAsia="Calibri" w:hAnsi="Calibri" w:cs="Calibri"/>
              </w:rPr>
              <w:lastRenderedPageBreak/>
              <w:t>Incomplete outcome data (attrition bias) </w:t>
            </w:r>
          </w:p>
        </w:tc>
        <w:tc>
          <w:tcPr>
            <w:tcW w:w="1410" w:type="dxa"/>
            <w:tcBorders>
              <w:top w:val="single" w:sz="6" w:space="0" w:color="auto"/>
              <w:left w:val="single" w:sz="6" w:space="0" w:color="auto"/>
              <w:bottom w:val="single" w:sz="6" w:space="0" w:color="auto"/>
              <w:right w:val="single" w:sz="6" w:space="0" w:color="auto"/>
            </w:tcBorders>
          </w:tcPr>
          <w:p w14:paraId="5097CF08" w14:textId="0B3506D3" w:rsidR="146F07C5" w:rsidRDefault="146F07C5" w:rsidP="146F07C5">
            <w:pPr>
              <w:rPr>
                <w:rFonts w:ascii="Calibri" w:eastAsia="Calibri" w:hAnsi="Calibri" w:cs="Calibri"/>
              </w:rPr>
            </w:pPr>
            <w:r w:rsidRPr="146F07C5">
              <w:rPr>
                <w:rFonts w:ascii="Calibri" w:eastAsia="Calibri" w:hAnsi="Calibri" w:cs="Calibri"/>
              </w:rPr>
              <w:t>Low </w:t>
            </w:r>
          </w:p>
        </w:tc>
        <w:tc>
          <w:tcPr>
            <w:tcW w:w="6450" w:type="dxa"/>
            <w:tcBorders>
              <w:top w:val="single" w:sz="6" w:space="0" w:color="auto"/>
              <w:left w:val="single" w:sz="6" w:space="0" w:color="auto"/>
              <w:bottom w:val="single" w:sz="6" w:space="0" w:color="auto"/>
              <w:right w:val="single" w:sz="6" w:space="0" w:color="auto"/>
            </w:tcBorders>
          </w:tcPr>
          <w:p w14:paraId="2AE69447" w14:textId="1B2BFA5F" w:rsidR="146F07C5" w:rsidRDefault="146F07C5" w:rsidP="146F07C5">
            <w:pPr>
              <w:rPr>
                <w:rFonts w:ascii="Calibri" w:eastAsia="Calibri" w:hAnsi="Calibri" w:cs="Calibri"/>
              </w:rPr>
            </w:pPr>
            <w:r w:rsidRPr="146F07C5">
              <w:rPr>
                <w:rFonts w:ascii="Calibri" w:eastAsia="Calibri" w:hAnsi="Calibri" w:cs="Calibri"/>
              </w:rPr>
              <w:t>“Eight patients (2.64%) did not have surgery, and in 18 additional patients (5.9%), protocol violations were observed (eight patients were administered additional IV ferric sacharate, in five patients violations of inclusion or randomization were detected, and five patients did not receive the trial treatment). No violations regarding the qualitative RBC transfusion protocol were detected. We detected 26 patients (8.6%) with protocol deviations (22 received one RBC transfusion less than protocolized and four received one RBC transfusion more than protocolized). The distribution of all these incidences was similar in the three study arms.” </w:t>
            </w:r>
          </w:p>
          <w:p w14:paraId="570CB467" w14:textId="72007DBD" w:rsidR="146F07C5" w:rsidRDefault="146F07C5" w:rsidP="146F07C5">
            <w:pPr>
              <w:rPr>
                <w:rFonts w:ascii="Calibri" w:eastAsia="Calibri" w:hAnsi="Calibri" w:cs="Calibri"/>
              </w:rPr>
            </w:pPr>
            <w:r w:rsidRPr="146F07C5">
              <w:rPr>
                <w:rFonts w:ascii="Calibri" w:eastAsia="Calibri" w:hAnsi="Calibri" w:cs="Calibri"/>
              </w:rPr>
              <w:t> </w:t>
            </w:r>
          </w:p>
          <w:p w14:paraId="5EFF069F" w14:textId="407AB368" w:rsidR="146F07C5" w:rsidRDefault="146F07C5" w:rsidP="146F07C5">
            <w:pPr>
              <w:rPr>
                <w:rFonts w:ascii="Calibri" w:eastAsia="Calibri" w:hAnsi="Calibri" w:cs="Calibri"/>
              </w:rPr>
            </w:pPr>
            <w:r w:rsidRPr="146F07C5">
              <w:rPr>
                <w:rFonts w:ascii="Calibri" w:eastAsia="Calibri" w:hAnsi="Calibri" w:cs="Calibri"/>
              </w:rPr>
              <w:t>Losses to follow-up were disclosed. The attrition was reasonable and not expected to affect results. Adequate sample size above 87 was achieved for all groups. </w:t>
            </w:r>
          </w:p>
        </w:tc>
      </w:tr>
      <w:tr w:rsidR="146F07C5" w14:paraId="6EC73456" w14:textId="77777777" w:rsidTr="146F07C5">
        <w:tc>
          <w:tcPr>
            <w:tcW w:w="1455" w:type="dxa"/>
            <w:tcBorders>
              <w:top w:val="single" w:sz="6" w:space="0" w:color="auto"/>
              <w:left w:val="single" w:sz="6" w:space="0" w:color="auto"/>
              <w:bottom w:val="single" w:sz="6" w:space="0" w:color="auto"/>
              <w:right w:val="single" w:sz="6" w:space="0" w:color="auto"/>
            </w:tcBorders>
          </w:tcPr>
          <w:p w14:paraId="368EECD3" w14:textId="59618BB1" w:rsidR="146F07C5" w:rsidRDefault="146F07C5" w:rsidP="146F07C5">
            <w:pPr>
              <w:rPr>
                <w:rFonts w:ascii="Calibri" w:eastAsia="Calibri" w:hAnsi="Calibri" w:cs="Calibri"/>
              </w:rPr>
            </w:pPr>
            <w:r w:rsidRPr="146F07C5">
              <w:rPr>
                <w:rFonts w:ascii="Calibri" w:eastAsia="Calibri" w:hAnsi="Calibri" w:cs="Calibri"/>
              </w:rPr>
              <w:t>Selective reporting (reporting bias) </w:t>
            </w:r>
          </w:p>
        </w:tc>
        <w:tc>
          <w:tcPr>
            <w:tcW w:w="1410" w:type="dxa"/>
            <w:tcBorders>
              <w:top w:val="single" w:sz="6" w:space="0" w:color="auto"/>
              <w:left w:val="single" w:sz="6" w:space="0" w:color="auto"/>
              <w:bottom w:val="single" w:sz="6" w:space="0" w:color="auto"/>
              <w:right w:val="single" w:sz="6" w:space="0" w:color="auto"/>
            </w:tcBorders>
          </w:tcPr>
          <w:p w14:paraId="4E2C975A" w14:textId="3D2B91BC" w:rsidR="146F07C5" w:rsidRDefault="146F07C5" w:rsidP="146F07C5">
            <w:pPr>
              <w:rPr>
                <w:rFonts w:ascii="Calibri" w:eastAsia="Calibri" w:hAnsi="Calibri" w:cs="Calibri"/>
              </w:rPr>
            </w:pPr>
            <w:r w:rsidRPr="146F07C5">
              <w:rPr>
                <w:rFonts w:ascii="Calibri" w:eastAsia="Calibri" w:hAnsi="Calibri" w:cs="Calibri"/>
              </w:rPr>
              <w:t>Low </w:t>
            </w:r>
          </w:p>
        </w:tc>
        <w:tc>
          <w:tcPr>
            <w:tcW w:w="6450" w:type="dxa"/>
            <w:tcBorders>
              <w:top w:val="single" w:sz="6" w:space="0" w:color="auto"/>
              <w:left w:val="single" w:sz="6" w:space="0" w:color="auto"/>
              <w:bottom w:val="single" w:sz="6" w:space="0" w:color="auto"/>
              <w:right w:val="single" w:sz="6" w:space="0" w:color="auto"/>
            </w:tcBorders>
          </w:tcPr>
          <w:p w14:paraId="372B9D19" w14:textId="10E3180C" w:rsidR="146F07C5" w:rsidRDefault="146F07C5" w:rsidP="146F07C5">
            <w:pPr>
              <w:rPr>
                <w:rFonts w:ascii="Calibri" w:eastAsia="Calibri" w:hAnsi="Calibri" w:cs="Calibri"/>
              </w:rPr>
            </w:pPr>
            <w:r w:rsidRPr="146F07C5">
              <w:rPr>
                <w:rFonts w:ascii="Calibri" w:eastAsia="Calibri" w:hAnsi="Calibri" w:cs="Calibri"/>
              </w:rPr>
              <w:t>Both intention-to-treat and per protocol analyses were performed. </w:t>
            </w:r>
          </w:p>
        </w:tc>
      </w:tr>
      <w:tr w:rsidR="146F07C5" w14:paraId="43884611" w14:textId="77777777" w:rsidTr="146F07C5">
        <w:tc>
          <w:tcPr>
            <w:tcW w:w="1455" w:type="dxa"/>
            <w:tcBorders>
              <w:top w:val="single" w:sz="6" w:space="0" w:color="auto"/>
              <w:left w:val="single" w:sz="6" w:space="0" w:color="auto"/>
              <w:bottom w:val="single" w:sz="6" w:space="0" w:color="auto"/>
              <w:right w:val="single" w:sz="6" w:space="0" w:color="auto"/>
            </w:tcBorders>
          </w:tcPr>
          <w:p w14:paraId="7A7D1913" w14:textId="70ECB073" w:rsidR="146F07C5" w:rsidRDefault="146F07C5" w:rsidP="146F07C5">
            <w:pPr>
              <w:rPr>
                <w:rFonts w:ascii="Calibri" w:eastAsia="Calibri" w:hAnsi="Calibri" w:cs="Calibri"/>
              </w:rPr>
            </w:pPr>
            <w:r w:rsidRPr="146F07C5">
              <w:rPr>
                <w:rFonts w:ascii="Calibri" w:eastAsia="Calibri" w:hAnsi="Calibri" w:cs="Calibri"/>
              </w:rPr>
              <w:t>Other bias </w:t>
            </w:r>
          </w:p>
        </w:tc>
        <w:tc>
          <w:tcPr>
            <w:tcW w:w="1410" w:type="dxa"/>
            <w:tcBorders>
              <w:top w:val="single" w:sz="6" w:space="0" w:color="auto"/>
              <w:left w:val="single" w:sz="6" w:space="0" w:color="auto"/>
              <w:bottom w:val="single" w:sz="6" w:space="0" w:color="auto"/>
              <w:right w:val="single" w:sz="6" w:space="0" w:color="auto"/>
            </w:tcBorders>
          </w:tcPr>
          <w:p w14:paraId="5C9D05BF" w14:textId="17F17814" w:rsidR="146F07C5" w:rsidRPr="00495E42" w:rsidRDefault="146F07C5" w:rsidP="146F07C5">
            <w:pPr>
              <w:rPr>
                <w:rFonts w:ascii="Calibri" w:eastAsia="Calibri" w:hAnsi="Calibri" w:cs="Calibri"/>
              </w:rPr>
            </w:pPr>
            <w:r w:rsidRPr="00495E42">
              <w:rPr>
                <w:rFonts w:ascii="Calibri" w:eastAsia="Calibri" w:hAnsi="Calibri" w:cs="Calibri"/>
              </w:rPr>
              <w:t>Low </w:t>
            </w:r>
          </w:p>
        </w:tc>
        <w:tc>
          <w:tcPr>
            <w:tcW w:w="6450" w:type="dxa"/>
            <w:tcBorders>
              <w:top w:val="single" w:sz="6" w:space="0" w:color="auto"/>
              <w:left w:val="single" w:sz="6" w:space="0" w:color="auto"/>
              <w:bottom w:val="single" w:sz="6" w:space="0" w:color="auto"/>
              <w:right w:val="single" w:sz="6" w:space="0" w:color="auto"/>
            </w:tcBorders>
          </w:tcPr>
          <w:p w14:paraId="0A6E547A" w14:textId="3BA1BA9A" w:rsidR="146F07C5" w:rsidRPr="00495E42" w:rsidRDefault="146F07C5" w:rsidP="146F07C5">
            <w:pPr>
              <w:rPr>
                <w:rFonts w:ascii="Calibri" w:eastAsia="Calibri" w:hAnsi="Calibri" w:cs="Calibri"/>
              </w:rPr>
            </w:pPr>
            <w:r w:rsidRPr="00495E42">
              <w:rPr>
                <w:rFonts w:ascii="Calibri" w:eastAsia="Calibri" w:hAnsi="Calibri" w:cs="Calibri"/>
              </w:rPr>
              <w:t> No other bias was detected.</w:t>
            </w:r>
          </w:p>
        </w:tc>
      </w:tr>
    </w:tbl>
    <w:p w14:paraId="61EFB529" w14:textId="3F12CF8C" w:rsidR="3C2ECE16" w:rsidRDefault="6CF2E31F" w:rsidP="146F07C5">
      <w:pPr>
        <w:rPr>
          <w:rFonts w:ascii="Calibri" w:eastAsia="Calibri" w:hAnsi="Calibri" w:cs="Calibri"/>
        </w:rPr>
      </w:pPr>
      <w:r w:rsidRPr="146F07C5">
        <w:rPr>
          <w:rFonts w:ascii="Calibri" w:eastAsia="Calibri" w:hAnsi="Calibri" w:cs="Calibri"/>
        </w:rPr>
        <w:t>Page Break </w:t>
      </w:r>
    </w:p>
    <w:tbl>
      <w:tblPr>
        <w:tblW w:w="0" w:type="auto"/>
        <w:tblLayout w:type="fixed"/>
        <w:tblLook w:val="04A0" w:firstRow="1" w:lastRow="0" w:firstColumn="1" w:lastColumn="0" w:noHBand="0" w:noVBand="1"/>
      </w:tblPr>
      <w:tblGrid>
        <w:gridCol w:w="1425"/>
        <w:gridCol w:w="1410"/>
        <w:gridCol w:w="6480"/>
      </w:tblGrid>
      <w:tr w:rsidR="146F07C5" w14:paraId="3E3EBA87" w14:textId="77777777" w:rsidTr="146F07C5">
        <w:trPr>
          <w:trHeight w:val="570"/>
        </w:trPr>
        <w:tc>
          <w:tcPr>
            <w:tcW w:w="9315" w:type="dxa"/>
            <w:gridSpan w:val="3"/>
            <w:tcBorders>
              <w:top w:val="outset" w:sz="18" w:space="0" w:color="auto"/>
              <w:left w:val="outset" w:sz="18" w:space="0" w:color="auto"/>
              <w:bottom w:val="outset" w:sz="18" w:space="0" w:color="auto"/>
              <w:right w:val="outset" w:sz="18" w:space="0" w:color="auto"/>
            </w:tcBorders>
            <w:shd w:val="clear" w:color="auto" w:fill="D9D9D9" w:themeFill="background1" w:themeFillShade="D9"/>
            <w:vAlign w:val="bottom"/>
          </w:tcPr>
          <w:p w14:paraId="3C178E47" w14:textId="44C6195E" w:rsidR="146F07C5" w:rsidRDefault="146F07C5" w:rsidP="146F07C5">
            <w:pPr>
              <w:rPr>
                <w:rFonts w:ascii="Calibri" w:eastAsia="Calibri" w:hAnsi="Calibri" w:cs="Calibri"/>
                <w:sz w:val="17"/>
                <w:szCs w:val="17"/>
              </w:rPr>
            </w:pPr>
            <w:r w:rsidRPr="146F07C5">
              <w:rPr>
                <w:rFonts w:ascii="Calibri" w:eastAsia="Calibri" w:hAnsi="Calibri" w:cs="Calibri"/>
              </w:rPr>
              <w:t>Bisbe E, Moltó L, Arroyo R, Muniesa JM, Tejero M. Randomized trial comparing ferric carboxymaltose vs oral ferrous glycine sulphate for postoperative anaemia after total knee arthroplasty.  Br J Anaesth. 2014;113(3):402-409</w:t>
            </w:r>
            <w:r w:rsidRPr="146F07C5">
              <w:rPr>
                <w:rFonts w:ascii="Calibri" w:eastAsia="Calibri" w:hAnsi="Calibri" w:cs="Calibri"/>
                <w:color w:val="D13438"/>
              </w:rPr>
              <w:t>.</w:t>
            </w:r>
            <w:r w:rsidRPr="146F07C5">
              <w:rPr>
                <w:rFonts w:ascii="Calibri" w:eastAsia="Calibri" w:hAnsi="Calibri" w:cs="Calibri"/>
                <w:vertAlign w:val="superscript"/>
              </w:rPr>
              <w:t>3 </w:t>
            </w:r>
          </w:p>
        </w:tc>
      </w:tr>
      <w:tr w:rsidR="146F07C5" w14:paraId="1FCA84B1" w14:textId="77777777" w:rsidTr="146F07C5">
        <w:trPr>
          <w:trHeight w:val="570"/>
        </w:trPr>
        <w:tc>
          <w:tcPr>
            <w:tcW w:w="1425" w:type="dxa"/>
            <w:tcBorders>
              <w:top w:val="outset" w:sz="18" w:space="0" w:color="auto"/>
              <w:left w:val="single" w:sz="6" w:space="0" w:color="auto"/>
              <w:bottom w:val="single" w:sz="6" w:space="0" w:color="auto"/>
              <w:right w:val="single" w:sz="6" w:space="0" w:color="auto"/>
            </w:tcBorders>
            <w:vAlign w:val="bottom"/>
          </w:tcPr>
          <w:p w14:paraId="48FBF8FB" w14:textId="092C0F6F" w:rsidR="146F07C5" w:rsidRDefault="146F07C5" w:rsidP="146F07C5">
            <w:pPr>
              <w:rPr>
                <w:rFonts w:ascii="Calibri" w:eastAsia="Calibri" w:hAnsi="Calibri" w:cs="Calibri"/>
              </w:rPr>
            </w:pPr>
            <w:r w:rsidRPr="146F07C5">
              <w:rPr>
                <w:rFonts w:ascii="Calibri" w:eastAsia="Calibri" w:hAnsi="Calibri" w:cs="Calibri"/>
              </w:rPr>
              <w:t>Bias </w:t>
            </w:r>
          </w:p>
        </w:tc>
        <w:tc>
          <w:tcPr>
            <w:tcW w:w="1410" w:type="dxa"/>
            <w:tcBorders>
              <w:top w:val="nil"/>
              <w:left w:val="single" w:sz="6" w:space="0" w:color="auto"/>
              <w:bottom w:val="single" w:sz="6" w:space="0" w:color="auto"/>
              <w:right w:val="single" w:sz="6" w:space="0" w:color="auto"/>
            </w:tcBorders>
            <w:vAlign w:val="bottom"/>
          </w:tcPr>
          <w:p w14:paraId="21B7B602" w14:textId="62531D52" w:rsidR="146F07C5" w:rsidRDefault="146F07C5" w:rsidP="146F07C5">
            <w:pPr>
              <w:rPr>
                <w:rFonts w:ascii="Calibri" w:eastAsia="Calibri" w:hAnsi="Calibri" w:cs="Calibri"/>
              </w:rPr>
            </w:pPr>
            <w:r w:rsidRPr="146F07C5">
              <w:rPr>
                <w:rFonts w:ascii="Calibri" w:eastAsia="Calibri" w:hAnsi="Calibri" w:cs="Calibri"/>
              </w:rPr>
              <w:t>Authors’ judgment (low, unclear, high) </w:t>
            </w:r>
          </w:p>
        </w:tc>
        <w:tc>
          <w:tcPr>
            <w:tcW w:w="6480" w:type="dxa"/>
            <w:tcBorders>
              <w:top w:val="nil"/>
              <w:left w:val="single" w:sz="6" w:space="0" w:color="auto"/>
              <w:bottom w:val="single" w:sz="6" w:space="0" w:color="auto"/>
              <w:right w:val="single" w:sz="6" w:space="0" w:color="auto"/>
            </w:tcBorders>
            <w:vAlign w:val="bottom"/>
          </w:tcPr>
          <w:p w14:paraId="734A7FA6" w14:textId="7A3EF1F0" w:rsidR="146F07C5" w:rsidRDefault="146F07C5" w:rsidP="146F07C5">
            <w:pPr>
              <w:rPr>
                <w:rFonts w:ascii="Calibri" w:eastAsia="Calibri" w:hAnsi="Calibri" w:cs="Calibri"/>
              </w:rPr>
            </w:pPr>
            <w:r w:rsidRPr="146F07C5">
              <w:rPr>
                <w:rFonts w:ascii="Calibri" w:eastAsia="Calibri" w:hAnsi="Calibri" w:cs="Calibri"/>
              </w:rPr>
              <w:t>Support for judgment </w:t>
            </w:r>
          </w:p>
        </w:tc>
      </w:tr>
      <w:tr w:rsidR="146F07C5" w14:paraId="515ED6D2" w14:textId="77777777" w:rsidTr="146F07C5">
        <w:trPr>
          <w:trHeight w:val="750"/>
        </w:trPr>
        <w:tc>
          <w:tcPr>
            <w:tcW w:w="1425" w:type="dxa"/>
            <w:tcBorders>
              <w:top w:val="single" w:sz="6" w:space="0" w:color="auto"/>
              <w:left w:val="single" w:sz="6" w:space="0" w:color="auto"/>
              <w:bottom w:val="single" w:sz="6" w:space="0" w:color="auto"/>
              <w:right w:val="single" w:sz="6" w:space="0" w:color="auto"/>
            </w:tcBorders>
          </w:tcPr>
          <w:p w14:paraId="4ED11210" w14:textId="26622E62" w:rsidR="146F07C5" w:rsidRDefault="146F07C5" w:rsidP="146F07C5">
            <w:pPr>
              <w:rPr>
                <w:rFonts w:ascii="Calibri" w:eastAsia="Calibri" w:hAnsi="Calibri" w:cs="Calibri"/>
              </w:rPr>
            </w:pPr>
            <w:r w:rsidRPr="146F07C5">
              <w:rPr>
                <w:rFonts w:ascii="Calibri" w:eastAsia="Calibri" w:hAnsi="Calibri" w:cs="Calibri"/>
              </w:rPr>
              <w:t>Random sequence generation (selection bias) </w:t>
            </w:r>
          </w:p>
        </w:tc>
        <w:tc>
          <w:tcPr>
            <w:tcW w:w="1410" w:type="dxa"/>
            <w:tcBorders>
              <w:top w:val="single" w:sz="6" w:space="0" w:color="auto"/>
              <w:left w:val="single" w:sz="6" w:space="0" w:color="auto"/>
              <w:bottom w:val="single" w:sz="6" w:space="0" w:color="auto"/>
              <w:right w:val="single" w:sz="6" w:space="0" w:color="auto"/>
            </w:tcBorders>
          </w:tcPr>
          <w:p w14:paraId="7C1C9BA4" w14:textId="7856B991" w:rsidR="146F07C5" w:rsidRDefault="146F07C5" w:rsidP="146F07C5">
            <w:pPr>
              <w:rPr>
                <w:rFonts w:ascii="Calibri" w:eastAsia="Calibri" w:hAnsi="Calibri" w:cs="Calibri"/>
              </w:rPr>
            </w:pPr>
            <w:r w:rsidRPr="146F07C5">
              <w:rPr>
                <w:rFonts w:ascii="Calibri" w:eastAsia="Calibri" w:hAnsi="Calibri" w:cs="Calibri"/>
              </w:rPr>
              <w:t>Low </w:t>
            </w:r>
          </w:p>
        </w:tc>
        <w:tc>
          <w:tcPr>
            <w:tcW w:w="6480" w:type="dxa"/>
            <w:tcBorders>
              <w:top w:val="single" w:sz="6" w:space="0" w:color="auto"/>
              <w:left w:val="single" w:sz="6" w:space="0" w:color="auto"/>
              <w:bottom w:val="single" w:sz="6" w:space="0" w:color="auto"/>
              <w:right w:val="single" w:sz="6" w:space="0" w:color="auto"/>
            </w:tcBorders>
          </w:tcPr>
          <w:p w14:paraId="50CD8CE2" w14:textId="1CC80C52" w:rsidR="146F07C5" w:rsidRDefault="146F07C5" w:rsidP="146F07C5">
            <w:pPr>
              <w:rPr>
                <w:rFonts w:ascii="Calibri" w:eastAsia="Calibri" w:hAnsi="Calibri" w:cs="Calibri"/>
              </w:rPr>
            </w:pPr>
            <w:r w:rsidRPr="146F07C5">
              <w:rPr>
                <w:rFonts w:ascii="Calibri" w:eastAsia="Calibri" w:hAnsi="Calibri" w:cs="Calibri"/>
              </w:rPr>
              <w:t>“Randomization was performed using a random number list that had been electronically generated before initiation of the study.” </w:t>
            </w:r>
          </w:p>
        </w:tc>
      </w:tr>
      <w:tr w:rsidR="146F07C5" w14:paraId="2F38D7E2"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5294635D" w14:textId="040B1832" w:rsidR="146F07C5" w:rsidRDefault="146F07C5" w:rsidP="146F07C5">
            <w:pPr>
              <w:rPr>
                <w:rFonts w:ascii="Calibri" w:eastAsia="Calibri" w:hAnsi="Calibri" w:cs="Calibri"/>
              </w:rPr>
            </w:pPr>
            <w:r w:rsidRPr="146F07C5">
              <w:rPr>
                <w:rFonts w:ascii="Calibri" w:eastAsia="Calibri" w:hAnsi="Calibri" w:cs="Calibri"/>
              </w:rPr>
              <w:t>Allocation concealment (selection bias) </w:t>
            </w:r>
          </w:p>
        </w:tc>
        <w:tc>
          <w:tcPr>
            <w:tcW w:w="1410" w:type="dxa"/>
            <w:tcBorders>
              <w:top w:val="single" w:sz="6" w:space="0" w:color="auto"/>
              <w:left w:val="single" w:sz="6" w:space="0" w:color="auto"/>
              <w:bottom w:val="single" w:sz="6" w:space="0" w:color="auto"/>
              <w:right w:val="single" w:sz="6" w:space="0" w:color="auto"/>
            </w:tcBorders>
          </w:tcPr>
          <w:p w14:paraId="5E201585" w14:textId="5274FAF5" w:rsidR="146F07C5" w:rsidRDefault="146F07C5" w:rsidP="146F07C5">
            <w:pPr>
              <w:rPr>
                <w:rFonts w:ascii="Calibri" w:eastAsia="Calibri" w:hAnsi="Calibri" w:cs="Calibri"/>
              </w:rPr>
            </w:pPr>
            <w:r w:rsidRPr="146F07C5">
              <w:rPr>
                <w:rFonts w:ascii="Calibri" w:eastAsia="Calibri" w:hAnsi="Calibri" w:cs="Calibri"/>
              </w:rPr>
              <w:t>Low </w:t>
            </w:r>
          </w:p>
        </w:tc>
        <w:tc>
          <w:tcPr>
            <w:tcW w:w="6480" w:type="dxa"/>
            <w:tcBorders>
              <w:top w:val="single" w:sz="6" w:space="0" w:color="auto"/>
              <w:left w:val="single" w:sz="6" w:space="0" w:color="auto"/>
              <w:bottom w:val="single" w:sz="6" w:space="0" w:color="auto"/>
              <w:right w:val="single" w:sz="6" w:space="0" w:color="auto"/>
            </w:tcBorders>
          </w:tcPr>
          <w:p w14:paraId="2F405C11" w14:textId="21E4D76A" w:rsidR="146F07C5" w:rsidRDefault="146F07C5" w:rsidP="146F07C5">
            <w:pPr>
              <w:rPr>
                <w:rFonts w:ascii="Calibri" w:eastAsia="Calibri" w:hAnsi="Calibri" w:cs="Calibri"/>
              </w:rPr>
            </w:pPr>
            <w:r w:rsidRPr="146F07C5">
              <w:rPr>
                <w:rFonts w:ascii="Calibri" w:eastAsia="Calibri" w:hAnsi="Calibri" w:cs="Calibri"/>
              </w:rPr>
              <w:t>“Screening or treating physicians had no access to the randomization list. Treatment allocation was accessed only by the pharmacist after patient enrolment.”  Drug: single-blind / Questionnaire responses: analysis blind </w:t>
            </w:r>
          </w:p>
        </w:tc>
      </w:tr>
      <w:tr w:rsidR="146F07C5" w14:paraId="1EF4CCDF"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4DE4BD99" w14:textId="5B2D7AA8" w:rsidR="146F07C5" w:rsidRDefault="146F07C5" w:rsidP="146F07C5">
            <w:pPr>
              <w:rPr>
                <w:rFonts w:ascii="Calibri" w:eastAsia="Calibri" w:hAnsi="Calibri" w:cs="Calibri"/>
              </w:rPr>
            </w:pPr>
            <w:r w:rsidRPr="146F07C5">
              <w:rPr>
                <w:rFonts w:ascii="Calibri" w:eastAsia="Calibri" w:hAnsi="Calibri" w:cs="Calibri"/>
              </w:rPr>
              <w:lastRenderedPageBreak/>
              <w:t>Blinding of participants and personnel (performance bias) </w:t>
            </w:r>
          </w:p>
        </w:tc>
        <w:tc>
          <w:tcPr>
            <w:tcW w:w="1410" w:type="dxa"/>
            <w:tcBorders>
              <w:top w:val="single" w:sz="6" w:space="0" w:color="auto"/>
              <w:left w:val="single" w:sz="6" w:space="0" w:color="auto"/>
              <w:bottom w:val="single" w:sz="6" w:space="0" w:color="auto"/>
              <w:right w:val="single" w:sz="6" w:space="0" w:color="auto"/>
            </w:tcBorders>
          </w:tcPr>
          <w:p w14:paraId="525B30BC" w14:textId="5A8DD660" w:rsidR="146F07C5" w:rsidRDefault="146F07C5" w:rsidP="146F07C5">
            <w:pPr>
              <w:rPr>
                <w:rFonts w:ascii="Calibri" w:eastAsia="Calibri" w:hAnsi="Calibri" w:cs="Calibri"/>
              </w:rPr>
            </w:pPr>
            <w:r w:rsidRPr="146F07C5">
              <w:rPr>
                <w:rFonts w:ascii="Calibri" w:eastAsia="Calibri" w:hAnsi="Calibri" w:cs="Calibri"/>
              </w:rPr>
              <w:t>High </w:t>
            </w:r>
          </w:p>
        </w:tc>
        <w:tc>
          <w:tcPr>
            <w:tcW w:w="6480" w:type="dxa"/>
            <w:tcBorders>
              <w:top w:val="single" w:sz="6" w:space="0" w:color="auto"/>
              <w:left w:val="single" w:sz="6" w:space="0" w:color="auto"/>
              <w:bottom w:val="single" w:sz="6" w:space="0" w:color="auto"/>
              <w:right w:val="single" w:sz="6" w:space="0" w:color="auto"/>
            </w:tcBorders>
          </w:tcPr>
          <w:p w14:paraId="55855DF4" w14:textId="412A31B7" w:rsidR="146F07C5" w:rsidRDefault="146F07C5" w:rsidP="146F07C5">
            <w:pPr>
              <w:rPr>
                <w:rFonts w:ascii="Calibri" w:eastAsia="Calibri" w:hAnsi="Calibri" w:cs="Calibri"/>
              </w:rPr>
            </w:pPr>
            <w:r w:rsidRPr="146F07C5">
              <w:rPr>
                <w:rFonts w:ascii="Calibri" w:eastAsia="Calibri" w:hAnsi="Calibri" w:cs="Calibri"/>
              </w:rPr>
              <w:t>“This study was designed as a prospective, single-blinded, randomized, controlled trial of patients who underwent TKA at the University Hospital Mar-Esperança, Barcelona, Spain.” </w:t>
            </w:r>
          </w:p>
        </w:tc>
      </w:tr>
      <w:tr w:rsidR="146F07C5" w14:paraId="638A3BA1"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5D6C3371" w14:textId="2F64A4E6" w:rsidR="146F07C5" w:rsidRDefault="146F07C5" w:rsidP="146F07C5">
            <w:pPr>
              <w:rPr>
                <w:rFonts w:ascii="Calibri" w:eastAsia="Calibri" w:hAnsi="Calibri" w:cs="Calibri"/>
              </w:rPr>
            </w:pPr>
            <w:r w:rsidRPr="146F07C5">
              <w:rPr>
                <w:rFonts w:ascii="Calibri" w:eastAsia="Calibri" w:hAnsi="Calibri" w:cs="Calibri"/>
              </w:rPr>
              <w:t>Blinding of outcome assessment (detection bias) </w:t>
            </w:r>
          </w:p>
        </w:tc>
        <w:tc>
          <w:tcPr>
            <w:tcW w:w="1410" w:type="dxa"/>
            <w:tcBorders>
              <w:top w:val="single" w:sz="6" w:space="0" w:color="auto"/>
              <w:left w:val="single" w:sz="6" w:space="0" w:color="auto"/>
              <w:bottom w:val="single" w:sz="6" w:space="0" w:color="auto"/>
              <w:right w:val="single" w:sz="6" w:space="0" w:color="auto"/>
            </w:tcBorders>
          </w:tcPr>
          <w:p w14:paraId="331E845E" w14:textId="69D5DDA0" w:rsidR="146F07C5" w:rsidRDefault="146F07C5" w:rsidP="146F07C5">
            <w:pPr>
              <w:rPr>
                <w:rFonts w:ascii="Calibri" w:eastAsia="Calibri" w:hAnsi="Calibri" w:cs="Calibri"/>
              </w:rPr>
            </w:pPr>
            <w:r w:rsidRPr="146F07C5">
              <w:rPr>
                <w:rFonts w:ascii="Calibri" w:eastAsia="Calibri" w:hAnsi="Calibri" w:cs="Calibri"/>
              </w:rPr>
              <w:t>Low </w:t>
            </w:r>
          </w:p>
        </w:tc>
        <w:tc>
          <w:tcPr>
            <w:tcW w:w="6480" w:type="dxa"/>
            <w:tcBorders>
              <w:top w:val="single" w:sz="6" w:space="0" w:color="auto"/>
              <w:left w:val="single" w:sz="6" w:space="0" w:color="auto"/>
              <w:bottom w:val="single" w:sz="6" w:space="0" w:color="auto"/>
              <w:right w:val="single" w:sz="6" w:space="0" w:color="auto"/>
            </w:tcBorders>
          </w:tcPr>
          <w:p w14:paraId="44AF0807" w14:textId="3C07796F" w:rsidR="146F07C5" w:rsidRDefault="146F07C5" w:rsidP="146F07C5">
            <w:pPr>
              <w:rPr>
                <w:rFonts w:ascii="Calibri" w:eastAsia="Calibri" w:hAnsi="Calibri" w:cs="Calibri"/>
              </w:rPr>
            </w:pPr>
            <w:r w:rsidRPr="146F07C5">
              <w:rPr>
                <w:rFonts w:ascii="Calibri" w:eastAsia="Calibri" w:hAnsi="Calibri" w:cs="Calibri"/>
              </w:rPr>
              <w:t>“The recruitment team, physicians, and other medical staff involved in the conduct and evaluation of the questionnaires were blinded to the study treatment.” </w:t>
            </w:r>
          </w:p>
        </w:tc>
      </w:tr>
      <w:tr w:rsidR="146F07C5" w14:paraId="752D2F62"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364C096A" w14:textId="19F80612" w:rsidR="146F07C5" w:rsidRDefault="146F07C5" w:rsidP="146F07C5">
            <w:pPr>
              <w:rPr>
                <w:rFonts w:ascii="Calibri" w:eastAsia="Calibri" w:hAnsi="Calibri" w:cs="Calibri"/>
              </w:rPr>
            </w:pPr>
            <w:r w:rsidRPr="146F07C5">
              <w:rPr>
                <w:rFonts w:ascii="Calibri" w:eastAsia="Calibri" w:hAnsi="Calibri" w:cs="Calibri"/>
              </w:rPr>
              <w:t>Incomplete outcome data (attrition bias) </w:t>
            </w:r>
          </w:p>
        </w:tc>
        <w:tc>
          <w:tcPr>
            <w:tcW w:w="1410" w:type="dxa"/>
            <w:tcBorders>
              <w:top w:val="single" w:sz="6" w:space="0" w:color="auto"/>
              <w:left w:val="single" w:sz="6" w:space="0" w:color="auto"/>
              <w:bottom w:val="single" w:sz="6" w:space="0" w:color="auto"/>
              <w:right w:val="single" w:sz="6" w:space="0" w:color="auto"/>
            </w:tcBorders>
          </w:tcPr>
          <w:p w14:paraId="5EE720F7" w14:textId="226CD015" w:rsidR="146F07C5" w:rsidRDefault="146F07C5" w:rsidP="146F07C5">
            <w:pPr>
              <w:rPr>
                <w:rFonts w:ascii="Calibri" w:eastAsia="Calibri" w:hAnsi="Calibri" w:cs="Calibri"/>
              </w:rPr>
            </w:pPr>
            <w:r w:rsidRPr="146F07C5">
              <w:rPr>
                <w:rFonts w:ascii="Calibri" w:eastAsia="Calibri" w:hAnsi="Calibri" w:cs="Calibri"/>
              </w:rPr>
              <w:t>High </w:t>
            </w:r>
          </w:p>
        </w:tc>
        <w:tc>
          <w:tcPr>
            <w:tcW w:w="6480" w:type="dxa"/>
            <w:tcBorders>
              <w:top w:val="single" w:sz="6" w:space="0" w:color="auto"/>
              <w:left w:val="single" w:sz="6" w:space="0" w:color="auto"/>
              <w:bottom w:val="single" w:sz="6" w:space="0" w:color="auto"/>
              <w:right w:val="single" w:sz="6" w:space="0" w:color="auto"/>
            </w:tcBorders>
          </w:tcPr>
          <w:p w14:paraId="1C58D3C8" w14:textId="521C3095" w:rsidR="146F07C5" w:rsidRDefault="146F07C5" w:rsidP="146F07C5">
            <w:pPr>
              <w:rPr>
                <w:rFonts w:ascii="Calibri" w:eastAsia="Calibri" w:hAnsi="Calibri" w:cs="Calibri"/>
              </w:rPr>
            </w:pPr>
            <w:r w:rsidRPr="146F07C5">
              <w:rPr>
                <w:rFonts w:ascii="Calibri" w:eastAsia="Calibri" w:hAnsi="Calibri" w:cs="Calibri"/>
              </w:rPr>
              <w:t>“Most enrolled patients [102 (83.6%)] had complete data sets available at the end of the study period.”  </w:t>
            </w:r>
          </w:p>
          <w:p w14:paraId="24C91852" w14:textId="37AFD54C" w:rsidR="146F07C5" w:rsidRDefault="146F07C5" w:rsidP="146F07C5">
            <w:pPr>
              <w:rPr>
                <w:rFonts w:ascii="Calibri" w:eastAsia="Calibri" w:hAnsi="Calibri" w:cs="Calibri"/>
              </w:rPr>
            </w:pPr>
            <w:r w:rsidRPr="146F07C5">
              <w:rPr>
                <w:rFonts w:ascii="Calibri" w:eastAsia="Calibri" w:hAnsi="Calibri" w:cs="Calibri"/>
              </w:rPr>
              <w:t> </w:t>
            </w:r>
          </w:p>
          <w:p w14:paraId="735C4AC8" w14:textId="252112F1" w:rsidR="146F07C5" w:rsidRDefault="146F07C5" w:rsidP="146F07C5">
            <w:pPr>
              <w:rPr>
                <w:rFonts w:ascii="Calibri" w:eastAsia="Calibri" w:hAnsi="Calibri" w:cs="Calibri"/>
              </w:rPr>
            </w:pPr>
            <w:r w:rsidRPr="146F07C5">
              <w:rPr>
                <w:rFonts w:ascii="Calibri" w:eastAsia="Calibri" w:hAnsi="Calibri" w:cs="Calibri"/>
              </w:rPr>
              <w:t>Attrition bias may exist since no description of the patients lost to follow-up was reported.  </w:t>
            </w:r>
          </w:p>
        </w:tc>
      </w:tr>
      <w:tr w:rsidR="146F07C5" w14:paraId="2A60DE78"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1CFC6DC1" w14:textId="38500B94" w:rsidR="146F07C5" w:rsidRDefault="146F07C5" w:rsidP="146F07C5">
            <w:pPr>
              <w:rPr>
                <w:rFonts w:ascii="Calibri" w:eastAsia="Calibri" w:hAnsi="Calibri" w:cs="Calibri"/>
              </w:rPr>
            </w:pPr>
            <w:r w:rsidRPr="146F07C5">
              <w:rPr>
                <w:rFonts w:ascii="Calibri" w:eastAsia="Calibri" w:hAnsi="Calibri" w:cs="Calibri"/>
              </w:rPr>
              <w:t>Selective reporting (reporting bias) </w:t>
            </w:r>
          </w:p>
        </w:tc>
        <w:tc>
          <w:tcPr>
            <w:tcW w:w="1410" w:type="dxa"/>
            <w:tcBorders>
              <w:top w:val="single" w:sz="6" w:space="0" w:color="auto"/>
              <w:left w:val="single" w:sz="6" w:space="0" w:color="auto"/>
              <w:bottom w:val="single" w:sz="6" w:space="0" w:color="auto"/>
              <w:right w:val="single" w:sz="6" w:space="0" w:color="auto"/>
            </w:tcBorders>
          </w:tcPr>
          <w:p w14:paraId="61A7BF8A" w14:textId="6B87EC82" w:rsidR="146F07C5" w:rsidRDefault="146F07C5" w:rsidP="146F07C5">
            <w:pPr>
              <w:rPr>
                <w:rFonts w:ascii="Calibri" w:eastAsia="Calibri" w:hAnsi="Calibri" w:cs="Calibri"/>
              </w:rPr>
            </w:pPr>
            <w:r w:rsidRPr="146F07C5">
              <w:rPr>
                <w:rFonts w:ascii="Calibri" w:eastAsia="Calibri" w:hAnsi="Calibri" w:cs="Calibri"/>
              </w:rPr>
              <w:t>Low </w:t>
            </w:r>
          </w:p>
        </w:tc>
        <w:tc>
          <w:tcPr>
            <w:tcW w:w="6480" w:type="dxa"/>
            <w:tcBorders>
              <w:top w:val="single" w:sz="6" w:space="0" w:color="auto"/>
              <w:left w:val="single" w:sz="6" w:space="0" w:color="auto"/>
              <w:bottom w:val="single" w:sz="6" w:space="0" w:color="auto"/>
              <w:right w:val="single" w:sz="6" w:space="0" w:color="auto"/>
            </w:tcBorders>
          </w:tcPr>
          <w:p w14:paraId="6A8F9EC5" w14:textId="13E2BE95" w:rsidR="146F07C5" w:rsidRDefault="146F07C5" w:rsidP="146F07C5">
            <w:pPr>
              <w:rPr>
                <w:rFonts w:ascii="Calibri" w:eastAsia="Calibri" w:hAnsi="Calibri" w:cs="Calibri"/>
              </w:rPr>
            </w:pPr>
            <w:r w:rsidRPr="146F07C5">
              <w:rPr>
                <w:rFonts w:ascii="Calibri" w:eastAsia="Calibri" w:hAnsi="Calibri" w:cs="Calibri"/>
              </w:rPr>
              <w:t>“Of 197 pre-recruited patients, 161 underwent surgery, and of those, 122 (75.8%) fulfilling the inclusion criteria were enrolled (60 FCM, 62 FS) and analyzed according to the intention-to-treat principle.” </w:t>
            </w:r>
          </w:p>
        </w:tc>
      </w:tr>
      <w:tr w:rsidR="146F07C5" w14:paraId="4291BA07"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792247B2" w14:textId="06ECC4D1" w:rsidR="146F07C5" w:rsidRDefault="146F07C5" w:rsidP="146F07C5">
            <w:pPr>
              <w:rPr>
                <w:rFonts w:ascii="Calibri" w:eastAsia="Calibri" w:hAnsi="Calibri" w:cs="Calibri"/>
              </w:rPr>
            </w:pPr>
            <w:r w:rsidRPr="146F07C5">
              <w:rPr>
                <w:rFonts w:ascii="Calibri" w:eastAsia="Calibri" w:hAnsi="Calibri" w:cs="Calibri"/>
              </w:rPr>
              <w:t>Other bias </w:t>
            </w:r>
          </w:p>
        </w:tc>
        <w:tc>
          <w:tcPr>
            <w:tcW w:w="1410" w:type="dxa"/>
            <w:tcBorders>
              <w:top w:val="single" w:sz="6" w:space="0" w:color="auto"/>
              <w:left w:val="single" w:sz="6" w:space="0" w:color="auto"/>
              <w:bottom w:val="single" w:sz="6" w:space="0" w:color="auto"/>
              <w:right w:val="single" w:sz="6" w:space="0" w:color="auto"/>
            </w:tcBorders>
          </w:tcPr>
          <w:p w14:paraId="01A1C665" w14:textId="7A506A33" w:rsidR="146F07C5" w:rsidRDefault="146F07C5" w:rsidP="146F07C5">
            <w:pPr>
              <w:rPr>
                <w:rFonts w:ascii="Calibri" w:eastAsia="Calibri" w:hAnsi="Calibri" w:cs="Calibri"/>
              </w:rPr>
            </w:pPr>
            <w:r w:rsidRPr="146F07C5">
              <w:rPr>
                <w:rFonts w:ascii="Calibri" w:eastAsia="Calibri" w:hAnsi="Calibri" w:cs="Calibri"/>
              </w:rPr>
              <w:t> Unclear</w:t>
            </w:r>
          </w:p>
        </w:tc>
        <w:tc>
          <w:tcPr>
            <w:tcW w:w="6480" w:type="dxa"/>
            <w:tcBorders>
              <w:top w:val="single" w:sz="6" w:space="0" w:color="auto"/>
              <w:left w:val="single" w:sz="6" w:space="0" w:color="auto"/>
              <w:bottom w:val="single" w:sz="6" w:space="0" w:color="auto"/>
              <w:right w:val="single" w:sz="6" w:space="0" w:color="auto"/>
            </w:tcBorders>
          </w:tcPr>
          <w:p w14:paraId="5B3FB065" w14:textId="1716E9D0" w:rsidR="146F07C5" w:rsidRDefault="146F07C5" w:rsidP="146F07C5">
            <w:pPr>
              <w:rPr>
                <w:rFonts w:ascii="Calibri" w:eastAsia="Calibri" w:hAnsi="Calibri" w:cs="Calibri"/>
              </w:rPr>
            </w:pPr>
            <w:r w:rsidRPr="146F07C5">
              <w:rPr>
                <w:rFonts w:ascii="Calibri" w:eastAsia="Calibri" w:hAnsi="Calibri" w:cs="Calibri"/>
              </w:rPr>
              <w:t>“Moreover, 40% of FCM-treated iron-deficient patients compared with only 8% of FS-treated iron-deficient patients achieved normal Hb levels. Iron-deficient patients who developed postoperative anaemia with Hb levels below 10 g/dL showed particular benefit from FCM; yet, the number of patients in this subgroup was already quite low. Notably, the low number of patients with both iron deficiency and severe postoperative anaemia might result from the thorough PBM programme established at our centre and should not be generalized.” </w:t>
            </w:r>
          </w:p>
        </w:tc>
      </w:tr>
    </w:tbl>
    <w:p w14:paraId="0521F266" w14:textId="5A408657" w:rsidR="3C2ECE16" w:rsidRDefault="6CF2E31F" w:rsidP="146F07C5">
      <w:pPr>
        <w:rPr>
          <w:rFonts w:ascii="Calibri" w:eastAsia="Calibri" w:hAnsi="Calibri" w:cs="Calibri"/>
        </w:rPr>
      </w:pPr>
      <w:r w:rsidRPr="146F07C5">
        <w:rPr>
          <w:rFonts w:ascii="Calibri" w:eastAsia="Calibri" w:hAnsi="Calibri" w:cs="Calibri"/>
        </w:rPr>
        <w:t>Page Break </w:t>
      </w:r>
    </w:p>
    <w:tbl>
      <w:tblPr>
        <w:tblW w:w="0" w:type="auto"/>
        <w:tblLayout w:type="fixed"/>
        <w:tblLook w:val="04A0" w:firstRow="1" w:lastRow="0" w:firstColumn="1" w:lastColumn="0" w:noHBand="0" w:noVBand="1"/>
      </w:tblPr>
      <w:tblGrid>
        <w:gridCol w:w="1380"/>
        <w:gridCol w:w="1500"/>
        <w:gridCol w:w="6450"/>
      </w:tblGrid>
      <w:tr w:rsidR="146F07C5" w14:paraId="0B304DFD" w14:textId="77777777" w:rsidTr="146F07C5">
        <w:trPr>
          <w:trHeight w:val="525"/>
        </w:trPr>
        <w:tc>
          <w:tcPr>
            <w:tcW w:w="9330" w:type="dxa"/>
            <w:gridSpan w:val="3"/>
            <w:tcBorders>
              <w:top w:val="outset" w:sz="18" w:space="0" w:color="auto"/>
              <w:left w:val="outset" w:sz="18" w:space="0" w:color="auto"/>
              <w:bottom w:val="outset" w:sz="18" w:space="0" w:color="auto"/>
              <w:right w:val="outset" w:sz="18" w:space="0" w:color="auto"/>
            </w:tcBorders>
            <w:shd w:val="clear" w:color="auto" w:fill="D9D9D9" w:themeFill="background1" w:themeFillShade="D9"/>
          </w:tcPr>
          <w:p w14:paraId="3DED7630" w14:textId="15331EBF" w:rsidR="146F07C5" w:rsidRDefault="146F07C5" w:rsidP="146F07C5">
            <w:pPr>
              <w:rPr>
                <w:rFonts w:ascii="Calibri" w:eastAsia="Calibri" w:hAnsi="Calibri" w:cs="Calibri"/>
              </w:rPr>
            </w:pPr>
            <w:r w:rsidRPr="146F07C5">
              <w:rPr>
                <w:rFonts w:ascii="Calibri" w:eastAsia="Calibri" w:hAnsi="Calibri" w:cs="Calibri"/>
              </w:rPr>
              <w:t>Froessler B, Palm P, Weber I, Hodyl NA, Singh R, Murphy EM. the important role for intravenous iron in perioperative patient blood management in major abdominal surgery: a randomized controlled trial. Ann Surg. 2016;264(1):41-46</w:t>
            </w:r>
            <w:r w:rsidRPr="146F07C5">
              <w:rPr>
                <w:rFonts w:ascii="Calibri" w:eastAsia="Calibri" w:hAnsi="Calibri" w:cs="Calibri"/>
                <w:color w:val="D13438"/>
              </w:rPr>
              <w:t>.</w:t>
            </w:r>
            <w:r w:rsidRPr="146F07C5">
              <w:rPr>
                <w:rFonts w:ascii="Calibri" w:eastAsia="Calibri" w:hAnsi="Calibri" w:cs="Calibri"/>
                <w:vertAlign w:val="superscript"/>
              </w:rPr>
              <w:t>4</w:t>
            </w:r>
            <w:r w:rsidRPr="146F07C5">
              <w:rPr>
                <w:rFonts w:ascii="Calibri" w:eastAsia="Calibri" w:hAnsi="Calibri" w:cs="Calibri"/>
              </w:rPr>
              <w:t> </w:t>
            </w:r>
          </w:p>
        </w:tc>
      </w:tr>
      <w:tr w:rsidR="146F07C5" w14:paraId="7A0E9CCF" w14:textId="77777777" w:rsidTr="146F07C5">
        <w:tc>
          <w:tcPr>
            <w:tcW w:w="1380" w:type="dxa"/>
            <w:tcBorders>
              <w:top w:val="outset" w:sz="18" w:space="0" w:color="auto"/>
              <w:left w:val="single" w:sz="6" w:space="0" w:color="auto"/>
              <w:bottom w:val="single" w:sz="6" w:space="0" w:color="auto"/>
              <w:right w:val="single" w:sz="6" w:space="0" w:color="auto"/>
            </w:tcBorders>
            <w:vAlign w:val="bottom"/>
          </w:tcPr>
          <w:p w14:paraId="20A18A38" w14:textId="58CE5996" w:rsidR="146F07C5" w:rsidRDefault="146F07C5" w:rsidP="146F07C5">
            <w:pPr>
              <w:rPr>
                <w:rFonts w:ascii="Calibri" w:eastAsia="Calibri" w:hAnsi="Calibri" w:cs="Calibri"/>
              </w:rPr>
            </w:pPr>
            <w:r w:rsidRPr="146F07C5">
              <w:rPr>
                <w:rFonts w:ascii="Calibri" w:eastAsia="Calibri" w:hAnsi="Calibri" w:cs="Calibri"/>
              </w:rPr>
              <w:t>Bias </w:t>
            </w:r>
          </w:p>
        </w:tc>
        <w:tc>
          <w:tcPr>
            <w:tcW w:w="1500" w:type="dxa"/>
            <w:tcBorders>
              <w:top w:val="nil"/>
              <w:left w:val="single" w:sz="6" w:space="0" w:color="auto"/>
              <w:bottom w:val="single" w:sz="6" w:space="0" w:color="auto"/>
              <w:right w:val="single" w:sz="6" w:space="0" w:color="auto"/>
            </w:tcBorders>
            <w:vAlign w:val="bottom"/>
          </w:tcPr>
          <w:p w14:paraId="495D56BE" w14:textId="09A32FBC" w:rsidR="146F07C5" w:rsidRDefault="146F07C5" w:rsidP="146F07C5">
            <w:pPr>
              <w:rPr>
                <w:rFonts w:ascii="Calibri" w:eastAsia="Calibri" w:hAnsi="Calibri" w:cs="Calibri"/>
              </w:rPr>
            </w:pPr>
            <w:r w:rsidRPr="146F07C5">
              <w:rPr>
                <w:rFonts w:ascii="Calibri" w:eastAsia="Calibri" w:hAnsi="Calibri" w:cs="Calibri"/>
              </w:rPr>
              <w:t>Authors’ judgment (low, unclear, high) </w:t>
            </w:r>
          </w:p>
        </w:tc>
        <w:tc>
          <w:tcPr>
            <w:tcW w:w="6450" w:type="dxa"/>
            <w:tcBorders>
              <w:top w:val="nil"/>
              <w:left w:val="single" w:sz="6" w:space="0" w:color="auto"/>
              <w:bottom w:val="single" w:sz="6" w:space="0" w:color="auto"/>
              <w:right w:val="single" w:sz="6" w:space="0" w:color="auto"/>
            </w:tcBorders>
            <w:vAlign w:val="bottom"/>
          </w:tcPr>
          <w:p w14:paraId="1AB84746" w14:textId="1878DE64" w:rsidR="146F07C5" w:rsidRDefault="146F07C5" w:rsidP="146F07C5">
            <w:pPr>
              <w:rPr>
                <w:rFonts w:ascii="Calibri" w:eastAsia="Calibri" w:hAnsi="Calibri" w:cs="Calibri"/>
              </w:rPr>
            </w:pPr>
            <w:r w:rsidRPr="146F07C5">
              <w:rPr>
                <w:rFonts w:ascii="Calibri" w:eastAsia="Calibri" w:hAnsi="Calibri" w:cs="Calibri"/>
              </w:rPr>
              <w:t>Support for judgment </w:t>
            </w:r>
          </w:p>
        </w:tc>
      </w:tr>
      <w:tr w:rsidR="146F07C5" w14:paraId="19AE5F4C" w14:textId="77777777" w:rsidTr="146F07C5">
        <w:tc>
          <w:tcPr>
            <w:tcW w:w="1380" w:type="dxa"/>
            <w:tcBorders>
              <w:top w:val="single" w:sz="6" w:space="0" w:color="auto"/>
              <w:left w:val="single" w:sz="6" w:space="0" w:color="auto"/>
              <w:bottom w:val="single" w:sz="6" w:space="0" w:color="auto"/>
              <w:right w:val="single" w:sz="6" w:space="0" w:color="auto"/>
            </w:tcBorders>
          </w:tcPr>
          <w:p w14:paraId="05554C35" w14:textId="40D2F213" w:rsidR="146F07C5" w:rsidRDefault="146F07C5" w:rsidP="146F07C5">
            <w:pPr>
              <w:rPr>
                <w:rFonts w:ascii="Calibri" w:eastAsia="Calibri" w:hAnsi="Calibri" w:cs="Calibri"/>
              </w:rPr>
            </w:pPr>
            <w:r w:rsidRPr="146F07C5">
              <w:rPr>
                <w:rFonts w:ascii="Calibri" w:eastAsia="Calibri" w:hAnsi="Calibri" w:cs="Calibri"/>
              </w:rPr>
              <w:lastRenderedPageBreak/>
              <w:t>Random sequence generation (selection bias) </w:t>
            </w:r>
          </w:p>
        </w:tc>
        <w:tc>
          <w:tcPr>
            <w:tcW w:w="1500" w:type="dxa"/>
            <w:tcBorders>
              <w:top w:val="single" w:sz="6" w:space="0" w:color="auto"/>
              <w:left w:val="single" w:sz="6" w:space="0" w:color="auto"/>
              <w:bottom w:val="single" w:sz="6" w:space="0" w:color="auto"/>
              <w:right w:val="single" w:sz="6" w:space="0" w:color="auto"/>
            </w:tcBorders>
          </w:tcPr>
          <w:p w14:paraId="1AE6F92C" w14:textId="244E485D" w:rsidR="146F07C5" w:rsidRDefault="146F07C5" w:rsidP="146F07C5">
            <w:pPr>
              <w:rPr>
                <w:rFonts w:ascii="Calibri" w:eastAsia="Calibri" w:hAnsi="Calibri" w:cs="Calibri"/>
              </w:rPr>
            </w:pPr>
            <w:r w:rsidRPr="146F07C5">
              <w:rPr>
                <w:rFonts w:ascii="Calibri" w:eastAsia="Calibri" w:hAnsi="Calibri" w:cs="Calibri"/>
              </w:rPr>
              <w:t>High </w:t>
            </w:r>
          </w:p>
        </w:tc>
        <w:tc>
          <w:tcPr>
            <w:tcW w:w="6450" w:type="dxa"/>
            <w:tcBorders>
              <w:top w:val="single" w:sz="6" w:space="0" w:color="auto"/>
              <w:left w:val="single" w:sz="6" w:space="0" w:color="auto"/>
              <w:bottom w:val="single" w:sz="6" w:space="0" w:color="auto"/>
              <w:right w:val="single" w:sz="6" w:space="0" w:color="auto"/>
            </w:tcBorders>
          </w:tcPr>
          <w:p w14:paraId="21A6E7DA" w14:textId="1CF7BE6F" w:rsidR="146F07C5" w:rsidRDefault="146F07C5" w:rsidP="146F07C5">
            <w:pPr>
              <w:rPr>
                <w:rFonts w:ascii="Calibri" w:eastAsia="Calibri" w:hAnsi="Calibri" w:cs="Calibri"/>
              </w:rPr>
            </w:pPr>
            <w:r w:rsidRPr="146F07C5">
              <w:rPr>
                <w:rFonts w:ascii="Calibri" w:eastAsia="Calibri" w:hAnsi="Calibri" w:cs="Calibri"/>
              </w:rPr>
              <w:t>“Randomization followed a computer-generated number sequence and allocation was conducted by telephone.”   </w:t>
            </w:r>
          </w:p>
          <w:p w14:paraId="39E3E92C" w14:textId="3607CE7F" w:rsidR="146F07C5" w:rsidRDefault="146F07C5" w:rsidP="146F07C5">
            <w:pPr>
              <w:rPr>
                <w:rFonts w:ascii="Calibri" w:eastAsia="Calibri" w:hAnsi="Calibri" w:cs="Calibri"/>
              </w:rPr>
            </w:pPr>
            <w:r w:rsidRPr="146F07C5">
              <w:rPr>
                <w:rFonts w:ascii="Calibri" w:eastAsia="Calibri" w:hAnsi="Calibri" w:cs="Calibri"/>
              </w:rPr>
              <w:t> </w:t>
            </w:r>
          </w:p>
          <w:p w14:paraId="38B74C2D" w14:textId="3DA40249" w:rsidR="146F07C5" w:rsidRDefault="146F07C5" w:rsidP="146F07C5">
            <w:pPr>
              <w:rPr>
                <w:rFonts w:ascii="Calibri" w:eastAsia="Calibri" w:hAnsi="Calibri" w:cs="Calibri"/>
              </w:rPr>
            </w:pPr>
            <w:r w:rsidRPr="146F07C5">
              <w:rPr>
                <w:rFonts w:ascii="Calibri" w:eastAsia="Calibri" w:hAnsi="Calibri" w:cs="Calibri"/>
              </w:rPr>
              <w:t>“Another limitation is that we performed simple randomization instead of block randomization. This was apparent aat the time of the interim analysis and the final analysis after stopping the study. Block randomization would have achieved a more equal balance in the allocation of participants. In this study, 5 participants randomized to the usual care group received IV iron as part of their standard care. Although this may have influenced the results, the final analysis between groups would then represent a more conservative analysis of the effects of IV iron. This change in standard care of iron deficient patients further adds clarity to the decision for early termination.” </w:t>
            </w:r>
          </w:p>
        </w:tc>
      </w:tr>
      <w:tr w:rsidR="146F07C5" w14:paraId="50E72AAB" w14:textId="77777777" w:rsidTr="146F07C5">
        <w:tc>
          <w:tcPr>
            <w:tcW w:w="1380" w:type="dxa"/>
            <w:tcBorders>
              <w:top w:val="single" w:sz="6" w:space="0" w:color="auto"/>
              <w:left w:val="single" w:sz="6" w:space="0" w:color="auto"/>
              <w:bottom w:val="single" w:sz="6" w:space="0" w:color="auto"/>
              <w:right w:val="single" w:sz="6" w:space="0" w:color="auto"/>
            </w:tcBorders>
          </w:tcPr>
          <w:p w14:paraId="771C6323" w14:textId="3E93D96B" w:rsidR="146F07C5" w:rsidRDefault="146F07C5" w:rsidP="146F07C5">
            <w:pPr>
              <w:rPr>
                <w:rFonts w:ascii="Calibri" w:eastAsia="Calibri" w:hAnsi="Calibri" w:cs="Calibri"/>
              </w:rPr>
            </w:pPr>
            <w:r w:rsidRPr="146F07C5">
              <w:rPr>
                <w:rFonts w:ascii="Calibri" w:eastAsia="Calibri" w:hAnsi="Calibri" w:cs="Calibri"/>
              </w:rPr>
              <w:t>Allocation concealment (selection bias) </w:t>
            </w:r>
          </w:p>
        </w:tc>
        <w:tc>
          <w:tcPr>
            <w:tcW w:w="1500" w:type="dxa"/>
            <w:tcBorders>
              <w:top w:val="single" w:sz="6" w:space="0" w:color="auto"/>
              <w:left w:val="single" w:sz="6" w:space="0" w:color="auto"/>
              <w:bottom w:val="single" w:sz="6" w:space="0" w:color="auto"/>
              <w:right w:val="single" w:sz="6" w:space="0" w:color="auto"/>
            </w:tcBorders>
          </w:tcPr>
          <w:p w14:paraId="48D94B05" w14:textId="4A3F59DC" w:rsidR="146F07C5" w:rsidRDefault="146F07C5" w:rsidP="146F07C5">
            <w:pPr>
              <w:rPr>
                <w:rFonts w:ascii="Calibri" w:eastAsia="Calibri" w:hAnsi="Calibri" w:cs="Calibri"/>
              </w:rPr>
            </w:pPr>
            <w:r w:rsidRPr="146F07C5">
              <w:rPr>
                <w:rFonts w:ascii="Calibri" w:eastAsia="Calibri" w:hAnsi="Calibri" w:cs="Calibri"/>
              </w:rPr>
              <w:t>Low </w:t>
            </w:r>
          </w:p>
        </w:tc>
        <w:tc>
          <w:tcPr>
            <w:tcW w:w="6450" w:type="dxa"/>
            <w:tcBorders>
              <w:top w:val="single" w:sz="6" w:space="0" w:color="auto"/>
              <w:left w:val="single" w:sz="6" w:space="0" w:color="auto"/>
              <w:bottom w:val="single" w:sz="6" w:space="0" w:color="auto"/>
              <w:right w:val="single" w:sz="6" w:space="0" w:color="auto"/>
            </w:tcBorders>
          </w:tcPr>
          <w:p w14:paraId="072BA255" w14:textId="49E8D777" w:rsidR="146F07C5" w:rsidRDefault="146F07C5" w:rsidP="146F07C5">
            <w:pPr>
              <w:rPr>
                <w:rFonts w:ascii="Calibri" w:eastAsia="Calibri" w:hAnsi="Calibri" w:cs="Calibri"/>
              </w:rPr>
            </w:pPr>
            <w:r w:rsidRPr="146F07C5">
              <w:rPr>
                <w:rFonts w:ascii="Calibri" w:eastAsia="Calibri" w:hAnsi="Calibri" w:cs="Calibri"/>
              </w:rPr>
              <w:t>“The surgeon performing the operation was informed of patient participation in the study but group allocation was not revealed.” </w:t>
            </w:r>
          </w:p>
          <w:p w14:paraId="3B680FA0" w14:textId="60710380" w:rsidR="146F07C5" w:rsidRDefault="146F07C5" w:rsidP="146F07C5">
            <w:pPr>
              <w:rPr>
                <w:rFonts w:ascii="Calibri" w:eastAsia="Calibri" w:hAnsi="Calibri" w:cs="Calibri"/>
              </w:rPr>
            </w:pPr>
            <w:r w:rsidRPr="146F07C5">
              <w:rPr>
                <w:rFonts w:ascii="Calibri" w:eastAsia="Calibri" w:hAnsi="Calibri" w:cs="Calibri"/>
              </w:rPr>
              <w:t> </w:t>
            </w:r>
          </w:p>
          <w:p w14:paraId="4F1BEE3B" w14:textId="1B902022" w:rsidR="146F07C5" w:rsidRDefault="146F07C5" w:rsidP="146F07C5">
            <w:pPr>
              <w:rPr>
                <w:rFonts w:ascii="Calibri" w:eastAsia="Calibri" w:hAnsi="Calibri" w:cs="Calibri"/>
              </w:rPr>
            </w:pPr>
            <w:r w:rsidRPr="146F07C5">
              <w:rPr>
                <w:rFonts w:ascii="Calibri" w:eastAsia="Calibri" w:hAnsi="Calibri" w:cs="Calibri"/>
              </w:rPr>
              <w:t>“Computer random number generator to give you the random sequence and then put this sequence in consecutively numbered opaque sealed envelopes to ensure allocation concealment.” (Australian New Zealand Clinical Trials Registry [ACTRN12611000387921]) </w:t>
            </w:r>
          </w:p>
        </w:tc>
      </w:tr>
      <w:tr w:rsidR="146F07C5" w14:paraId="1E2CB151" w14:textId="77777777" w:rsidTr="146F07C5">
        <w:tc>
          <w:tcPr>
            <w:tcW w:w="1380" w:type="dxa"/>
            <w:tcBorders>
              <w:top w:val="single" w:sz="6" w:space="0" w:color="auto"/>
              <w:left w:val="single" w:sz="6" w:space="0" w:color="auto"/>
              <w:bottom w:val="single" w:sz="6" w:space="0" w:color="auto"/>
              <w:right w:val="single" w:sz="6" w:space="0" w:color="auto"/>
            </w:tcBorders>
          </w:tcPr>
          <w:p w14:paraId="085B25E2" w14:textId="4D4A1AFA" w:rsidR="146F07C5" w:rsidRDefault="146F07C5" w:rsidP="146F07C5">
            <w:pPr>
              <w:rPr>
                <w:rFonts w:ascii="Calibri" w:eastAsia="Calibri" w:hAnsi="Calibri" w:cs="Calibri"/>
              </w:rPr>
            </w:pPr>
            <w:r w:rsidRPr="146F07C5">
              <w:rPr>
                <w:rFonts w:ascii="Calibri" w:eastAsia="Calibri" w:hAnsi="Calibri" w:cs="Calibri"/>
              </w:rPr>
              <w:t>Blinding of participants and personnel (performance bias) </w:t>
            </w:r>
          </w:p>
        </w:tc>
        <w:tc>
          <w:tcPr>
            <w:tcW w:w="1500" w:type="dxa"/>
            <w:tcBorders>
              <w:top w:val="single" w:sz="6" w:space="0" w:color="auto"/>
              <w:left w:val="single" w:sz="6" w:space="0" w:color="auto"/>
              <w:bottom w:val="single" w:sz="6" w:space="0" w:color="auto"/>
              <w:right w:val="single" w:sz="6" w:space="0" w:color="auto"/>
            </w:tcBorders>
          </w:tcPr>
          <w:p w14:paraId="15FE144B" w14:textId="46662BA6" w:rsidR="146F07C5" w:rsidRDefault="146F07C5" w:rsidP="146F07C5">
            <w:pPr>
              <w:rPr>
                <w:rFonts w:ascii="Calibri" w:eastAsia="Calibri" w:hAnsi="Calibri" w:cs="Calibri"/>
              </w:rPr>
            </w:pPr>
            <w:r w:rsidRPr="146F07C5">
              <w:rPr>
                <w:rFonts w:ascii="Calibri" w:eastAsia="Calibri" w:hAnsi="Calibri" w:cs="Calibri"/>
              </w:rPr>
              <w:t>High </w:t>
            </w:r>
          </w:p>
        </w:tc>
        <w:tc>
          <w:tcPr>
            <w:tcW w:w="6450" w:type="dxa"/>
            <w:tcBorders>
              <w:top w:val="single" w:sz="6" w:space="0" w:color="auto"/>
              <w:left w:val="single" w:sz="6" w:space="0" w:color="auto"/>
              <w:bottom w:val="single" w:sz="6" w:space="0" w:color="auto"/>
              <w:right w:val="single" w:sz="6" w:space="0" w:color="auto"/>
            </w:tcBorders>
          </w:tcPr>
          <w:p w14:paraId="2819CB09" w14:textId="28DC21DB" w:rsidR="146F07C5" w:rsidRDefault="146F07C5" w:rsidP="146F07C5">
            <w:pPr>
              <w:rPr>
                <w:rFonts w:ascii="Calibri" w:eastAsia="Calibri" w:hAnsi="Calibri" w:cs="Calibri"/>
              </w:rPr>
            </w:pPr>
            <w:r w:rsidRPr="146F07C5">
              <w:rPr>
                <w:rFonts w:ascii="Calibri" w:eastAsia="Calibri" w:hAnsi="Calibri" w:cs="Calibri"/>
              </w:rPr>
              <w:t>Open (masking not used) (Australia New Zealand Clinical Trial Registry [ACTRN12611000387921]) </w:t>
            </w:r>
          </w:p>
        </w:tc>
      </w:tr>
      <w:tr w:rsidR="146F07C5" w14:paraId="08D39E35" w14:textId="77777777" w:rsidTr="146F07C5">
        <w:tc>
          <w:tcPr>
            <w:tcW w:w="1380" w:type="dxa"/>
            <w:tcBorders>
              <w:top w:val="single" w:sz="6" w:space="0" w:color="auto"/>
              <w:left w:val="single" w:sz="6" w:space="0" w:color="auto"/>
              <w:bottom w:val="single" w:sz="6" w:space="0" w:color="auto"/>
              <w:right w:val="single" w:sz="6" w:space="0" w:color="auto"/>
            </w:tcBorders>
          </w:tcPr>
          <w:p w14:paraId="181AB691" w14:textId="15F64C7D" w:rsidR="146F07C5" w:rsidRDefault="146F07C5" w:rsidP="146F07C5">
            <w:pPr>
              <w:rPr>
                <w:rFonts w:ascii="Calibri" w:eastAsia="Calibri" w:hAnsi="Calibri" w:cs="Calibri"/>
              </w:rPr>
            </w:pPr>
            <w:r w:rsidRPr="146F07C5">
              <w:rPr>
                <w:rFonts w:ascii="Calibri" w:eastAsia="Calibri" w:hAnsi="Calibri" w:cs="Calibri"/>
              </w:rPr>
              <w:t>Blinding of outcome assessment (detection bias) </w:t>
            </w:r>
          </w:p>
        </w:tc>
        <w:tc>
          <w:tcPr>
            <w:tcW w:w="1500" w:type="dxa"/>
            <w:tcBorders>
              <w:top w:val="single" w:sz="6" w:space="0" w:color="auto"/>
              <w:left w:val="single" w:sz="6" w:space="0" w:color="auto"/>
              <w:bottom w:val="single" w:sz="6" w:space="0" w:color="auto"/>
              <w:right w:val="single" w:sz="6" w:space="0" w:color="auto"/>
            </w:tcBorders>
          </w:tcPr>
          <w:p w14:paraId="60E3492D" w14:textId="7B572468" w:rsidR="146F07C5" w:rsidRDefault="146F07C5" w:rsidP="146F07C5">
            <w:pPr>
              <w:rPr>
                <w:rFonts w:ascii="Calibri" w:eastAsia="Calibri" w:hAnsi="Calibri" w:cs="Calibri"/>
              </w:rPr>
            </w:pPr>
            <w:r w:rsidRPr="146F07C5">
              <w:rPr>
                <w:rFonts w:ascii="Calibri" w:eastAsia="Calibri" w:hAnsi="Calibri" w:cs="Calibri"/>
              </w:rPr>
              <w:t>High </w:t>
            </w:r>
          </w:p>
        </w:tc>
        <w:tc>
          <w:tcPr>
            <w:tcW w:w="6450" w:type="dxa"/>
            <w:tcBorders>
              <w:top w:val="single" w:sz="6" w:space="0" w:color="auto"/>
              <w:left w:val="single" w:sz="6" w:space="0" w:color="auto"/>
              <w:bottom w:val="single" w:sz="6" w:space="0" w:color="auto"/>
              <w:right w:val="single" w:sz="6" w:space="0" w:color="auto"/>
            </w:tcBorders>
          </w:tcPr>
          <w:p w14:paraId="0C69187C" w14:textId="1977B55A" w:rsidR="146F07C5" w:rsidRDefault="146F07C5" w:rsidP="146F07C5">
            <w:pPr>
              <w:rPr>
                <w:rFonts w:ascii="Calibri" w:eastAsia="Calibri" w:hAnsi="Calibri" w:cs="Calibri"/>
              </w:rPr>
            </w:pPr>
            <w:r w:rsidRPr="146F07C5">
              <w:rPr>
                <w:rFonts w:ascii="Calibri" w:eastAsia="Calibri" w:hAnsi="Calibri" w:cs="Calibri"/>
              </w:rPr>
              <w:t>Open (masking not used) (Australia New Zealand Clinical Trial Registry [ACTRN12611000387921]) </w:t>
            </w:r>
          </w:p>
        </w:tc>
      </w:tr>
      <w:tr w:rsidR="146F07C5" w14:paraId="1564A076" w14:textId="77777777" w:rsidTr="146F07C5">
        <w:tc>
          <w:tcPr>
            <w:tcW w:w="1380" w:type="dxa"/>
            <w:tcBorders>
              <w:top w:val="single" w:sz="6" w:space="0" w:color="auto"/>
              <w:left w:val="single" w:sz="6" w:space="0" w:color="auto"/>
              <w:bottom w:val="single" w:sz="6" w:space="0" w:color="auto"/>
              <w:right w:val="single" w:sz="6" w:space="0" w:color="auto"/>
            </w:tcBorders>
          </w:tcPr>
          <w:p w14:paraId="4B33AFEC" w14:textId="108924BE" w:rsidR="146F07C5" w:rsidRDefault="146F07C5" w:rsidP="146F07C5">
            <w:pPr>
              <w:rPr>
                <w:rFonts w:ascii="Calibri" w:eastAsia="Calibri" w:hAnsi="Calibri" w:cs="Calibri"/>
              </w:rPr>
            </w:pPr>
            <w:r w:rsidRPr="146F07C5">
              <w:rPr>
                <w:rFonts w:ascii="Calibri" w:eastAsia="Calibri" w:hAnsi="Calibri" w:cs="Calibri"/>
              </w:rPr>
              <w:t>Incomplete outcome data (attrition bias) </w:t>
            </w:r>
          </w:p>
        </w:tc>
        <w:tc>
          <w:tcPr>
            <w:tcW w:w="1500" w:type="dxa"/>
            <w:tcBorders>
              <w:top w:val="single" w:sz="6" w:space="0" w:color="auto"/>
              <w:left w:val="single" w:sz="6" w:space="0" w:color="auto"/>
              <w:bottom w:val="single" w:sz="6" w:space="0" w:color="auto"/>
              <w:right w:val="single" w:sz="6" w:space="0" w:color="auto"/>
            </w:tcBorders>
          </w:tcPr>
          <w:p w14:paraId="011F4858" w14:textId="6AD5D8FC" w:rsidR="146F07C5" w:rsidRDefault="146F07C5" w:rsidP="146F07C5">
            <w:pPr>
              <w:rPr>
                <w:rFonts w:ascii="Calibri" w:eastAsia="Calibri" w:hAnsi="Calibri" w:cs="Calibri"/>
              </w:rPr>
            </w:pPr>
            <w:r w:rsidRPr="146F07C5">
              <w:rPr>
                <w:rFonts w:ascii="Calibri" w:eastAsia="Calibri" w:hAnsi="Calibri" w:cs="Calibri"/>
              </w:rPr>
              <w:t>Low </w:t>
            </w:r>
          </w:p>
        </w:tc>
        <w:tc>
          <w:tcPr>
            <w:tcW w:w="6450" w:type="dxa"/>
            <w:tcBorders>
              <w:top w:val="single" w:sz="6" w:space="0" w:color="auto"/>
              <w:left w:val="single" w:sz="6" w:space="0" w:color="auto"/>
              <w:bottom w:val="single" w:sz="6" w:space="0" w:color="auto"/>
              <w:right w:val="single" w:sz="6" w:space="0" w:color="auto"/>
            </w:tcBorders>
          </w:tcPr>
          <w:p w14:paraId="52B0082B" w14:textId="405352BF" w:rsidR="146F07C5" w:rsidRDefault="146F07C5" w:rsidP="146F07C5">
            <w:pPr>
              <w:rPr>
                <w:rFonts w:ascii="Calibri" w:eastAsia="Calibri" w:hAnsi="Calibri" w:cs="Calibri"/>
              </w:rPr>
            </w:pPr>
            <w:r w:rsidRPr="146F07C5">
              <w:rPr>
                <w:rFonts w:ascii="Calibri" w:eastAsia="Calibri" w:hAnsi="Calibri" w:cs="Calibri"/>
              </w:rPr>
              <w:t xml:space="preserve">“An early interim data analysis was requested following concerns raised by the clinical investigator team after high rates of RBC transfusion, considered to be an independent risk factor for adverse clinical outcomes, noted after the 4-week follow-up in a subset of patients. This was performed by an independent statistician on the interim data-monitoring committee with the data blinded (intervention group n=32, usual care group n=26). The results of the </w:t>
            </w:r>
            <w:r w:rsidRPr="146F07C5">
              <w:rPr>
                <w:rFonts w:ascii="Calibri" w:eastAsia="Calibri" w:hAnsi="Calibri" w:cs="Calibri"/>
              </w:rPr>
              <w:lastRenderedPageBreak/>
              <w:t>interim analysis were forwarded to 2 independent experts in the field to assess safety concerns. Enrolment continued while waiting for a response. There was disagreement among the assessors, and a third independent expert opinion was sought. Based on advice from 2 of the 3 independent experts, the study was terminated early due to higher than expected rates of poor outcome in the usual care group.” </w:t>
            </w:r>
          </w:p>
        </w:tc>
      </w:tr>
      <w:tr w:rsidR="146F07C5" w14:paraId="2B19E0C9" w14:textId="77777777" w:rsidTr="146F07C5">
        <w:tc>
          <w:tcPr>
            <w:tcW w:w="1380" w:type="dxa"/>
            <w:tcBorders>
              <w:top w:val="single" w:sz="6" w:space="0" w:color="auto"/>
              <w:left w:val="single" w:sz="6" w:space="0" w:color="auto"/>
              <w:bottom w:val="single" w:sz="6" w:space="0" w:color="auto"/>
              <w:right w:val="single" w:sz="6" w:space="0" w:color="auto"/>
            </w:tcBorders>
          </w:tcPr>
          <w:p w14:paraId="53348F01" w14:textId="72A2850E" w:rsidR="146F07C5" w:rsidRDefault="146F07C5" w:rsidP="146F07C5">
            <w:pPr>
              <w:rPr>
                <w:rFonts w:ascii="Calibri" w:eastAsia="Calibri" w:hAnsi="Calibri" w:cs="Calibri"/>
              </w:rPr>
            </w:pPr>
            <w:r w:rsidRPr="146F07C5">
              <w:rPr>
                <w:rFonts w:ascii="Calibri" w:eastAsia="Calibri" w:hAnsi="Calibri" w:cs="Calibri"/>
              </w:rPr>
              <w:lastRenderedPageBreak/>
              <w:t>Selective reporting (reporting bias) </w:t>
            </w:r>
          </w:p>
        </w:tc>
        <w:tc>
          <w:tcPr>
            <w:tcW w:w="1500" w:type="dxa"/>
            <w:tcBorders>
              <w:top w:val="single" w:sz="6" w:space="0" w:color="auto"/>
              <w:left w:val="single" w:sz="6" w:space="0" w:color="auto"/>
              <w:bottom w:val="single" w:sz="6" w:space="0" w:color="auto"/>
              <w:right w:val="single" w:sz="6" w:space="0" w:color="auto"/>
            </w:tcBorders>
          </w:tcPr>
          <w:p w14:paraId="036A6864" w14:textId="031162AE" w:rsidR="146F07C5" w:rsidRDefault="146F07C5" w:rsidP="146F07C5">
            <w:pPr>
              <w:rPr>
                <w:rFonts w:ascii="Calibri" w:eastAsia="Calibri" w:hAnsi="Calibri" w:cs="Calibri"/>
              </w:rPr>
            </w:pPr>
            <w:r w:rsidRPr="146F07C5">
              <w:rPr>
                <w:rFonts w:ascii="Calibri" w:eastAsia="Calibri" w:hAnsi="Calibri" w:cs="Calibri"/>
              </w:rPr>
              <w:t>Low </w:t>
            </w:r>
          </w:p>
        </w:tc>
        <w:tc>
          <w:tcPr>
            <w:tcW w:w="6450" w:type="dxa"/>
            <w:tcBorders>
              <w:top w:val="single" w:sz="6" w:space="0" w:color="auto"/>
              <w:left w:val="single" w:sz="6" w:space="0" w:color="auto"/>
              <w:bottom w:val="single" w:sz="6" w:space="0" w:color="auto"/>
              <w:right w:val="single" w:sz="6" w:space="0" w:color="auto"/>
            </w:tcBorders>
          </w:tcPr>
          <w:p w14:paraId="43389F38" w14:textId="6E1F0FEF" w:rsidR="146F07C5" w:rsidRDefault="146F07C5" w:rsidP="146F07C5">
            <w:pPr>
              <w:rPr>
                <w:rFonts w:ascii="Calibri" w:eastAsia="Calibri" w:hAnsi="Calibri" w:cs="Calibri"/>
              </w:rPr>
            </w:pPr>
            <w:r w:rsidRPr="146F07C5">
              <w:rPr>
                <w:rFonts w:ascii="Calibri" w:eastAsia="Calibri" w:hAnsi="Calibri" w:cs="Calibri"/>
              </w:rPr>
              <w:t>Intention-to-treat analysis. All outcomes reported. </w:t>
            </w:r>
          </w:p>
        </w:tc>
      </w:tr>
      <w:tr w:rsidR="146F07C5" w14:paraId="0BCB4DBD" w14:textId="77777777" w:rsidTr="146F07C5">
        <w:tc>
          <w:tcPr>
            <w:tcW w:w="1380" w:type="dxa"/>
            <w:tcBorders>
              <w:top w:val="outset" w:sz="18" w:space="0" w:color="auto"/>
              <w:left w:val="outset" w:sz="18" w:space="0" w:color="auto"/>
              <w:bottom w:val="outset" w:sz="18" w:space="0" w:color="auto"/>
              <w:right w:val="outset" w:sz="18" w:space="0" w:color="auto"/>
            </w:tcBorders>
          </w:tcPr>
          <w:p w14:paraId="675BDDAF" w14:textId="37B64729" w:rsidR="146F07C5" w:rsidRDefault="146F07C5" w:rsidP="146F07C5">
            <w:pPr>
              <w:rPr>
                <w:rFonts w:ascii="Calibri" w:eastAsia="Calibri" w:hAnsi="Calibri" w:cs="Calibri"/>
              </w:rPr>
            </w:pPr>
            <w:r w:rsidRPr="146F07C5">
              <w:rPr>
                <w:rFonts w:ascii="Calibri" w:eastAsia="Calibri" w:hAnsi="Calibri" w:cs="Calibri"/>
              </w:rPr>
              <w:t>Other bias </w:t>
            </w:r>
          </w:p>
        </w:tc>
        <w:tc>
          <w:tcPr>
            <w:tcW w:w="1500" w:type="dxa"/>
            <w:tcBorders>
              <w:top w:val="single" w:sz="6" w:space="0" w:color="auto"/>
              <w:left w:val="outset" w:sz="18" w:space="0" w:color="auto"/>
              <w:bottom w:val="single" w:sz="6" w:space="0" w:color="auto"/>
              <w:right w:val="single" w:sz="6" w:space="0" w:color="auto"/>
            </w:tcBorders>
          </w:tcPr>
          <w:p w14:paraId="0F57B3F0" w14:textId="1D9C8CF2" w:rsidR="146F07C5" w:rsidRDefault="146F07C5" w:rsidP="146F07C5">
            <w:pPr>
              <w:rPr>
                <w:rFonts w:ascii="Calibri" w:eastAsia="Calibri" w:hAnsi="Calibri" w:cs="Calibri"/>
              </w:rPr>
            </w:pPr>
            <w:r w:rsidRPr="146F07C5">
              <w:rPr>
                <w:rFonts w:ascii="Calibri" w:eastAsia="Calibri" w:hAnsi="Calibri" w:cs="Calibri"/>
              </w:rPr>
              <w:t> unclear</w:t>
            </w:r>
          </w:p>
        </w:tc>
        <w:tc>
          <w:tcPr>
            <w:tcW w:w="6450" w:type="dxa"/>
            <w:tcBorders>
              <w:top w:val="single" w:sz="6" w:space="0" w:color="auto"/>
              <w:left w:val="single" w:sz="6" w:space="0" w:color="auto"/>
              <w:bottom w:val="single" w:sz="6" w:space="0" w:color="auto"/>
              <w:right w:val="single" w:sz="6" w:space="0" w:color="auto"/>
            </w:tcBorders>
          </w:tcPr>
          <w:p w14:paraId="601F2792" w14:textId="6D565B45" w:rsidR="146F07C5" w:rsidRDefault="146F07C5" w:rsidP="146F07C5">
            <w:pPr>
              <w:rPr>
                <w:rFonts w:ascii="Calibri" w:eastAsia="Calibri" w:hAnsi="Calibri" w:cs="Calibri"/>
              </w:rPr>
            </w:pPr>
            <w:r w:rsidRPr="146F07C5">
              <w:rPr>
                <w:rFonts w:ascii="Calibri" w:eastAsia="Calibri" w:hAnsi="Calibri" w:cs="Calibri"/>
              </w:rPr>
              <w:t>“Despite sometimes longstanding and previously diagnosed IDA, only 3 patients in our entire cohort had been prescribed oral iron replacement therapy within the 6 weeks before surgery. Only 1 patient in the usual care group was treated with IV iron pre- and postoperatively, and 4 received IV iron while in hospital. IV iron was not considered usual care, at the time of study commencement, nonetheless was not prohibited.” </w:t>
            </w:r>
          </w:p>
        </w:tc>
      </w:tr>
    </w:tbl>
    <w:p w14:paraId="4F859B7E" w14:textId="533AFFB4" w:rsidR="3C2ECE16" w:rsidRDefault="6CF2E31F" w:rsidP="146F07C5">
      <w:pPr>
        <w:rPr>
          <w:rFonts w:ascii="Calibri" w:eastAsia="Calibri" w:hAnsi="Calibri" w:cs="Calibri"/>
        </w:rPr>
      </w:pPr>
      <w:r w:rsidRPr="146F07C5">
        <w:rPr>
          <w:rFonts w:ascii="Calibri" w:eastAsia="Calibri" w:hAnsi="Calibri" w:cs="Calibri"/>
        </w:rPr>
        <w:t>Page Break </w:t>
      </w:r>
    </w:p>
    <w:tbl>
      <w:tblPr>
        <w:tblW w:w="0" w:type="auto"/>
        <w:tblLayout w:type="fixed"/>
        <w:tblLook w:val="04A0" w:firstRow="1" w:lastRow="0" w:firstColumn="1" w:lastColumn="0" w:noHBand="0" w:noVBand="1"/>
      </w:tblPr>
      <w:tblGrid>
        <w:gridCol w:w="1410"/>
        <w:gridCol w:w="1680"/>
        <w:gridCol w:w="6240"/>
      </w:tblGrid>
      <w:tr w:rsidR="146F07C5" w14:paraId="6BB9A7AD" w14:textId="77777777" w:rsidTr="146F07C5">
        <w:trPr>
          <w:trHeight w:val="525"/>
        </w:trPr>
        <w:tc>
          <w:tcPr>
            <w:tcW w:w="9330" w:type="dxa"/>
            <w:gridSpan w:val="3"/>
            <w:tcBorders>
              <w:top w:val="outset" w:sz="18" w:space="0" w:color="auto"/>
              <w:left w:val="outset" w:sz="18" w:space="0" w:color="auto"/>
              <w:bottom w:val="outset" w:sz="18" w:space="0" w:color="auto"/>
              <w:right w:val="outset" w:sz="18" w:space="0" w:color="auto"/>
            </w:tcBorders>
            <w:shd w:val="clear" w:color="auto" w:fill="D9D9D9" w:themeFill="background1" w:themeFillShade="D9"/>
          </w:tcPr>
          <w:p w14:paraId="04A56268" w14:textId="7C240BF0" w:rsidR="146F07C5" w:rsidRDefault="146F07C5" w:rsidP="146F07C5">
            <w:pPr>
              <w:rPr>
                <w:rFonts w:ascii="Calibri" w:eastAsia="Calibri" w:hAnsi="Calibri" w:cs="Calibri"/>
                <w:sz w:val="17"/>
                <w:szCs w:val="17"/>
              </w:rPr>
            </w:pPr>
            <w:r w:rsidRPr="146F07C5">
              <w:rPr>
                <w:rFonts w:ascii="Calibri" w:eastAsia="Calibri" w:hAnsi="Calibri" w:cs="Calibri"/>
              </w:rPr>
              <w:t>Keeler BD, Simpson JA, Ng O, Padmanabhan H, Brookes MJ, Acheson AG. Randomized clinical trial of preoperative oral versus intravenous iron in anaemic patients with colorectal cancer. Br J Surg. 2017;104(3):214-221</w:t>
            </w:r>
            <w:r w:rsidRPr="146F07C5">
              <w:rPr>
                <w:rFonts w:ascii="Calibri" w:eastAsia="Calibri" w:hAnsi="Calibri" w:cs="Calibri"/>
                <w:color w:val="D13438"/>
              </w:rPr>
              <w:t>.</w:t>
            </w:r>
            <w:r w:rsidRPr="146F07C5">
              <w:rPr>
                <w:rFonts w:ascii="Calibri" w:eastAsia="Calibri" w:hAnsi="Calibri" w:cs="Calibri"/>
                <w:vertAlign w:val="superscript"/>
              </w:rPr>
              <w:t>5 </w:t>
            </w:r>
          </w:p>
        </w:tc>
      </w:tr>
      <w:tr w:rsidR="146F07C5" w14:paraId="1D2DDE43" w14:textId="77777777" w:rsidTr="146F07C5">
        <w:tc>
          <w:tcPr>
            <w:tcW w:w="1410" w:type="dxa"/>
            <w:tcBorders>
              <w:top w:val="outset" w:sz="18" w:space="0" w:color="auto"/>
              <w:left w:val="single" w:sz="6" w:space="0" w:color="auto"/>
              <w:bottom w:val="single" w:sz="6" w:space="0" w:color="auto"/>
              <w:right w:val="single" w:sz="6" w:space="0" w:color="auto"/>
            </w:tcBorders>
            <w:vAlign w:val="bottom"/>
          </w:tcPr>
          <w:p w14:paraId="4E35CEDD" w14:textId="36D7FF68" w:rsidR="146F07C5" w:rsidRDefault="146F07C5" w:rsidP="146F07C5">
            <w:pPr>
              <w:rPr>
                <w:rFonts w:ascii="Calibri" w:eastAsia="Calibri" w:hAnsi="Calibri" w:cs="Calibri"/>
              </w:rPr>
            </w:pPr>
            <w:r w:rsidRPr="146F07C5">
              <w:rPr>
                <w:rFonts w:ascii="Calibri" w:eastAsia="Calibri" w:hAnsi="Calibri" w:cs="Calibri"/>
              </w:rPr>
              <w:t>Bias </w:t>
            </w:r>
          </w:p>
        </w:tc>
        <w:tc>
          <w:tcPr>
            <w:tcW w:w="1680" w:type="dxa"/>
            <w:tcBorders>
              <w:top w:val="nil"/>
              <w:left w:val="single" w:sz="6" w:space="0" w:color="auto"/>
              <w:bottom w:val="single" w:sz="6" w:space="0" w:color="auto"/>
              <w:right w:val="single" w:sz="6" w:space="0" w:color="auto"/>
            </w:tcBorders>
            <w:vAlign w:val="bottom"/>
          </w:tcPr>
          <w:p w14:paraId="3465461D" w14:textId="7D5D797B" w:rsidR="146F07C5" w:rsidRDefault="146F07C5" w:rsidP="146F07C5">
            <w:pPr>
              <w:rPr>
                <w:rFonts w:ascii="Calibri" w:eastAsia="Calibri" w:hAnsi="Calibri" w:cs="Calibri"/>
              </w:rPr>
            </w:pPr>
            <w:r w:rsidRPr="146F07C5">
              <w:rPr>
                <w:rFonts w:ascii="Calibri" w:eastAsia="Calibri" w:hAnsi="Calibri" w:cs="Calibri"/>
              </w:rPr>
              <w:t>Authors’ judgment (low, unclear, high) </w:t>
            </w:r>
          </w:p>
        </w:tc>
        <w:tc>
          <w:tcPr>
            <w:tcW w:w="6240" w:type="dxa"/>
            <w:tcBorders>
              <w:top w:val="nil"/>
              <w:left w:val="single" w:sz="6" w:space="0" w:color="auto"/>
              <w:bottom w:val="single" w:sz="6" w:space="0" w:color="auto"/>
              <w:right w:val="single" w:sz="6" w:space="0" w:color="auto"/>
            </w:tcBorders>
            <w:vAlign w:val="bottom"/>
          </w:tcPr>
          <w:p w14:paraId="106E1A11" w14:textId="60960CAE" w:rsidR="146F07C5" w:rsidRDefault="146F07C5" w:rsidP="146F07C5">
            <w:pPr>
              <w:rPr>
                <w:rFonts w:ascii="Calibri" w:eastAsia="Calibri" w:hAnsi="Calibri" w:cs="Calibri"/>
              </w:rPr>
            </w:pPr>
            <w:r w:rsidRPr="146F07C5">
              <w:rPr>
                <w:rFonts w:ascii="Calibri" w:eastAsia="Calibri" w:hAnsi="Calibri" w:cs="Calibri"/>
              </w:rPr>
              <w:t>Support for judgment </w:t>
            </w:r>
          </w:p>
        </w:tc>
      </w:tr>
      <w:tr w:rsidR="146F07C5" w14:paraId="2C5BB02B" w14:textId="77777777" w:rsidTr="146F07C5">
        <w:tc>
          <w:tcPr>
            <w:tcW w:w="1410" w:type="dxa"/>
            <w:tcBorders>
              <w:top w:val="single" w:sz="6" w:space="0" w:color="auto"/>
              <w:left w:val="single" w:sz="6" w:space="0" w:color="auto"/>
              <w:bottom w:val="single" w:sz="6" w:space="0" w:color="auto"/>
              <w:right w:val="single" w:sz="6" w:space="0" w:color="auto"/>
            </w:tcBorders>
          </w:tcPr>
          <w:p w14:paraId="38425D09" w14:textId="69A8E58C" w:rsidR="146F07C5" w:rsidRDefault="146F07C5" w:rsidP="146F07C5">
            <w:pPr>
              <w:rPr>
                <w:rFonts w:ascii="Calibri" w:eastAsia="Calibri" w:hAnsi="Calibri" w:cs="Calibri"/>
              </w:rPr>
            </w:pPr>
            <w:r w:rsidRPr="146F07C5">
              <w:rPr>
                <w:rFonts w:ascii="Calibri" w:eastAsia="Calibri" w:hAnsi="Calibri" w:cs="Calibri"/>
              </w:rPr>
              <w:t>Random sequence generation (selection bias) </w:t>
            </w:r>
          </w:p>
        </w:tc>
        <w:tc>
          <w:tcPr>
            <w:tcW w:w="1680" w:type="dxa"/>
            <w:tcBorders>
              <w:top w:val="single" w:sz="6" w:space="0" w:color="auto"/>
              <w:left w:val="single" w:sz="6" w:space="0" w:color="auto"/>
              <w:bottom w:val="single" w:sz="6" w:space="0" w:color="auto"/>
              <w:right w:val="single" w:sz="6" w:space="0" w:color="auto"/>
            </w:tcBorders>
          </w:tcPr>
          <w:p w14:paraId="6191CB58" w14:textId="0E8DC37C" w:rsidR="146F07C5" w:rsidRDefault="146F07C5" w:rsidP="146F07C5">
            <w:pPr>
              <w:rPr>
                <w:rFonts w:ascii="Calibri" w:eastAsia="Calibri" w:hAnsi="Calibri" w:cs="Calibri"/>
              </w:rPr>
            </w:pPr>
            <w:r w:rsidRPr="146F07C5">
              <w:rPr>
                <w:rFonts w:ascii="Calibri" w:eastAsia="Calibri" w:hAnsi="Calibri" w:cs="Calibri"/>
              </w:rPr>
              <w:t>Low </w:t>
            </w:r>
          </w:p>
        </w:tc>
        <w:tc>
          <w:tcPr>
            <w:tcW w:w="6240" w:type="dxa"/>
            <w:tcBorders>
              <w:top w:val="single" w:sz="6" w:space="0" w:color="auto"/>
              <w:left w:val="single" w:sz="6" w:space="0" w:color="auto"/>
              <w:bottom w:val="single" w:sz="6" w:space="0" w:color="auto"/>
              <w:right w:val="single" w:sz="6" w:space="0" w:color="auto"/>
            </w:tcBorders>
          </w:tcPr>
          <w:p w14:paraId="103BCB9A" w14:textId="18F4E2EB" w:rsidR="146F07C5" w:rsidRDefault="146F07C5" w:rsidP="146F07C5">
            <w:pPr>
              <w:rPr>
                <w:rFonts w:ascii="Calibri" w:eastAsia="Calibri" w:hAnsi="Calibri" w:cs="Calibri"/>
              </w:rPr>
            </w:pPr>
            <w:r w:rsidRPr="146F07C5">
              <w:rPr>
                <w:rFonts w:ascii="Calibri" w:eastAsia="Calibri" w:hAnsi="Calibri" w:cs="Calibri"/>
              </w:rPr>
              <w:t>“Recruited patients were randomized in a 1:1 fashion via a web-based system using variable block allocation, stratified by patient sex and age.” </w:t>
            </w:r>
          </w:p>
        </w:tc>
      </w:tr>
      <w:tr w:rsidR="146F07C5" w14:paraId="40E371DA" w14:textId="77777777" w:rsidTr="146F07C5">
        <w:tc>
          <w:tcPr>
            <w:tcW w:w="1410" w:type="dxa"/>
            <w:tcBorders>
              <w:top w:val="single" w:sz="6" w:space="0" w:color="auto"/>
              <w:left w:val="single" w:sz="6" w:space="0" w:color="auto"/>
              <w:bottom w:val="single" w:sz="6" w:space="0" w:color="auto"/>
              <w:right w:val="single" w:sz="6" w:space="0" w:color="auto"/>
            </w:tcBorders>
          </w:tcPr>
          <w:p w14:paraId="6F480C27" w14:textId="4872D9B0" w:rsidR="146F07C5" w:rsidRDefault="146F07C5" w:rsidP="146F07C5">
            <w:pPr>
              <w:rPr>
                <w:rFonts w:ascii="Calibri" w:eastAsia="Calibri" w:hAnsi="Calibri" w:cs="Calibri"/>
              </w:rPr>
            </w:pPr>
            <w:r w:rsidRPr="146F07C5">
              <w:rPr>
                <w:rFonts w:ascii="Calibri" w:eastAsia="Calibri" w:hAnsi="Calibri" w:cs="Calibri"/>
              </w:rPr>
              <w:t>Allocation concealment (selection bias) </w:t>
            </w:r>
          </w:p>
        </w:tc>
        <w:tc>
          <w:tcPr>
            <w:tcW w:w="1680" w:type="dxa"/>
            <w:tcBorders>
              <w:top w:val="single" w:sz="6" w:space="0" w:color="auto"/>
              <w:left w:val="single" w:sz="6" w:space="0" w:color="auto"/>
              <w:bottom w:val="single" w:sz="6" w:space="0" w:color="auto"/>
              <w:right w:val="single" w:sz="6" w:space="0" w:color="auto"/>
            </w:tcBorders>
          </w:tcPr>
          <w:p w14:paraId="209889A8" w14:textId="7B0C5B41" w:rsidR="146F07C5" w:rsidRDefault="146F07C5" w:rsidP="146F07C5">
            <w:pPr>
              <w:rPr>
                <w:rFonts w:ascii="Calibri" w:eastAsia="Calibri" w:hAnsi="Calibri" w:cs="Calibri"/>
              </w:rPr>
            </w:pPr>
            <w:r w:rsidRPr="146F07C5">
              <w:rPr>
                <w:rFonts w:ascii="Calibri" w:eastAsia="Calibri" w:hAnsi="Calibri" w:cs="Calibri"/>
              </w:rPr>
              <w:t>Unclear </w:t>
            </w:r>
          </w:p>
        </w:tc>
        <w:tc>
          <w:tcPr>
            <w:tcW w:w="6240" w:type="dxa"/>
            <w:tcBorders>
              <w:top w:val="single" w:sz="6" w:space="0" w:color="auto"/>
              <w:left w:val="single" w:sz="6" w:space="0" w:color="auto"/>
              <w:bottom w:val="single" w:sz="6" w:space="0" w:color="auto"/>
              <w:right w:val="single" w:sz="6" w:space="0" w:color="auto"/>
            </w:tcBorders>
          </w:tcPr>
          <w:p w14:paraId="44F8068E" w14:textId="729FAAE9" w:rsidR="146F07C5" w:rsidRDefault="146F07C5" w:rsidP="146F07C5">
            <w:pPr>
              <w:rPr>
                <w:rFonts w:ascii="Calibri" w:eastAsia="Calibri" w:hAnsi="Calibri" w:cs="Calibri"/>
              </w:rPr>
            </w:pPr>
            <w:r w:rsidRPr="146F07C5">
              <w:rPr>
                <w:rFonts w:ascii="Calibri" w:eastAsia="Calibri" w:hAnsi="Calibri" w:cs="Calibri"/>
              </w:rPr>
              <w:t>“The system was designed, set up and run by a unit independent of the study (Clinical Trials Unit, University of Nottingham).” </w:t>
            </w:r>
          </w:p>
        </w:tc>
      </w:tr>
      <w:tr w:rsidR="146F07C5" w14:paraId="4CB46366" w14:textId="77777777" w:rsidTr="146F07C5">
        <w:tc>
          <w:tcPr>
            <w:tcW w:w="1410" w:type="dxa"/>
            <w:tcBorders>
              <w:top w:val="single" w:sz="6" w:space="0" w:color="auto"/>
              <w:left w:val="single" w:sz="6" w:space="0" w:color="auto"/>
              <w:bottom w:val="single" w:sz="6" w:space="0" w:color="auto"/>
              <w:right w:val="single" w:sz="6" w:space="0" w:color="auto"/>
            </w:tcBorders>
          </w:tcPr>
          <w:p w14:paraId="574D9000" w14:textId="492F4B59" w:rsidR="146F07C5" w:rsidRDefault="146F07C5" w:rsidP="146F07C5">
            <w:pPr>
              <w:rPr>
                <w:rFonts w:ascii="Calibri" w:eastAsia="Calibri" w:hAnsi="Calibri" w:cs="Calibri"/>
              </w:rPr>
            </w:pPr>
            <w:r w:rsidRPr="146F07C5">
              <w:rPr>
                <w:rFonts w:ascii="Calibri" w:eastAsia="Calibri" w:hAnsi="Calibri" w:cs="Calibri"/>
              </w:rPr>
              <w:t>Blinding of participants and personnel (performanc</w:t>
            </w:r>
            <w:r w:rsidRPr="146F07C5">
              <w:rPr>
                <w:rFonts w:ascii="Calibri" w:eastAsia="Calibri" w:hAnsi="Calibri" w:cs="Calibri"/>
              </w:rPr>
              <w:lastRenderedPageBreak/>
              <w:t>e bias) </w:t>
            </w:r>
          </w:p>
        </w:tc>
        <w:tc>
          <w:tcPr>
            <w:tcW w:w="1680" w:type="dxa"/>
            <w:tcBorders>
              <w:top w:val="single" w:sz="6" w:space="0" w:color="auto"/>
              <w:left w:val="single" w:sz="6" w:space="0" w:color="auto"/>
              <w:bottom w:val="single" w:sz="6" w:space="0" w:color="auto"/>
              <w:right w:val="single" w:sz="6" w:space="0" w:color="auto"/>
            </w:tcBorders>
          </w:tcPr>
          <w:p w14:paraId="55880914" w14:textId="4C2FAAE0" w:rsidR="146F07C5" w:rsidRDefault="146F07C5" w:rsidP="146F07C5">
            <w:pPr>
              <w:rPr>
                <w:rFonts w:ascii="Calibri" w:eastAsia="Calibri" w:hAnsi="Calibri" w:cs="Calibri"/>
              </w:rPr>
            </w:pPr>
            <w:r w:rsidRPr="146F07C5">
              <w:rPr>
                <w:rFonts w:ascii="Calibri" w:eastAsia="Calibri" w:hAnsi="Calibri" w:cs="Calibri"/>
              </w:rPr>
              <w:lastRenderedPageBreak/>
              <w:t>High </w:t>
            </w:r>
          </w:p>
        </w:tc>
        <w:tc>
          <w:tcPr>
            <w:tcW w:w="6240" w:type="dxa"/>
            <w:tcBorders>
              <w:top w:val="single" w:sz="6" w:space="0" w:color="auto"/>
              <w:left w:val="single" w:sz="6" w:space="0" w:color="auto"/>
              <w:bottom w:val="single" w:sz="6" w:space="0" w:color="auto"/>
              <w:right w:val="single" w:sz="6" w:space="0" w:color="auto"/>
            </w:tcBorders>
          </w:tcPr>
          <w:p w14:paraId="5E127E2D" w14:textId="69ABC89E" w:rsidR="146F07C5" w:rsidRDefault="146F07C5" w:rsidP="146F07C5">
            <w:pPr>
              <w:rPr>
                <w:rFonts w:ascii="Calibri" w:eastAsia="Calibri" w:hAnsi="Calibri" w:cs="Calibri"/>
              </w:rPr>
            </w:pPr>
            <w:r w:rsidRPr="146F07C5">
              <w:rPr>
                <w:rFonts w:ascii="Calibri" w:eastAsia="Calibri" w:hAnsi="Calibri" w:cs="Calibri"/>
              </w:rPr>
              <w:t>“Treatment allocation was open-label as it was not possible to conceal the darkening of stool when ingesting oral iron.” </w:t>
            </w:r>
          </w:p>
        </w:tc>
      </w:tr>
      <w:tr w:rsidR="146F07C5" w14:paraId="20783B19" w14:textId="77777777" w:rsidTr="146F07C5">
        <w:tc>
          <w:tcPr>
            <w:tcW w:w="1410" w:type="dxa"/>
            <w:tcBorders>
              <w:top w:val="single" w:sz="6" w:space="0" w:color="auto"/>
              <w:left w:val="single" w:sz="6" w:space="0" w:color="auto"/>
              <w:bottom w:val="single" w:sz="6" w:space="0" w:color="auto"/>
              <w:right w:val="single" w:sz="6" w:space="0" w:color="auto"/>
            </w:tcBorders>
          </w:tcPr>
          <w:p w14:paraId="261B1E72" w14:textId="2837FF40" w:rsidR="146F07C5" w:rsidRDefault="146F07C5" w:rsidP="146F07C5">
            <w:pPr>
              <w:rPr>
                <w:rFonts w:ascii="Calibri" w:eastAsia="Calibri" w:hAnsi="Calibri" w:cs="Calibri"/>
              </w:rPr>
            </w:pPr>
            <w:r w:rsidRPr="146F07C5">
              <w:rPr>
                <w:rFonts w:ascii="Calibri" w:eastAsia="Calibri" w:hAnsi="Calibri" w:cs="Calibri"/>
              </w:rPr>
              <w:t>Blinding of outcome assessment (detection bias) </w:t>
            </w:r>
          </w:p>
        </w:tc>
        <w:tc>
          <w:tcPr>
            <w:tcW w:w="1680" w:type="dxa"/>
            <w:tcBorders>
              <w:top w:val="single" w:sz="6" w:space="0" w:color="auto"/>
              <w:left w:val="single" w:sz="6" w:space="0" w:color="auto"/>
              <w:bottom w:val="single" w:sz="6" w:space="0" w:color="auto"/>
              <w:right w:val="single" w:sz="6" w:space="0" w:color="auto"/>
            </w:tcBorders>
          </w:tcPr>
          <w:p w14:paraId="35565773" w14:textId="512672F8" w:rsidR="146F07C5" w:rsidRDefault="146F07C5" w:rsidP="146F07C5">
            <w:pPr>
              <w:rPr>
                <w:rFonts w:ascii="Calibri" w:eastAsia="Calibri" w:hAnsi="Calibri" w:cs="Calibri"/>
              </w:rPr>
            </w:pPr>
            <w:r w:rsidRPr="146F07C5">
              <w:rPr>
                <w:rFonts w:ascii="Calibri" w:eastAsia="Calibri" w:hAnsi="Calibri" w:cs="Calibri"/>
              </w:rPr>
              <w:t>Unclear </w:t>
            </w:r>
          </w:p>
        </w:tc>
        <w:tc>
          <w:tcPr>
            <w:tcW w:w="6240" w:type="dxa"/>
            <w:tcBorders>
              <w:top w:val="single" w:sz="6" w:space="0" w:color="auto"/>
              <w:left w:val="single" w:sz="6" w:space="0" w:color="auto"/>
              <w:bottom w:val="single" w:sz="6" w:space="0" w:color="auto"/>
              <w:right w:val="single" w:sz="6" w:space="0" w:color="auto"/>
            </w:tcBorders>
          </w:tcPr>
          <w:p w14:paraId="3BF608E8" w14:textId="31B37149" w:rsidR="146F07C5" w:rsidRDefault="146F07C5" w:rsidP="146F07C5">
            <w:pPr>
              <w:rPr>
                <w:rFonts w:ascii="Calibri" w:eastAsia="Calibri" w:hAnsi="Calibri" w:cs="Calibri"/>
              </w:rPr>
            </w:pPr>
            <w:r w:rsidRPr="146F07C5">
              <w:rPr>
                <w:rFonts w:ascii="Calibri" w:eastAsia="Calibri" w:hAnsi="Calibri" w:cs="Calibri"/>
              </w:rPr>
              <w:t>“The system was designed, set up and run by a unit independent of the study (Clinical Trials Unit, University of Nottingham).” </w:t>
            </w:r>
          </w:p>
          <w:p w14:paraId="7039D9F0" w14:textId="34261395" w:rsidR="146F07C5" w:rsidRDefault="146F07C5" w:rsidP="146F07C5">
            <w:pPr>
              <w:rPr>
                <w:rFonts w:ascii="Calibri" w:eastAsia="Calibri" w:hAnsi="Calibri" w:cs="Calibri"/>
              </w:rPr>
            </w:pPr>
            <w:r w:rsidRPr="146F07C5">
              <w:rPr>
                <w:rFonts w:ascii="Calibri" w:eastAsia="Calibri" w:hAnsi="Calibri" w:cs="Calibri"/>
              </w:rPr>
              <w:t> </w:t>
            </w:r>
          </w:p>
          <w:p w14:paraId="31BA34B5" w14:textId="2AD08AC6" w:rsidR="146F07C5" w:rsidRDefault="146F07C5" w:rsidP="146F07C5">
            <w:pPr>
              <w:rPr>
                <w:rFonts w:ascii="Calibri" w:eastAsia="Calibri" w:hAnsi="Calibri" w:cs="Calibri"/>
              </w:rPr>
            </w:pPr>
            <w:r w:rsidRPr="146F07C5">
              <w:rPr>
                <w:rFonts w:ascii="Calibri" w:eastAsia="Calibri" w:hAnsi="Calibri" w:cs="Calibri"/>
              </w:rPr>
              <w:t>It is unclear who performed outcome assessments and if they differed from the ordering physicians. </w:t>
            </w:r>
          </w:p>
        </w:tc>
      </w:tr>
      <w:tr w:rsidR="146F07C5" w14:paraId="4990408D" w14:textId="77777777" w:rsidTr="146F07C5">
        <w:tc>
          <w:tcPr>
            <w:tcW w:w="1410" w:type="dxa"/>
            <w:tcBorders>
              <w:top w:val="single" w:sz="6" w:space="0" w:color="auto"/>
              <w:left w:val="single" w:sz="6" w:space="0" w:color="auto"/>
              <w:bottom w:val="single" w:sz="6" w:space="0" w:color="auto"/>
              <w:right w:val="single" w:sz="6" w:space="0" w:color="auto"/>
            </w:tcBorders>
          </w:tcPr>
          <w:p w14:paraId="5D7790B3" w14:textId="68ECCBD1" w:rsidR="146F07C5" w:rsidRDefault="146F07C5" w:rsidP="146F07C5">
            <w:pPr>
              <w:rPr>
                <w:rFonts w:ascii="Calibri" w:eastAsia="Calibri" w:hAnsi="Calibri" w:cs="Calibri"/>
              </w:rPr>
            </w:pPr>
            <w:r w:rsidRPr="146F07C5">
              <w:rPr>
                <w:rFonts w:ascii="Calibri" w:eastAsia="Calibri" w:hAnsi="Calibri" w:cs="Calibri"/>
              </w:rPr>
              <w:t>Incomplete outcome data (attrition bias) </w:t>
            </w:r>
          </w:p>
        </w:tc>
        <w:tc>
          <w:tcPr>
            <w:tcW w:w="1680" w:type="dxa"/>
            <w:tcBorders>
              <w:top w:val="single" w:sz="6" w:space="0" w:color="auto"/>
              <w:left w:val="single" w:sz="6" w:space="0" w:color="auto"/>
              <w:bottom w:val="single" w:sz="6" w:space="0" w:color="auto"/>
              <w:right w:val="single" w:sz="6" w:space="0" w:color="auto"/>
            </w:tcBorders>
          </w:tcPr>
          <w:p w14:paraId="000CD365" w14:textId="398C4F0D" w:rsidR="146F07C5" w:rsidRDefault="146F07C5" w:rsidP="146F07C5">
            <w:pPr>
              <w:rPr>
                <w:rFonts w:ascii="Calibri" w:eastAsia="Calibri" w:hAnsi="Calibri" w:cs="Calibri"/>
              </w:rPr>
            </w:pPr>
            <w:r w:rsidRPr="146F07C5">
              <w:rPr>
                <w:rFonts w:ascii="Calibri" w:eastAsia="Calibri" w:hAnsi="Calibri" w:cs="Calibri"/>
              </w:rPr>
              <w:t>High </w:t>
            </w:r>
          </w:p>
        </w:tc>
        <w:tc>
          <w:tcPr>
            <w:tcW w:w="6240" w:type="dxa"/>
            <w:tcBorders>
              <w:top w:val="single" w:sz="6" w:space="0" w:color="auto"/>
              <w:left w:val="single" w:sz="6" w:space="0" w:color="auto"/>
              <w:bottom w:val="single" w:sz="6" w:space="0" w:color="auto"/>
              <w:right w:val="single" w:sz="6" w:space="0" w:color="auto"/>
            </w:tcBorders>
          </w:tcPr>
          <w:p w14:paraId="5ED66412" w14:textId="5E0A0942" w:rsidR="146F07C5" w:rsidRDefault="146F07C5" w:rsidP="146F07C5">
            <w:pPr>
              <w:rPr>
                <w:rFonts w:ascii="Calibri" w:eastAsia="Calibri" w:hAnsi="Calibri" w:cs="Calibri"/>
              </w:rPr>
            </w:pPr>
            <w:r w:rsidRPr="146F07C5">
              <w:rPr>
                <w:rFonts w:ascii="Calibri" w:eastAsia="Calibri" w:hAnsi="Calibri" w:cs="Calibri"/>
              </w:rPr>
              <w:t>“Completion of the trial was defined as attendance at the final outpatient visit. However, patients were also deemed to have completed the trial in the following circumstances. First, if a patient was recruited to the study and failed to undergo resectional surgery, the patient completed the trial at the time of surgery. All data obtained to this point were included in the analysis. Alternatively, for patients who died before outpatient follow-up, or were lost to follow-up (for example owing to moving out of area), end of the trial was defined as the date of death or date of postoperative discharge from hospital.” </w:t>
            </w:r>
          </w:p>
          <w:p w14:paraId="4DF1CD12" w14:textId="566EF681" w:rsidR="146F07C5" w:rsidRDefault="146F07C5" w:rsidP="146F07C5">
            <w:pPr>
              <w:rPr>
                <w:rFonts w:ascii="Calibri" w:eastAsia="Calibri" w:hAnsi="Calibri" w:cs="Calibri"/>
              </w:rPr>
            </w:pPr>
            <w:r w:rsidRPr="146F07C5">
              <w:rPr>
                <w:rFonts w:ascii="Calibri" w:eastAsia="Calibri" w:hAnsi="Calibri" w:cs="Calibri"/>
              </w:rPr>
              <w:t> </w:t>
            </w:r>
          </w:p>
          <w:p w14:paraId="12D2BB3F" w14:textId="496BCFC8" w:rsidR="146F07C5" w:rsidRDefault="146F07C5" w:rsidP="146F07C5">
            <w:pPr>
              <w:rPr>
                <w:rFonts w:ascii="Calibri" w:eastAsia="Calibri" w:hAnsi="Calibri" w:cs="Calibri"/>
              </w:rPr>
            </w:pPr>
            <w:r w:rsidRPr="146F07C5">
              <w:rPr>
                <w:rFonts w:ascii="Calibri" w:eastAsia="Calibri" w:hAnsi="Calibri" w:cs="Calibri"/>
              </w:rPr>
              <w:t>Reasons for attrition or exclusion were reported. </w:t>
            </w:r>
          </w:p>
          <w:p w14:paraId="044205E5" w14:textId="72671D34" w:rsidR="146F07C5" w:rsidRDefault="146F07C5" w:rsidP="146F07C5">
            <w:pPr>
              <w:rPr>
                <w:rFonts w:ascii="Calibri" w:eastAsia="Calibri" w:hAnsi="Calibri" w:cs="Calibri"/>
              </w:rPr>
            </w:pPr>
            <w:r w:rsidRPr="146F07C5">
              <w:rPr>
                <w:rFonts w:ascii="Calibri" w:eastAsia="Calibri" w:hAnsi="Calibri" w:cs="Calibri"/>
              </w:rPr>
              <w:t> </w:t>
            </w:r>
          </w:p>
          <w:p w14:paraId="59709FF5" w14:textId="69A2D079" w:rsidR="146F07C5" w:rsidRDefault="146F07C5" w:rsidP="146F07C5">
            <w:pPr>
              <w:rPr>
                <w:rFonts w:ascii="Calibri" w:eastAsia="Calibri" w:hAnsi="Calibri" w:cs="Calibri"/>
              </w:rPr>
            </w:pPr>
            <w:r w:rsidRPr="146F07C5">
              <w:rPr>
                <w:rFonts w:ascii="Calibri" w:eastAsia="Calibri" w:hAnsi="Calibri" w:cs="Calibri"/>
              </w:rPr>
              <w:t>Incomplete outcome data: “The primary outcome examined was differences in the mean volume of allogeneic red blood cell transfusion administered from preoperative recruitment to postoperative outpatient department review. Secondary endpoints included changes in hemoglobin and hematinic profiles.” </w:t>
            </w:r>
          </w:p>
          <w:p w14:paraId="0A59C6B8" w14:textId="624EC467" w:rsidR="146F07C5" w:rsidRDefault="146F07C5" w:rsidP="146F07C5">
            <w:pPr>
              <w:rPr>
                <w:rFonts w:ascii="Calibri" w:eastAsia="Calibri" w:hAnsi="Calibri" w:cs="Calibri"/>
              </w:rPr>
            </w:pPr>
            <w:r w:rsidRPr="146F07C5">
              <w:rPr>
                <w:rFonts w:ascii="Calibri" w:eastAsia="Calibri" w:hAnsi="Calibri" w:cs="Calibri"/>
              </w:rPr>
              <w:t> </w:t>
            </w:r>
          </w:p>
          <w:p w14:paraId="4162019C" w14:textId="2069E89A" w:rsidR="146F07C5" w:rsidRDefault="146F07C5" w:rsidP="146F07C5">
            <w:pPr>
              <w:rPr>
                <w:rFonts w:ascii="Calibri" w:eastAsia="Calibri" w:hAnsi="Calibri" w:cs="Calibri"/>
              </w:rPr>
            </w:pPr>
            <w:r w:rsidRPr="146F07C5">
              <w:rPr>
                <w:rFonts w:ascii="Calibri" w:eastAsia="Calibri" w:hAnsi="Calibri" w:cs="Calibri"/>
              </w:rPr>
              <w:t>Secondary outcomes: The treatment rise for hemoglobin was reported while the treatment rise for ferritin/TSAT was not reported. </w:t>
            </w:r>
          </w:p>
          <w:p w14:paraId="51E9BD3E" w14:textId="57A6DDB5" w:rsidR="146F07C5" w:rsidRDefault="146F07C5" w:rsidP="146F07C5">
            <w:pPr>
              <w:rPr>
                <w:rFonts w:ascii="Calibri" w:eastAsia="Calibri" w:hAnsi="Calibri" w:cs="Calibri"/>
              </w:rPr>
            </w:pPr>
            <w:r w:rsidRPr="146F07C5">
              <w:rPr>
                <w:rFonts w:ascii="Calibri" w:eastAsia="Calibri" w:hAnsi="Calibri" w:cs="Calibri"/>
              </w:rPr>
              <w:t> </w:t>
            </w:r>
          </w:p>
          <w:p w14:paraId="210BDA2F" w14:textId="6C807854" w:rsidR="146F07C5" w:rsidRDefault="146F07C5" w:rsidP="146F07C5">
            <w:pPr>
              <w:rPr>
                <w:rFonts w:ascii="Calibri" w:eastAsia="Calibri" w:hAnsi="Calibri" w:cs="Calibri"/>
              </w:rPr>
            </w:pPr>
            <w:r w:rsidRPr="146F07C5">
              <w:rPr>
                <w:rFonts w:ascii="Calibri" w:eastAsia="Calibri" w:hAnsi="Calibri" w:cs="Calibri"/>
              </w:rPr>
              <w:t>Postoperative length of hospital stay and 90-day mortality rates were not prespecified outcomes but were listed under additional information as “All operative details were recorded.” </w:t>
            </w:r>
          </w:p>
        </w:tc>
      </w:tr>
      <w:tr w:rsidR="146F07C5" w14:paraId="285CC084" w14:textId="77777777" w:rsidTr="146F07C5">
        <w:tc>
          <w:tcPr>
            <w:tcW w:w="1410" w:type="dxa"/>
            <w:tcBorders>
              <w:top w:val="single" w:sz="6" w:space="0" w:color="auto"/>
              <w:left w:val="single" w:sz="6" w:space="0" w:color="auto"/>
              <w:bottom w:val="single" w:sz="6" w:space="0" w:color="auto"/>
              <w:right w:val="single" w:sz="6" w:space="0" w:color="auto"/>
            </w:tcBorders>
          </w:tcPr>
          <w:p w14:paraId="00965814" w14:textId="7077FEA3" w:rsidR="146F07C5" w:rsidRDefault="146F07C5" w:rsidP="146F07C5">
            <w:pPr>
              <w:rPr>
                <w:rFonts w:ascii="Calibri" w:eastAsia="Calibri" w:hAnsi="Calibri" w:cs="Calibri"/>
              </w:rPr>
            </w:pPr>
            <w:r w:rsidRPr="146F07C5">
              <w:rPr>
                <w:rFonts w:ascii="Calibri" w:eastAsia="Calibri" w:hAnsi="Calibri" w:cs="Calibri"/>
              </w:rPr>
              <w:t>Selective reporting (reporting bias) </w:t>
            </w:r>
          </w:p>
        </w:tc>
        <w:tc>
          <w:tcPr>
            <w:tcW w:w="1680" w:type="dxa"/>
            <w:tcBorders>
              <w:top w:val="single" w:sz="6" w:space="0" w:color="auto"/>
              <w:left w:val="single" w:sz="6" w:space="0" w:color="auto"/>
              <w:bottom w:val="single" w:sz="6" w:space="0" w:color="auto"/>
              <w:right w:val="single" w:sz="6" w:space="0" w:color="auto"/>
            </w:tcBorders>
          </w:tcPr>
          <w:p w14:paraId="65826A10" w14:textId="27F2AD9C" w:rsidR="146F07C5" w:rsidRDefault="146F07C5" w:rsidP="146F07C5">
            <w:pPr>
              <w:rPr>
                <w:rFonts w:ascii="Calibri" w:eastAsia="Calibri" w:hAnsi="Calibri" w:cs="Calibri"/>
              </w:rPr>
            </w:pPr>
            <w:r w:rsidRPr="146F07C5">
              <w:rPr>
                <w:rFonts w:ascii="Calibri" w:eastAsia="Calibri" w:hAnsi="Calibri" w:cs="Calibri"/>
              </w:rPr>
              <w:t>Low </w:t>
            </w:r>
          </w:p>
        </w:tc>
        <w:tc>
          <w:tcPr>
            <w:tcW w:w="6240" w:type="dxa"/>
            <w:tcBorders>
              <w:top w:val="single" w:sz="6" w:space="0" w:color="auto"/>
              <w:left w:val="single" w:sz="6" w:space="0" w:color="auto"/>
              <w:bottom w:val="single" w:sz="6" w:space="0" w:color="auto"/>
              <w:right w:val="single" w:sz="6" w:space="0" w:color="auto"/>
            </w:tcBorders>
          </w:tcPr>
          <w:p w14:paraId="071CA74E" w14:textId="462A2E57" w:rsidR="146F07C5" w:rsidRDefault="146F07C5" w:rsidP="146F07C5">
            <w:pPr>
              <w:rPr>
                <w:rFonts w:ascii="Calibri" w:eastAsia="Calibri" w:hAnsi="Calibri" w:cs="Calibri"/>
              </w:rPr>
            </w:pPr>
            <w:r w:rsidRPr="146F07C5">
              <w:rPr>
                <w:rFonts w:ascii="Calibri" w:eastAsia="Calibri" w:hAnsi="Calibri" w:cs="Calibri"/>
              </w:rPr>
              <w:t>“All analyses were by intention to treat.” </w:t>
            </w:r>
          </w:p>
        </w:tc>
      </w:tr>
      <w:tr w:rsidR="146F07C5" w14:paraId="19E67087" w14:textId="77777777" w:rsidTr="146F07C5">
        <w:tc>
          <w:tcPr>
            <w:tcW w:w="1410" w:type="dxa"/>
            <w:tcBorders>
              <w:top w:val="single" w:sz="6" w:space="0" w:color="auto"/>
              <w:left w:val="single" w:sz="6" w:space="0" w:color="auto"/>
              <w:bottom w:val="single" w:sz="6" w:space="0" w:color="auto"/>
              <w:right w:val="single" w:sz="6" w:space="0" w:color="auto"/>
            </w:tcBorders>
          </w:tcPr>
          <w:p w14:paraId="334A7A4B" w14:textId="6E9C853E" w:rsidR="146F07C5" w:rsidRDefault="146F07C5" w:rsidP="146F07C5">
            <w:pPr>
              <w:rPr>
                <w:rFonts w:ascii="Calibri" w:eastAsia="Calibri" w:hAnsi="Calibri" w:cs="Calibri"/>
              </w:rPr>
            </w:pPr>
            <w:r w:rsidRPr="146F07C5">
              <w:rPr>
                <w:rFonts w:ascii="Calibri" w:eastAsia="Calibri" w:hAnsi="Calibri" w:cs="Calibri"/>
              </w:rPr>
              <w:lastRenderedPageBreak/>
              <w:t>Other bias </w:t>
            </w:r>
          </w:p>
        </w:tc>
        <w:tc>
          <w:tcPr>
            <w:tcW w:w="1680" w:type="dxa"/>
            <w:tcBorders>
              <w:top w:val="single" w:sz="6" w:space="0" w:color="auto"/>
              <w:left w:val="single" w:sz="6" w:space="0" w:color="auto"/>
              <w:bottom w:val="single" w:sz="6" w:space="0" w:color="auto"/>
              <w:right w:val="single" w:sz="6" w:space="0" w:color="auto"/>
            </w:tcBorders>
          </w:tcPr>
          <w:p w14:paraId="70C17DE8" w14:textId="6D57344A" w:rsidR="146F07C5" w:rsidRDefault="146F07C5" w:rsidP="146F07C5">
            <w:pPr>
              <w:rPr>
                <w:rFonts w:ascii="Calibri" w:eastAsia="Calibri" w:hAnsi="Calibri" w:cs="Calibri"/>
              </w:rPr>
            </w:pPr>
            <w:r w:rsidRPr="146F07C5">
              <w:rPr>
                <w:rFonts w:ascii="Calibri" w:eastAsia="Calibri" w:hAnsi="Calibri" w:cs="Calibri"/>
              </w:rPr>
              <w:t> Unclear</w:t>
            </w:r>
          </w:p>
        </w:tc>
        <w:tc>
          <w:tcPr>
            <w:tcW w:w="6240" w:type="dxa"/>
            <w:tcBorders>
              <w:top w:val="single" w:sz="6" w:space="0" w:color="auto"/>
              <w:left w:val="single" w:sz="6" w:space="0" w:color="auto"/>
              <w:bottom w:val="single" w:sz="6" w:space="0" w:color="auto"/>
              <w:right w:val="single" w:sz="6" w:space="0" w:color="auto"/>
            </w:tcBorders>
          </w:tcPr>
          <w:p w14:paraId="1AEDA27A" w14:textId="3CB2A35A" w:rsidR="146F07C5" w:rsidRDefault="146F07C5" w:rsidP="146F07C5">
            <w:pPr>
              <w:rPr>
                <w:rFonts w:ascii="Calibri" w:eastAsia="Calibri" w:hAnsi="Calibri" w:cs="Calibri"/>
              </w:rPr>
            </w:pPr>
            <w:r w:rsidRPr="146F07C5">
              <w:rPr>
                <w:rFonts w:ascii="Calibri" w:eastAsia="Calibri" w:hAnsi="Calibri" w:cs="Calibri"/>
              </w:rPr>
              <w:t> “A differential number of subjects in the study arms experienced protocol deviations (i.e., dose reductions/increases).”</w:t>
            </w:r>
          </w:p>
          <w:p w14:paraId="08F06A73" w14:textId="414B856F" w:rsidR="146F07C5" w:rsidRDefault="146F07C5" w:rsidP="146F07C5">
            <w:pPr>
              <w:rPr>
                <w:rFonts w:ascii="Calibri" w:eastAsia="Calibri" w:hAnsi="Calibri" w:cs="Calibri"/>
              </w:rPr>
            </w:pPr>
          </w:p>
          <w:p w14:paraId="1A418A3A" w14:textId="4673A37B" w:rsidR="146F07C5" w:rsidRDefault="146F07C5" w:rsidP="146F07C5">
            <w:pPr>
              <w:rPr>
                <w:rFonts w:ascii="Calibri" w:eastAsia="Calibri" w:hAnsi="Calibri" w:cs="Calibri"/>
              </w:rPr>
            </w:pPr>
            <w:r w:rsidRPr="146F07C5">
              <w:rPr>
                <w:rFonts w:ascii="Calibri" w:eastAsia="Calibri" w:hAnsi="Calibri" w:cs="Calibri"/>
              </w:rPr>
              <w:t>“Preparation changed after 14 days.”</w:t>
            </w:r>
          </w:p>
        </w:tc>
      </w:tr>
    </w:tbl>
    <w:p w14:paraId="7029FEF3" w14:textId="387BACD0" w:rsidR="3C2ECE16" w:rsidRDefault="6CF2E31F" w:rsidP="146F07C5">
      <w:pPr>
        <w:rPr>
          <w:rFonts w:ascii="Calibri" w:eastAsia="Calibri" w:hAnsi="Calibri" w:cs="Calibri"/>
        </w:rPr>
      </w:pPr>
      <w:r w:rsidRPr="146F07C5">
        <w:rPr>
          <w:rFonts w:ascii="Calibri" w:eastAsia="Calibri" w:hAnsi="Calibri" w:cs="Calibri"/>
        </w:rPr>
        <w:t>Page Break </w:t>
      </w:r>
    </w:p>
    <w:tbl>
      <w:tblPr>
        <w:tblW w:w="0" w:type="auto"/>
        <w:tblLayout w:type="fixed"/>
        <w:tblLook w:val="04A0" w:firstRow="1" w:lastRow="0" w:firstColumn="1" w:lastColumn="0" w:noHBand="0" w:noVBand="1"/>
      </w:tblPr>
      <w:tblGrid>
        <w:gridCol w:w="1920"/>
        <w:gridCol w:w="1530"/>
        <w:gridCol w:w="5880"/>
      </w:tblGrid>
      <w:tr w:rsidR="146F07C5" w14:paraId="542B30F3" w14:textId="77777777" w:rsidTr="146F07C5">
        <w:trPr>
          <w:trHeight w:val="570"/>
        </w:trPr>
        <w:tc>
          <w:tcPr>
            <w:tcW w:w="9330" w:type="dxa"/>
            <w:gridSpan w:val="3"/>
            <w:tcBorders>
              <w:top w:val="outset" w:sz="18" w:space="0" w:color="auto"/>
              <w:left w:val="outset" w:sz="18" w:space="0" w:color="auto"/>
              <w:bottom w:val="outset" w:sz="18" w:space="0" w:color="auto"/>
              <w:right w:val="outset" w:sz="18" w:space="0" w:color="auto"/>
            </w:tcBorders>
            <w:shd w:val="clear" w:color="auto" w:fill="D9D9D9" w:themeFill="background1" w:themeFillShade="D9"/>
          </w:tcPr>
          <w:p w14:paraId="495237D4" w14:textId="3923D64B" w:rsidR="146F07C5" w:rsidRDefault="146F07C5" w:rsidP="146F07C5">
            <w:pPr>
              <w:rPr>
                <w:rFonts w:ascii="Calibri" w:eastAsia="Calibri" w:hAnsi="Calibri" w:cs="Calibri"/>
              </w:rPr>
            </w:pPr>
            <w:r w:rsidRPr="146F07C5">
              <w:rPr>
                <w:rFonts w:ascii="Calibri" w:eastAsia="Calibri" w:hAnsi="Calibri" w:cs="Calibri"/>
              </w:rPr>
              <w:t>Khalafallah AA, Yan C, Al-Badri R, et al. Intravenous ferric carboxymaltose versus standard care in the management of postoperative anaemia: a prospective, open-label, randomised controlled trial. Lancet Haematol. 2016;3(9):e415-e425</w:t>
            </w:r>
            <w:r w:rsidRPr="146F07C5">
              <w:rPr>
                <w:rFonts w:ascii="Calibri" w:eastAsia="Calibri" w:hAnsi="Calibri" w:cs="Calibri"/>
                <w:color w:val="D13438"/>
              </w:rPr>
              <w:t>.</w:t>
            </w:r>
            <w:r w:rsidRPr="146F07C5">
              <w:rPr>
                <w:rFonts w:ascii="Calibri" w:eastAsia="Calibri" w:hAnsi="Calibri" w:cs="Calibri"/>
                <w:vertAlign w:val="superscript"/>
              </w:rPr>
              <w:t>6</w:t>
            </w:r>
            <w:r w:rsidRPr="146F07C5">
              <w:rPr>
                <w:rFonts w:ascii="Calibri" w:eastAsia="Calibri" w:hAnsi="Calibri" w:cs="Calibri"/>
              </w:rPr>
              <w:t> </w:t>
            </w:r>
          </w:p>
        </w:tc>
      </w:tr>
      <w:tr w:rsidR="146F07C5" w14:paraId="2A05326B" w14:textId="77777777" w:rsidTr="146F07C5">
        <w:tc>
          <w:tcPr>
            <w:tcW w:w="1920" w:type="dxa"/>
            <w:tcBorders>
              <w:top w:val="outset" w:sz="18" w:space="0" w:color="auto"/>
              <w:left w:val="single" w:sz="6" w:space="0" w:color="auto"/>
              <w:bottom w:val="single" w:sz="6" w:space="0" w:color="auto"/>
              <w:right w:val="single" w:sz="6" w:space="0" w:color="auto"/>
            </w:tcBorders>
            <w:vAlign w:val="bottom"/>
          </w:tcPr>
          <w:p w14:paraId="6706220B" w14:textId="1C9B733E" w:rsidR="146F07C5" w:rsidRDefault="146F07C5" w:rsidP="146F07C5">
            <w:pPr>
              <w:rPr>
                <w:rFonts w:ascii="Calibri" w:eastAsia="Calibri" w:hAnsi="Calibri" w:cs="Calibri"/>
              </w:rPr>
            </w:pPr>
            <w:r w:rsidRPr="146F07C5">
              <w:rPr>
                <w:rFonts w:ascii="Calibri" w:eastAsia="Calibri" w:hAnsi="Calibri" w:cs="Calibri"/>
              </w:rPr>
              <w:t>Bias </w:t>
            </w:r>
          </w:p>
        </w:tc>
        <w:tc>
          <w:tcPr>
            <w:tcW w:w="1530" w:type="dxa"/>
            <w:tcBorders>
              <w:top w:val="nil"/>
              <w:left w:val="single" w:sz="6" w:space="0" w:color="auto"/>
              <w:bottom w:val="single" w:sz="6" w:space="0" w:color="auto"/>
              <w:right w:val="single" w:sz="6" w:space="0" w:color="auto"/>
            </w:tcBorders>
            <w:vAlign w:val="bottom"/>
          </w:tcPr>
          <w:p w14:paraId="45F54F59" w14:textId="24628317" w:rsidR="146F07C5" w:rsidRDefault="146F07C5" w:rsidP="146F07C5">
            <w:pPr>
              <w:rPr>
                <w:rFonts w:ascii="Calibri" w:eastAsia="Calibri" w:hAnsi="Calibri" w:cs="Calibri"/>
              </w:rPr>
            </w:pPr>
            <w:r w:rsidRPr="146F07C5">
              <w:rPr>
                <w:rFonts w:ascii="Calibri" w:eastAsia="Calibri" w:hAnsi="Calibri" w:cs="Calibri"/>
              </w:rPr>
              <w:t>Authors’ judgment (low, unclear, high) </w:t>
            </w:r>
          </w:p>
        </w:tc>
        <w:tc>
          <w:tcPr>
            <w:tcW w:w="5880" w:type="dxa"/>
            <w:tcBorders>
              <w:top w:val="nil"/>
              <w:left w:val="single" w:sz="6" w:space="0" w:color="auto"/>
              <w:bottom w:val="single" w:sz="6" w:space="0" w:color="auto"/>
              <w:right w:val="single" w:sz="6" w:space="0" w:color="auto"/>
            </w:tcBorders>
            <w:vAlign w:val="bottom"/>
          </w:tcPr>
          <w:p w14:paraId="7DEC2AE4" w14:textId="354CA3E1" w:rsidR="146F07C5" w:rsidRDefault="146F07C5" w:rsidP="146F07C5">
            <w:pPr>
              <w:rPr>
                <w:rFonts w:ascii="Calibri" w:eastAsia="Calibri" w:hAnsi="Calibri" w:cs="Calibri"/>
              </w:rPr>
            </w:pPr>
            <w:r w:rsidRPr="146F07C5">
              <w:rPr>
                <w:rFonts w:ascii="Calibri" w:eastAsia="Calibri" w:hAnsi="Calibri" w:cs="Calibri"/>
              </w:rPr>
              <w:t>Support for judgment </w:t>
            </w:r>
          </w:p>
        </w:tc>
      </w:tr>
      <w:tr w:rsidR="146F07C5" w14:paraId="46AEFC04" w14:textId="77777777" w:rsidTr="146F07C5">
        <w:tc>
          <w:tcPr>
            <w:tcW w:w="1920" w:type="dxa"/>
            <w:tcBorders>
              <w:top w:val="single" w:sz="6" w:space="0" w:color="auto"/>
              <w:left w:val="single" w:sz="6" w:space="0" w:color="auto"/>
              <w:bottom w:val="single" w:sz="6" w:space="0" w:color="auto"/>
              <w:right w:val="single" w:sz="6" w:space="0" w:color="auto"/>
            </w:tcBorders>
          </w:tcPr>
          <w:p w14:paraId="60F3CDA2" w14:textId="6CD349BB" w:rsidR="146F07C5" w:rsidRDefault="146F07C5" w:rsidP="146F07C5">
            <w:pPr>
              <w:rPr>
                <w:rFonts w:ascii="Calibri" w:eastAsia="Calibri" w:hAnsi="Calibri" w:cs="Calibri"/>
              </w:rPr>
            </w:pPr>
            <w:r w:rsidRPr="146F07C5">
              <w:rPr>
                <w:rFonts w:ascii="Calibri" w:eastAsia="Calibri" w:hAnsi="Calibri" w:cs="Calibri"/>
              </w:rPr>
              <w:t>Random sequence generation (selection bias) </w:t>
            </w:r>
          </w:p>
        </w:tc>
        <w:tc>
          <w:tcPr>
            <w:tcW w:w="1530" w:type="dxa"/>
            <w:tcBorders>
              <w:top w:val="single" w:sz="6" w:space="0" w:color="auto"/>
              <w:left w:val="single" w:sz="6" w:space="0" w:color="auto"/>
              <w:bottom w:val="single" w:sz="6" w:space="0" w:color="auto"/>
              <w:right w:val="single" w:sz="6" w:space="0" w:color="auto"/>
            </w:tcBorders>
          </w:tcPr>
          <w:p w14:paraId="137B475F" w14:textId="175F8B64" w:rsidR="146F07C5" w:rsidRDefault="146F07C5" w:rsidP="146F07C5">
            <w:pPr>
              <w:rPr>
                <w:rFonts w:ascii="Calibri" w:eastAsia="Calibri" w:hAnsi="Calibri" w:cs="Calibri"/>
              </w:rPr>
            </w:pPr>
            <w:r w:rsidRPr="146F07C5">
              <w:rPr>
                <w:rFonts w:ascii="Calibri" w:eastAsia="Calibri" w:hAnsi="Calibri" w:cs="Calibri"/>
              </w:rPr>
              <w:t>High </w:t>
            </w:r>
          </w:p>
        </w:tc>
        <w:tc>
          <w:tcPr>
            <w:tcW w:w="5880" w:type="dxa"/>
            <w:tcBorders>
              <w:top w:val="single" w:sz="6" w:space="0" w:color="auto"/>
              <w:left w:val="single" w:sz="6" w:space="0" w:color="auto"/>
              <w:bottom w:val="single" w:sz="6" w:space="0" w:color="auto"/>
              <w:right w:val="single" w:sz="6" w:space="0" w:color="auto"/>
            </w:tcBorders>
          </w:tcPr>
          <w:p w14:paraId="0C061AFF" w14:textId="68DC554A" w:rsidR="146F07C5" w:rsidRDefault="146F07C5" w:rsidP="146F07C5">
            <w:pPr>
              <w:rPr>
                <w:rFonts w:ascii="Calibri" w:eastAsia="Calibri" w:hAnsi="Calibri" w:cs="Calibri"/>
              </w:rPr>
            </w:pPr>
            <w:r w:rsidRPr="146F07C5">
              <w:rPr>
                <w:rFonts w:ascii="Calibri" w:eastAsia="Calibri" w:hAnsi="Calibri" w:cs="Calibri"/>
              </w:rPr>
              <w:t>“We randomly assigned patients who agreed to participate (1:1) to either the active treatment (ferric carboxymaltose infusion) group or the control (standard care) group using Excel 2007 (Microsoft, Redmond, WA, USA) within the Pharmacy Department of the Launceston General Hospital.” </w:t>
            </w:r>
          </w:p>
        </w:tc>
      </w:tr>
      <w:tr w:rsidR="146F07C5" w14:paraId="587F26EF" w14:textId="77777777" w:rsidTr="146F07C5">
        <w:tc>
          <w:tcPr>
            <w:tcW w:w="1920" w:type="dxa"/>
            <w:tcBorders>
              <w:top w:val="single" w:sz="6" w:space="0" w:color="auto"/>
              <w:left w:val="single" w:sz="6" w:space="0" w:color="auto"/>
              <w:bottom w:val="single" w:sz="6" w:space="0" w:color="auto"/>
              <w:right w:val="single" w:sz="6" w:space="0" w:color="auto"/>
            </w:tcBorders>
          </w:tcPr>
          <w:p w14:paraId="2690EADE" w14:textId="16BF7FB3" w:rsidR="146F07C5" w:rsidRDefault="146F07C5" w:rsidP="146F07C5">
            <w:pPr>
              <w:rPr>
                <w:rFonts w:ascii="Calibri" w:eastAsia="Calibri" w:hAnsi="Calibri" w:cs="Calibri"/>
              </w:rPr>
            </w:pPr>
            <w:r w:rsidRPr="146F07C5">
              <w:rPr>
                <w:rFonts w:ascii="Calibri" w:eastAsia="Calibri" w:hAnsi="Calibri" w:cs="Calibri"/>
              </w:rPr>
              <w:t>Allocation concealment (selection bias) </w:t>
            </w:r>
          </w:p>
        </w:tc>
        <w:tc>
          <w:tcPr>
            <w:tcW w:w="1530" w:type="dxa"/>
            <w:tcBorders>
              <w:top w:val="single" w:sz="6" w:space="0" w:color="auto"/>
              <w:left w:val="single" w:sz="6" w:space="0" w:color="auto"/>
              <w:bottom w:val="single" w:sz="6" w:space="0" w:color="auto"/>
              <w:right w:val="single" w:sz="6" w:space="0" w:color="auto"/>
            </w:tcBorders>
            <w:vAlign w:val="center"/>
          </w:tcPr>
          <w:p w14:paraId="536E24FB" w14:textId="34E025F7" w:rsidR="146F07C5" w:rsidRDefault="146F07C5" w:rsidP="146F07C5">
            <w:pPr>
              <w:rPr>
                <w:rFonts w:ascii="Calibri" w:eastAsia="Calibri" w:hAnsi="Calibri" w:cs="Calibri"/>
              </w:rPr>
            </w:pPr>
            <w:r w:rsidRPr="146F07C5">
              <w:rPr>
                <w:rFonts w:ascii="Calibri" w:eastAsia="Calibri" w:hAnsi="Calibri" w:cs="Calibri"/>
              </w:rPr>
              <w:t>Low </w:t>
            </w:r>
          </w:p>
          <w:p w14:paraId="6BCBF0BE" w14:textId="4A58F77F" w:rsidR="146F07C5" w:rsidRDefault="146F07C5" w:rsidP="146F07C5">
            <w:pPr>
              <w:rPr>
                <w:rFonts w:ascii="Calibri" w:eastAsia="Calibri" w:hAnsi="Calibri" w:cs="Calibri"/>
              </w:rPr>
            </w:pPr>
          </w:p>
        </w:tc>
        <w:tc>
          <w:tcPr>
            <w:tcW w:w="5880" w:type="dxa"/>
            <w:tcBorders>
              <w:top w:val="single" w:sz="6" w:space="0" w:color="auto"/>
              <w:left w:val="single" w:sz="6" w:space="0" w:color="auto"/>
              <w:bottom w:val="single" w:sz="6" w:space="0" w:color="auto"/>
              <w:right w:val="single" w:sz="6" w:space="0" w:color="auto"/>
            </w:tcBorders>
          </w:tcPr>
          <w:p w14:paraId="00E6458E" w14:textId="015F38B7" w:rsidR="146F07C5" w:rsidRDefault="146F07C5" w:rsidP="146F07C5">
            <w:pPr>
              <w:rPr>
                <w:rFonts w:ascii="Calibri" w:eastAsia="Calibri" w:hAnsi="Calibri" w:cs="Calibri"/>
              </w:rPr>
            </w:pPr>
            <w:r w:rsidRPr="146F07C5">
              <w:rPr>
                <w:rFonts w:ascii="Calibri" w:eastAsia="Calibri" w:hAnsi="Calibri" w:cs="Calibri"/>
              </w:rPr>
              <w:t>“To ensure allocation concealment, treatment codes were located in a central site, the pharmacy department. This department was not involved in any collection of trial data, follow-up, or patient activity to avoid possible bias. Randomization allocation was delivered by pharmacy in sealed numbered opaque envelopes that were opened consecutively after informed consent was obtained. Research assistants had no further role in data collection or management because these were done at the trial center with masking with regard to treatment allocation in the follow-up period.” </w:t>
            </w:r>
          </w:p>
        </w:tc>
      </w:tr>
      <w:tr w:rsidR="146F07C5" w14:paraId="64579D05" w14:textId="77777777" w:rsidTr="146F07C5">
        <w:trPr>
          <w:trHeight w:val="300"/>
        </w:trPr>
        <w:tc>
          <w:tcPr>
            <w:tcW w:w="1920" w:type="dxa"/>
            <w:tcBorders>
              <w:top w:val="single" w:sz="6" w:space="0" w:color="auto"/>
              <w:left w:val="single" w:sz="6" w:space="0" w:color="auto"/>
              <w:bottom w:val="single" w:sz="6" w:space="0" w:color="auto"/>
              <w:right w:val="single" w:sz="6" w:space="0" w:color="auto"/>
            </w:tcBorders>
          </w:tcPr>
          <w:p w14:paraId="4A68E603" w14:textId="44FA533C" w:rsidR="146F07C5" w:rsidRDefault="146F07C5" w:rsidP="146F07C5">
            <w:pPr>
              <w:rPr>
                <w:rFonts w:ascii="Calibri" w:eastAsia="Calibri" w:hAnsi="Calibri" w:cs="Calibri"/>
              </w:rPr>
            </w:pPr>
            <w:r w:rsidRPr="146F07C5">
              <w:rPr>
                <w:rFonts w:ascii="Calibri" w:eastAsia="Calibri" w:hAnsi="Calibri" w:cs="Calibri"/>
              </w:rPr>
              <w:t>Blinding of participants and personnel (performance bias)</w:t>
            </w:r>
          </w:p>
        </w:tc>
        <w:tc>
          <w:tcPr>
            <w:tcW w:w="1530" w:type="dxa"/>
            <w:tcBorders>
              <w:top w:val="single" w:sz="6" w:space="0" w:color="auto"/>
              <w:left w:val="single" w:sz="6" w:space="0" w:color="auto"/>
              <w:bottom w:val="single" w:sz="6" w:space="0" w:color="auto"/>
              <w:right w:val="single" w:sz="6" w:space="0" w:color="auto"/>
            </w:tcBorders>
            <w:vAlign w:val="center"/>
          </w:tcPr>
          <w:p w14:paraId="2EE805BA" w14:textId="7A11973C" w:rsidR="146F07C5" w:rsidRDefault="146F07C5" w:rsidP="146F07C5">
            <w:pPr>
              <w:rPr>
                <w:rFonts w:ascii="Calibri" w:eastAsia="Calibri" w:hAnsi="Calibri" w:cs="Calibri"/>
              </w:rPr>
            </w:pPr>
            <w:r w:rsidRPr="146F07C5">
              <w:rPr>
                <w:rFonts w:ascii="Calibri" w:eastAsia="Calibri" w:hAnsi="Calibri" w:cs="Calibri"/>
              </w:rPr>
              <w:t>Unclear</w:t>
            </w:r>
          </w:p>
        </w:tc>
        <w:tc>
          <w:tcPr>
            <w:tcW w:w="5880" w:type="dxa"/>
            <w:tcBorders>
              <w:top w:val="single" w:sz="6" w:space="0" w:color="auto"/>
              <w:left w:val="single" w:sz="6" w:space="0" w:color="auto"/>
              <w:bottom w:val="single" w:sz="6" w:space="0" w:color="auto"/>
              <w:right w:val="single" w:sz="6" w:space="0" w:color="auto"/>
            </w:tcBorders>
          </w:tcPr>
          <w:p w14:paraId="72A93AF0" w14:textId="52A216D7" w:rsidR="146F07C5" w:rsidRDefault="146F07C5" w:rsidP="146F07C5">
            <w:pPr>
              <w:rPr>
                <w:rFonts w:ascii="Calibri" w:eastAsia="Calibri" w:hAnsi="Calibri" w:cs="Calibri"/>
              </w:rPr>
            </w:pPr>
            <w:r w:rsidRPr="146F07C5">
              <w:rPr>
                <w:rFonts w:ascii="Calibri" w:eastAsia="Calibri" w:hAnsi="Calibri" w:cs="Calibri"/>
              </w:rPr>
              <w:t>No patient/personnel blinding for treatement. Nurses administering treatment may have caused more IV iron patients to stay in the study.</w:t>
            </w:r>
          </w:p>
          <w:p w14:paraId="09579BD7" w14:textId="7A938FC2" w:rsidR="146F07C5" w:rsidRDefault="146F07C5" w:rsidP="146F07C5">
            <w:pPr>
              <w:rPr>
                <w:rFonts w:ascii="Calibri" w:eastAsia="Calibri" w:hAnsi="Calibri" w:cs="Calibri"/>
              </w:rPr>
            </w:pPr>
          </w:p>
          <w:p w14:paraId="35A472BF" w14:textId="129D5568" w:rsidR="146F07C5" w:rsidRDefault="146F07C5" w:rsidP="146F07C5">
            <w:pPr>
              <w:rPr>
                <w:rFonts w:ascii="Calibri" w:eastAsia="Calibri" w:hAnsi="Calibri" w:cs="Calibri"/>
              </w:rPr>
            </w:pPr>
            <w:r w:rsidRPr="146F07C5">
              <w:rPr>
                <w:rFonts w:ascii="Calibri" w:eastAsia="Calibri" w:hAnsi="Calibri" w:cs="Calibri"/>
              </w:rPr>
              <w:t>25% of the SOC group did not complete the QoL assessment.</w:t>
            </w:r>
          </w:p>
        </w:tc>
      </w:tr>
      <w:tr w:rsidR="146F07C5" w14:paraId="4430AEEE" w14:textId="77777777" w:rsidTr="146F07C5">
        <w:trPr>
          <w:trHeight w:val="300"/>
        </w:trPr>
        <w:tc>
          <w:tcPr>
            <w:tcW w:w="1920" w:type="dxa"/>
            <w:tcBorders>
              <w:top w:val="single" w:sz="6" w:space="0" w:color="auto"/>
              <w:left w:val="single" w:sz="6" w:space="0" w:color="auto"/>
              <w:bottom w:val="single" w:sz="6" w:space="0" w:color="auto"/>
              <w:right w:val="single" w:sz="6" w:space="0" w:color="auto"/>
            </w:tcBorders>
          </w:tcPr>
          <w:p w14:paraId="47A6E28E" w14:textId="1E50E8C9" w:rsidR="146F07C5" w:rsidRDefault="146F07C5" w:rsidP="146F07C5">
            <w:pPr>
              <w:rPr>
                <w:rFonts w:ascii="Calibri" w:eastAsia="Calibri" w:hAnsi="Calibri" w:cs="Calibri"/>
              </w:rPr>
            </w:pPr>
            <w:r w:rsidRPr="146F07C5">
              <w:rPr>
                <w:rFonts w:ascii="Calibri" w:eastAsia="Calibri" w:hAnsi="Calibri" w:cs="Calibri"/>
              </w:rPr>
              <w:t>Blinding of outcome assessment (detection bias) </w:t>
            </w:r>
          </w:p>
        </w:tc>
        <w:tc>
          <w:tcPr>
            <w:tcW w:w="1530" w:type="dxa"/>
            <w:tcBorders>
              <w:top w:val="single" w:sz="6" w:space="0" w:color="auto"/>
              <w:left w:val="single" w:sz="6" w:space="0" w:color="auto"/>
              <w:bottom w:val="single" w:sz="6" w:space="0" w:color="auto"/>
              <w:right w:val="single" w:sz="6" w:space="0" w:color="auto"/>
            </w:tcBorders>
          </w:tcPr>
          <w:p w14:paraId="4774D4E9" w14:textId="12715039" w:rsidR="146F07C5" w:rsidRDefault="146F07C5" w:rsidP="146F07C5">
            <w:pPr>
              <w:rPr>
                <w:rFonts w:ascii="Calibri" w:eastAsia="Calibri" w:hAnsi="Calibri" w:cs="Calibri"/>
              </w:rPr>
            </w:pPr>
            <w:r w:rsidRPr="146F07C5">
              <w:rPr>
                <w:rFonts w:ascii="Calibri" w:eastAsia="Calibri" w:hAnsi="Calibri" w:cs="Calibri"/>
              </w:rPr>
              <w:t>High </w:t>
            </w:r>
          </w:p>
        </w:tc>
        <w:tc>
          <w:tcPr>
            <w:tcW w:w="5880" w:type="dxa"/>
            <w:tcBorders>
              <w:top w:val="single" w:sz="6" w:space="0" w:color="auto"/>
              <w:left w:val="single" w:sz="6" w:space="0" w:color="auto"/>
              <w:bottom w:val="single" w:sz="6" w:space="0" w:color="auto"/>
              <w:right w:val="single" w:sz="6" w:space="0" w:color="auto"/>
            </w:tcBorders>
          </w:tcPr>
          <w:p w14:paraId="1F0E4990" w14:textId="34A2F9C7" w:rsidR="146F07C5" w:rsidRDefault="146F07C5" w:rsidP="146F07C5">
            <w:pPr>
              <w:rPr>
                <w:rFonts w:ascii="Calibri" w:eastAsia="Calibri" w:hAnsi="Calibri" w:cs="Calibri"/>
              </w:rPr>
            </w:pPr>
            <w:r w:rsidRPr="146F07C5">
              <w:rPr>
                <w:rFonts w:ascii="Calibri" w:eastAsia="Calibri" w:hAnsi="Calibri" w:cs="Calibri"/>
              </w:rPr>
              <w:t>“The corresponding author had full access to all the data in the study and had final responsibility for the decision to submit for publication.” </w:t>
            </w:r>
          </w:p>
        </w:tc>
      </w:tr>
      <w:tr w:rsidR="146F07C5" w14:paraId="50752C05" w14:textId="77777777" w:rsidTr="146F07C5">
        <w:trPr>
          <w:trHeight w:val="945"/>
        </w:trPr>
        <w:tc>
          <w:tcPr>
            <w:tcW w:w="1920" w:type="dxa"/>
            <w:tcBorders>
              <w:top w:val="single" w:sz="6" w:space="0" w:color="auto"/>
              <w:left w:val="single" w:sz="6" w:space="0" w:color="auto"/>
              <w:bottom w:val="single" w:sz="6" w:space="0" w:color="auto"/>
              <w:right w:val="single" w:sz="6" w:space="0" w:color="auto"/>
            </w:tcBorders>
          </w:tcPr>
          <w:p w14:paraId="33B9BA07" w14:textId="2B90C393" w:rsidR="146F07C5" w:rsidRDefault="146F07C5" w:rsidP="146F07C5">
            <w:pPr>
              <w:rPr>
                <w:rFonts w:ascii="Calibri" w:eastAsia="Calibri" w:hAnsi="Calibri" w:cs="Calibri"/>
              </w:rPr>
            </w:pPr>
            <w:r w:rsidRPr="146F07C5">
              <w:rPr>
                <w:rFonts w:ascii="Calibri" w:eastAsia="Calibri" w:hAnsi="Calibri" w:cs="Calibri"/>
              </w:rPr>
              <w:lastRenderedPageBreak/>
              <w:t>Incomplete outcome data (attrition bias) </w:t>
            </w:r>
          </w:p>
        </w:tc>
        <w:tc>
          <w:tcPr>
            <w:tcW w:w="1530" w:type="dxa"/>
            <w:tcBorders>
              <w:top w:val="single" w:sz="6" w:space="0" w:color="auto"/>
              <w:left w:val="single" w:sz="6" w:space="0" w:color="auto"/>
              <w:bottom w:val="single" w:sz="6" w:space="0" w:color="auto"/>
              <w:right w:val="single" w:sz="6" w:space="0" w:color="auto"/>
            </w:tcBorders>
          </w:tcPr>
          <w:p w14:paraId="5116A593" w14:textId="20A3AF6D" w:rsidR="146F07C5" w:rsidRDefault="146F07C5" w:rsidP="146F07C5">
            <w:pPr>
              <w:rPr>
                <w:rFonts w:ascii="Calibri" w:eastAsia="Calibri" w:hAnsi="Calibri" w:cs="Calibri"/>
              </w:rPr>
            </w:pPr>
            <w:r w:rsidRPr="146F07C5">
              <w:rPr>
                <w:rFonts w:ascii="Calibri" w:eastAsia="Calibri" w:hAnsi="Calibri" w:cs="Calibri"/>
              </w:rPr>
              <w:t>Unclear </w:t>
            </w:r>
          </w:p>
        </w:tc>
        <w:tc>
          <w:tcPr>
            <w:tcW w:w="5880" w:type="dxa"/>
            <w:tcBorders>
              <w:top w:val="single" w:sz="6" w:space="0" w:color="auto"/>
              <w:left w:val="single" w:sz="6" w:space="0" w:color="auto"/>
              <w:bottom w:val="single" w:sz="6" w:space="0" w:color="auto"/>
              <w:right w:val="single" w:sz="6" w:space="0" w:color="auto"/>
            </w:tcBorders>
          </w:tcPr>
          <w:p w14:paraId="5B76D5BF" w14:textId="3E5D9010" w:rsidR="146F07C5" w:rsidRDefault="146F07C5" w:rsidP="146F07C5">
            <w:pPr>
              <w:rPr>
                <w:rFonts w:ascii="Calibri" w:eastAsia="Calibri" w:hAnsi="Calibri" w:cs="Calibri"/>
              </w:rPr>
            </w:pPr>
            <w:r w:rsidRPr="146F07C5">
              <w:rPr>
                <w:rFonts w:ascii="Calibri" w:eastAsia="Calibri" w:hAnsi="Calibri" w:cs="Calibri"/>
              </w:rPr>
              <w:t>“The primary endpoints were the changes in hemoglobin concentration and iron stores (ferritin concentrations at 4 weeks postoperatively for both, and the number of transfused units of blood required postoperatively until discharge. The secondary outcomes of the trial were assessment of the safety and tolerability of ferric carboxymaltose, length of hospital stay, occurrence of infections and complications during admission in both groups, and the effect of the interventions on quality of life measured at 4 weeks and 12 weeks postoperatively.” </w:t>
            </w:r>
          </w:p>
          <w:p w14:paraId="3C445597" w14:textId="0E9DDA14" w:rsidR="146F07C5" w:rsidRDefault="146F07C5" w:rsidP="146F07C5">
            <w:pPr>
              <w:rPr>
                <w:rFonts w:ascii="Calibri" w:eastAsia="Calibri" w:hAnsi="Calibri" w:cs="Calibri"/>
              </w:rPr>
            </w:pPr>
            <w:r w:rsidRPr="146F07C5">
              <w:rPr>
                <w:rFonts w:ascii="Calibri" w:eastAsia="Calibri" w:hAnsi="Calibri" w:cs="Calibri"/>
              </w:rPr>
              <w:t> </w:t>
            </w:r>
          </w:p>
          <w:p w14:paraId="28962DBA" w14:textId="617DAB54" w:rsidR="146F07C5" w:rsidRDefault="146F07C5" w:rsidP="146F07C5">
            <w:pPr>
              <w:rPr>
                <w:rFonts w:ascii="Calibri" w:eastAsia="Calibri" w:hAnsi="Calibri" w:cs="Calibri"/>
              </w:rPr>
            </w:pPr>
            <w:r w:rsidRPr="146F07C5">
              <w:rPr>
                <w:rFonts w:ascii="Calibri" w:eastAsia="Calibri" w:hAnsi="Calibri" w:cs="Calibri"/>
              </w:rPr>
              <w:t>Efficacy measurements were not prespecified for hemoglobin concentration and iron stores at 12 weeks postoperatively, but were reported in Table 2. </w:t>
            </w:r>
          </w:p>
          <w:p w14:paraId="42A42C8F" w14:textId="74F6250A" w:rsidR="146F07C5" w:rsidRDefault="146F07C5" w:rsidP="146F07C5">
            <w:pPr>
              <w:rPr>
                <w:rFonts w:ascii="Calibri" w:eastAsia="Calibri" w:hAnsi="Calibri" w:cs="Calibri"/>
              </w:rPr>
            </w:pPr>
            <w:r w:rsidRPr="146F07C5">
              <w:rPr>
                <w:rFonts w:ascii="Calibri" w:eastAsia="Calibri" w:hAnsi="Calibri" w:cs="Calibri"/>
              </w:rPr>
              <w:t> </w:t>
            </w:r>
          </w:p>
          <w:p w14:paraId="536A54C3" w14:textId="5688671E" w:rsidR="146F07C5" w:rsidRDefault="146F07C5" w:rsidP="146F07C5">
            <w:pPr>
              <w:rPr>
                <w:rFonts w:ascii="Calibri" w:eastAsia="Calibri" w:hAnsi="Calibri" w:cs="Calibri"/>
              </w:rPr>
            </w:pPr>
            <w:r w:rsidRPr="146F07C5">
              <w:rPr>
                <w:rFonts w:ascii="Calibri" w:eastAsia="Calibri" w:hAnsi="Calibri" w:cs="Calibri"/>
              </w:rPr>
              <w:t>Occurrences of complications were not reported. </w:t>
            </w:r>
          </w:p>
          <w:p w14:paraId="74533DE3" w14:textId="2EDA6E38" w:rsidR="146F07C5" w:rsidRDefault="146F07C5" w:rsidP="146F07C5">
            <w:pPr>
              <w:rPr>
                <w:rFonts w:ascii="Calibri" w:eastAsia="Calibri" w:hAnsi="Calibri" w:cs="Calibri"/>
              </w:rPr>
            </w:pPr>
            <w:r w:rsidRPr="146F07C5">
              <w:rPr>
                <w:rFonts w:ascii="Calibri" w:eastAsia="Calibri" w:hAnsi="Calibri" w:cs="Calibri"/>
              </w:rPr>
              <w:t> </w:t>
            </w:r>
          </w:p>
          <w:p w14:paraId="529F2341" w14:textId="310EBE60" w:rsidR="146F07C5" w:rsidRDefault="146F07C5" w:rsidP="146F07C5">
            <w:pPr>
              <w:rPr>
                <w:rFonts w:ascii="Calibri" w:eastAsia="Calibri" w:hAnsi="Calibri" w:cs="Calibri"/>
              </w:rPr>
            </w:pPr>
            <w:r w:rsidRPr="146F07C5">
              <w:rPr>
                <w:rFonts w:ascii="Calibri" w:eastAsia="Calibri" w:hAnsi="Calibri" w:cs="Calibri"/>
              </w:rPr>
              <w:t>Reasons for withdrawal not explained for either group. </w:t>
            </w:r>
          </w:p>
        </w:tc>
      </w:tr>
      <w:tr w:rsidR="146F07C5" w14:paraId="471FFB00" w14:textId="77777777" w:rsidTr="146F07C5">
        <w:trPr>
          <w:trHeight w:val="300"/>
        </w:trPr>
        <w:tc>
          <w:tcPr>
            <w:tcW w:w="1920" w:type="dxa"/>
            <w:tcBorders>
              <w:top w:val="single" w:sz="6" w:space="0" w:color="auto"/>
              <w:left w:val="single" w:sz="6" w:space="0" w:color="auto"/>
              <w:bottom w:val="single" w:sz="6" w:space="0" w:color="auto"/>
              <w:right w:val="single" w:sz="6" w:space="0" w:color="auto"/>
            </w:tcBorders>
          </w:tcPr>
          <w:p w14:paraId="69CFB0A5" w14:textId="3C443160" w:rsidR="146F07C5" w:rsidRDefault="146F07C5" w:rsidP="146F07C5">
            <w:pPr>
              <w:rPr>
                <w:rFonts w:ascii="Calibri" w:eastAsia="Calibri" w:hAnsi="Calibri" w:cs="Calibri"/>
              </w:rPr>
            </w:pPr>
            <w:r w:rsidRPr="146F07C5">
              <w:rPr>
                <w:rFonts w:ascii="Calibri" w:eastAsia="Calibri" w:hAnsi="Calibri" w:cs="Calibri"/>
              </w:rPr>
              <w:t>Selective reporting (reporting bias) </w:t>
            </w:r>
          </w:p>
        </w:tc>
        <w:tc>
          <w:tcPr>
            <w:tcW w:w="1530" w:type="dxa"/>
            <w:tcBorders>
              <w:top w:val="single" w:sz="6" w:space="0" w:color="auto"/>
              <w:left w:val="single" w:sz="6" w:space="0" w:color="auto"/>
              <w:bottom w:val="single" w:sz="6" w:space="0" w:color="auto"/>
              <w:right w:val="single" w:sz="6" w:space="0" w:color="auto"/>
            </w:tcBorders>
          </w:tcPr>
          <w:p w14:paraId="55C2B8CB" w14:textId="0827A618" w:rsidR="146F07C5" w:rsidRDefault="146F07C5" w:rsidP="146F07C5">
            <w:pPr>
              <w:rPr>
                <w:rFonts w:ascii="Calibri" w:eastAsia="Calibri" w:hAnsi="Calibri" w:cs="Calibri"/>
              </w:rPr>
            </w:pPr>
            <w:r w:rsidRPr="146F07C5">
              <w:rPr>
                <w:rFonts w:ascii="Calibri" w:eastAsia="Calibri" w:hAnsi="Calibri" w:cs="Calibri"/>
              </w:rPr>
              <w:t>Low </w:t>
            </w:r>
          </w:p>
        </w:tc>
        <w:tc>
          <w:tcPr>
            <w:tcW w:w="5880" w:type="dxa"/>
            <w:tcBorders>
              <w:top w:val="single" w:sz="6" w:space="0" w:color="auto"/>
              <w:left w:val="single" w:sz="6" w:space="0" w:color="auto"/>
              <w:bottom w:val="single" w:sz="6" w:space="0" w:color="auto"/>
              <w:right w:val="single" w:sz="6" w:space="0" w:color="auto"/>
            </w:tcBorders>
          </w:tcPr>
          <w:p w14:paraId="090BBE21" w14:textId="055192FD" w:rsidR="146F07C5" w:rsidRDefault="146F07C5" w:rsidP="146F07C5">
            <w:pPr>
              <w:rPr>
                <w:rFonts w:ascii="Calibri" w:eastAsia="Calibri" w:hAnsi="Calibri" w:cs="Calibri"/>
              </w:rPr>
            </w:pPr>
            <w:r w:rsidRPr="146F07C5">
              <w:rPr>
                <w:rFonts w:ascii="Calibri" w:eastAsia="Calibri" w:hAnsi="Calibri" w:cs="Calibri"/>
              </w:rPr>
              <w:t>“We did all analysis on an intention-to-treat basis with imputation of missing SF36 assessments, but no imputation for entirely missing SF36 assessments.” </w:t>
            </w:r>
          </w:p>
        </w:tc>
      </w:tr>
      <w:tr w:rsidR="146F07C5" w14:paraId="13A86F53" w14:textId="77777777" w:rsidTr="146F07C5">
        <w:trPr>
          <w:trHeight w:val="300"/>
        </w:trPr>
        <w:tc>
          <w:tcPr>
            <w:tcW w:w="1920" w:type="dxa"/>
            <w:tcBorders>
              <w:top w:val="single" w:sz="6" w:space="0" w:color="auto"/>
              <w:left w:val="single" w:sz="6" w:space="0" w:color="auto"/>
              <w:bottom w:val="single" w:sz="6" w:space="0" w:color="auto"/>
              <w:right w:val="single" w:sz="6" w:space="0" w:color="auto"/>
            </w:tcBorders>
          </w:tcPr>
          <w:p w14:paraId="50A19948" w14:textId="5F44A978" w:rsidR="146F07C5" w:rsidRDefault="146F07C5" w:rsidP="146F07C5">
            <w:pPr>
              <w:rPr>
                <w:rFonts w:ascii="Calibri" w:eastAsia="Calibri" w:hAnsi="Calibri" w:cs="Calibri"/>
              </w:rPr>
            </w:pPr>
            <w:r w:rsidRPr="146F07C5">
              <w:rPr>
                <w:rFonts w:ascii="Calibri" w:eastAsia="Calibri" w:hAnsi="Calibri" w:cs="Calibri"/>
              </w:rPr>
              <w:t>Other bias </w:t>
            </w:r>
          </w:p>
        </w:tc>
        <w:tc>
          <w:tcPr>
            <w:tcW w:w="1530" w:type="dxa"/>
            <w:tcBorders>
              <w:top w:val="single" w:sz="6" w:space="0" w:color="auto"/>
              <w:left w:val="single" w:sz="6" w:space="0" w:color="auto"/>
              <w:bottom w:val="single" w:sz="6" w:space="0" w:color="auto"/>
              <w:right w:val="single" w:sz="6" w:space="0" w:color="auto"/>
            </w:tcBorders>
          </w:tcPr>
          <w:p w14:paraId="24AC4652" w14:textId="755E8E39" w:rsidR="146F07C5" w:rsidRDefault="146F07C5" w:rsidP="146F07C5">
            <w:pPr>
              <w:rPr>
                <w:rFonts w:ascii="Calibri" w:eastAsia="Calibri" w:hAnsi="Calibri" w:cs="Calibri"/>
              </w:rPr>
            </w:pPr>
            <w:r w:rsidRPr="146F07C5">
              <w:rPr>
                <w:rFonts w:ascii="Calibri" w:eastAsia="Calibri" w:hAnsi="Calibri" w:cs="Calibri"/>
              </w:rPr>
              <w:t> </w:t>
            </w:r>
            <w:r w:rsidRPr="146F07C5">
              <w:rPr>
                <w:rFonts w:ascii="Calibri" w:eastAsia="Calibri" w:hAnsi="Calibri" w:cs="Calibri"/>
                <w:color w:val="881798"/>
              </w:rPr>
              <w:t>Low</w:t>
            </w:r>
          </w:p>
        </w:tc>
        <w:tc>
          <w:tcPr>
            <w:tcW w:w="5880" w:type="dxa"/>
            <w:tcBorders>
              <w:top w:val="single" w:sz="6" w:space="0" w:color="auto"/>
              <w:left w:val="single" w:sz="6" w:space="0" w:color="auto"/>
              <w:bottom w:val="single" w:sz="6" w:space="0" w:color="auto"/>
              <w:right w:val="single" w:sz="6" w:space="0" w:color="auto"/>
            </w:tcBorders>
          </w:tcPr>
          <w:p w14:paraId="730F0F6C" w14:textId="53B24225" w:rsidR="146F07C5" w:rsidRDefault="146F07C5" w:rsidP="146F07C5">
            <w:pPr>
              <w:rPr>
                <w:rFonts w:ascii="Calibri" w:eastAsia="Calibri" w:hAnsi="Calibri" w:cs="Calibri"/>
              </w:rPr>
            </w:pPr>
            <w:r w:rsidRPr="146F07C5">
              <w:rPr>
                <w:rFonts w:ascii="Calibri" w:eastAsia="Calibri" w:hAnsi="Calibri" w:cs="Calibri"/>
                <w:color w:val="881798"/>
              </w:rPr>
              <w:t> No other bias detected.</w:t>
            </w:r>
          </w:p>
        </w:tc>
      </w:tr>
    </w:tbl>
    <w:p w14:paraId="5DE46B54" w14:textId="499C2E4F" w:rsidR="3C2ECE16" w:rsidRDefault="6CF2E31F" w:rsidP="146F07C5">
      <w:pPr>
        <w:rPr>
          <w:rFonts w:ascii="Calibri" w:eastAsia="Calibri" w:hAnsi="Calibri" w:cs="Calibri"/>
        </w:rPr>
      </w:pPr>
      <w:r w:rsidRPr="146F07C5">
        <w:rPr>
          <w:rFonts w:ascii="Calibri" w:eastAsia="Calibri" w:hAnsi="Calibri" w:cs="Calibri"/>
        </w:rPr>
        <w:t>Page Break </w:t>
      </w:r>
    </w:p>
    <w:tbl>
      <w:tblPr>
        <w:tblW w:w="0" w:type="auto"/>
        <w:tblLayout w:type="fixed"/>
        <w:tblLook w:val="04A0" w:firstRow="1" w:lastRow="0" w:firstColumn="1" w:lastColumn="0" w:noHBand="0" w:noVBand="1"/>
      </w:tblPr>
      <w:tblGrid>
        <w:gridCol w:w="1920"/>
        <w:gridCol w:w="1680"/>
        <w:gridCol w:w="5715"/>
      </w:tblGrid>
      <w:tr w:rsidR="146F07C5" w14:paraId="2F09A709" w14:textId="77777777" w:rsidTr="146F07C5">
        <w:trPr>
          <w:trHeight w:val="570"/>
        </w:trPr>
        <w:tc>
          <w:tcPr>
            <w:tcW w:w="9315" w:type="dxa"/>
            <w:gridSpan w:val="3"/>
            <w:tcBorders>
              <w:top w:val="outset" w:sz="18" w:space="0" w:color="auto"/>
              <w:left w:val="outset" w:sz="18" w:space="0" w:color="auto"/>
              <w:bottom w:val="outset" w:sz="18" w:space="0" w:color="auto"/>
              <w:right w:val="outset" w:sz="18" w:space="0" w:color="auto"/>
            </w:tcBorders>
            <w:shd w:val="clear" w:color="auto" w:fill="D9D9D9" w:themeFill="background1" w:themeFillShade="D9"/>
          </w:tcPr>
          <w:p w14:paraId="2E6BA95B" w14:textId="5167007F" w:rsidR="146F07C5" w:rsidRDefault="146F07C5" w:rsidP="146F07C5">
            <w:pPr>
              <w:rPr>
                <w:rFonts w:ascii="Calibri" w:eastAsia="Calibri" w:hAnsi="Calibri" w:cs="Calibri"/>
              </w:rPr>
            </w:pPr>
            <w:r w:rsidRPr="146F07C5">
              <w:rPr>
                <w:rFonts w:ascii="Calibri" w:eastAsia="Calibri" w:hAnsi="Calibri" w:cs="Calibri"/>
              </w:rPr>
              <w:t>Kim YW, Bae JM, Park YK, Yang HK, Yu W, Yook JH, et al. Effect of intravenous ferric carboxymaltose on hemoglobin response among patients with acute isovolemic anemia following gastrectomy the FAIRY randomized clinical trial. JAMA. 2017;317(20):2097-104.</w:t>
            </w:r>
            <w:r w:rsidRPr="146F07C5">
              <w:rPr>
                <w:rFonts w:ascii="Calibri" w:eastAsia="Calibri" w:hAnsi="Calibri" w:cs="Calibri"/>
                <w:vertAlign w:val="superscript"/>
              </w:rPr>
              <w:t>7</w:t>
            </w:r>
            <w:r w:rsidRPr="146F07C5">
              <w:rPr>
                <w:rFonts w:ascii="Calibri" w:eastAsia="Calibri" w:hAnsi="Calibri" w:cs="Calibri"/>
              </w:rPr>
              <w:t> </w:t>
            </w:r>
          </w:p>
        </w:tc>
      </w:tr>
      <w:tr w:rsidR="146F07C5" w14:paraId="32625EB6" w14:textId="77777777" w:rsidTr="146F07C5">
        <w:trPr>
          <w:trHeight w:val="570"/>
        </w:trPr>
        <w:tc>
          <w:tcPr>
            <w:tcW w:w="1920" w:type="dxa"/>
            <w:tcBorders>
              <w:top w:val="outset" w:sz="18" w:space="0" w:color="auto"/>
              <w:left w:val="single" w:sz="6" w:space="0" w:color="auto"/>
              <w:bottom w:val="single" w:sz="6" w:space="0" w:color="auto"/>
              <w:right w:val="single" w:sz="6" w:space="0" w:color="auto"/>
            </w:tcBorders>
            <w:vAlign w:val="bottom"/>
          </w:tcPr>
          <w:p w14:paraId="198E9034" w14:textId="095392CE" w:rsidR="146F07C5" w:rsidRDefault="146F07C5" w:rsidP="146F07C5">
            <w:pPr>
              <w:rPr>
                <w:rFonts w:ascii="Calibri" w:eastAsia="Calibri" w:hAnsi="Calibri" w:cs="Calibri"/>
              </w:rPr>
            </w:pPr>
            <w:r w:rsidRPr="146F07C5">
              <w:rPr>
                <w:rFonts w:ascii="Calibri" w:eastAsia="Calibri" w:hAnsi="Calibri" w:cs="Calibri"/>
              </w:rPr>
              <w:t>Bias </w:t>
            </w:r>
          </w:p>
        </w:tc>
        <w:tc>
          <w:tcPr>
            <w:tcW w:w="1680" w:type="dxa"/>
            <w:tcBorders>
              <w:top w:val="nil"/>
              <w:left w:val="single" w:sz="6" w:space="0" w:color="auto"/>
              <w:bottom w:val="single" w:sz="6" w:space="0" w:color="auto"/>
              <w:right w:val="single" w:sz="6" w:space="0" w:color="auto"/>
            </w:tcBorders>
            <w:vAlign w:val="bottom"/>
          </w:tcPr>
          <w:p w14:paraId="695E212D" w14:textId="7A006849" w:rsidR="146F07C5" w:rsidRDefault="146F07C5" w:rsidP="146F07C5">
            <w:pPr>
              <w:rPr>
                <w:rFonts w:ascii="Calibri" w:eastAsia="Calibri" w:hAnsi="Calibri" w:cs="Calibri"/>
              </w:rPr>
            </w:pPr>
            <w:r w:rsidRPr="146F07C5">
              <w:rPr>
                <w:rFonts w:ascii="Calibri" w:eastAsia="Calibri" w:hAnsi="Calibri" w:cs="Calibri"/>
              </w:rPr>
              <w:t>Authors’ judgment (low, unclear, high) </w:t>
            </w:r>
          </w:p>
        </w:tc>
        <w:tc>
          <w:tcPr>
            <w:tcW w:w="5715" w:type="dxa"/>
            <w:tcBorders>
              <w:top w:val="nil"/>
              <w:left w:val="single" w:sz="6" w:space="0" w:color="auto"/>
              <w:bottom w:val="single" w:sz="6" w:space="0" w:color="auto"/>
              <w:right w:val="single" w:sz="6" w:space="0" w:color="auto"/>
            </w:tcBorders>
            <w:vAlign w:val="bottom"/>
          </w:tcPr>
          <w:p w14:paraId="142180A1" w14:textId="180B8B20" w:rsidR="146F07C5" w:rsidRDefault="146F07C5" w:rsidP="146F07C5">
            <w:pPr>
              <w:rPr>
                <w:rFonts w:ascii="Calibri" w:eastAsia="Calibri" w:hAnsi="Calibri" w:cs="Calibri"/>
              </w:rPr>
            </w:pPr>
            <w:r w:rsidRPr="146F07C5">
              <w:rPr>
                <w:rFonts w:ascii="Calibri" w:eastAsia="Calibri" w:hAnsi="Calibri" w:cs="Calibri"/>
              </w:rPr>
              <w:t>Support for judgment </w:t>
            </w:r>
          </w:p>
        </w:tc>
      </w:tr>
      <w:tr w:rsidR="146F07C5" w14:paraId="75AD4767" w14:textId="77777777" w:rsidTr="146F07C5">
        <w:trPr>
          <w:trHeight w:val="945"/>
        </w:trPr>
        <w:tc>
          <w:tcPr>
            <w:tcW w:w="1920" w:type="dxa"/>
            <w:tcBorders>
              <w:top w:val="single" w:sz="6" w:space="0" w:color="auto"/>
              <w:left w:val="single" w:sz="6" w:space="0" w:color="auto"/>
              <w:bottom w:val="single" w:sz="6" w:space="0" w:color="auto"/>
              <w:right w:val="single" w:sz="6" w:space="0" w:color="auto"/>
            </w:tcBorders>
          </w:tcPr>
          <w:p w14:paraId="60FA1518" w14:textId="58DCE9B2" w:rsidR="146F07C5" w:rsidRDefault="146F07C5" w:rsidP="146F07C5">
            <w:pPr>
              <w:rPr>
                <w:rFonts w:ascii="Calibri" w:eastAsia="Calibri" w:hAnsi="Calibri" w:cs="Calibri"/>
              </w:rPr>
            </w:pPr>
            <w:r w:rsidRPr="146F07C5">
              <w:rPr>
                <w:rFonts w:ascii="Calibri" w:eastAsia="Calibri" w:hAnsi="Calibri" w:cs="Calibri"/>
              </w:rPr>
              <w:t>Random sequence generation (selection bias) </w:t>
            </w:r>
          </w:p>
        </w:tc>
        <w:tc>
          <w:tcPr>
            <w:tcW w:w="1680" w:type="dxa"/>
            <w:tcBorders>
              <w:top w:val="single" w:sz="6" w:space="0" w:color="auto"/>
              <w:left w:val="single" w:sz="6" w:space="0" w:color="auto"/>
              <w:bottom w:val="single" w:sz="6" w:space="0" w:color="auto"/>
              <w:right w:val="single" w:sz="6" w:space="0" w:color="auto"/>
            </w:tcBorders>
          </w:tcPr>
          <w:p w14:paraId="2CFC74CF" w14:textId="1654B9D5" w:rsidR="146F07C5" w:rsidRDefault="146F07C5" w:rsidP="146F07C5">
            <w:pPr>
              <w:rPr>
                <w:rFonts w:ascii="Calibri" w:eastAsia="Calibri" w:hAnsi="Calibri" w:cs="Calibri"/>
              </w:rPr>
            </w:pPr>
            <w:r w:rsidRPr="146F07C5">
              <w:rPr>
                <w:rFonts w:ascii="Calibri" w:eastAsia="Calibri" w:hAnsi="Calibri" w:cs="Calibri"/>
              </w:rPr>
              <w:t>Low </w:t>
            </w:r>
          </w:p>
        </w:tc>
        <w:tc>
          <w:tcPr>
            <w:tcW w:w="5715" w:type="dxa"/>
            <w:tcBorders>
              <w:top w:val="single" w:sz="6" w:space="0" w:color="auto"/>
              <w:left w:val="single" w:sz="6" w:space="0" w:color="auto"/>
              <w:bottom w:val="single" w:sz="6" w:space="0" w:color="auto"/>
              <w:right w:val="single" w:sz="6" w:space="0" w:color="auto"/>
            </w:tcBorders>
          </w:tcPr>
          <w:p w14:paraId="04C3F8F0" w14:textId="36AC985F" w:rsidR="146F07C5" w:rsidRDefault="146F07C5" w:rsidP="146F07C5">
            <w:pPr>
              <w:rPr>
                <w:rFonts w:ascii="Calibri" w:eastAsia="Calibri" w:hAnsi="Calibri" w:cs="Calibri"/>
              </w:rPr>
            </w:pPr>
            <w:r w:rsidRPr="146F07C5">
              <w:rPr>
                <w:rFonts w:ascii="Calibri" w:eastAsia="Calibri" w:hAnsi="Calibri" w:cs="Calibri"/>
              </w:rPr>
              <w:t xml:space="preserve">“Patients were stratified at each study site during randomization based on their clinical stage of gastric cancer (according to the American Joint Commission on Cancer tumor-node-metastasis [TNM] system): stage I (does not require adjuvant chemotherapy after gastrectomy) and stages II through IV (requires adjuvant or palliative chemotherapy after gastrectomy). Group allocation was randomly assigned (1:1) by a data management system </w:t>
            </w:r>
            <w:r w:rsidRPr="146F07C5">
              <w:rPr>
                <w:rFonts w:ascii="Calibri" w:eastAsia="Calibri" w:hAnsi="Calibri" w:cs="Calibri"/>
              </w:rPr>
              <w:lastRenderedPageBreak/>
              <w:t>(Velos eResearch, Velos). A random permutation method with block sizes 2, 4, and 6 were used.” </w:t>
            </w:r>
          </w:p>
        </w:tc>
      </w:tr>
      <w:tr w:rsidR="146F07C5" w14:paraId="642794DB" w14:textId="77777777" w:rsidTr="146F07C5">
        <w:trPr>
          <w:trHeight w:val="765"/>
        </w:trPr>
        <w:tc>
          <w:tcPr>
            <w:tcW w:w="1920" w:type="dxa"/>
            <w:tcBorders>
              <w:top w:val="single" w:sz="6" w:space="0" w:color="auto"/>
              <w:left w:val="single" w:sz="6" w:space="0" w:color="auto"/>
              <w:bottom w:val="single" w:sz="6" w:space="0" w:color="auto"/>
              <w:right w:val="single" w:sz="6" w:space="0" w:color="auto"/>
            </w:tcBorders>
          </w:tcPr>
          <w:p w14:paraId="67D6F338" w14:textId="0A5E4DEE" w:rsidR="146F07C5" w:rsidRDefault="146F07C5" w:rsidP="146F07C5">
            <w:pPr>
              <w:rPr>
                <w:rFonts w:ascii="Calibri" w:eastAsia="Calibri" w:hAnsi="Calibri" w:cs="Calibri"/>
              </w:rPr>
            </w:pPr>
            <w:r w:rsidRPr="146F07C5">
              <w:rPr>
                <w:rFonts w:ascii="Calibri" w:eastAsia="Calibri" w:hAnsi="Calibri" w:cs="Calibri"/>
              </w:rPr>
              <w:lastRenderedPageBreak/>
              <w:t>Allocation concealment (selection bias) </w:t>
            </w:r>
          </w:p>
        </w:tc>
        <w:tc>
          <w:tcPr>
            <w:tcW w:w="1680" w:type="dxa"/>
            <w:tcBorders>
              <w:top w:val="single" w:sz="6" w:space="0" w:color="auto"/>
              <w:left w:val="single" w:sz="6" w:space="0" w:color="auto"/>
              <w:bottom w:val="single" w:sz="6" w:space="0" w:color="auto"/>
              <w:right w:val="single" w:sz="6" w:space="0" w:color="auto"/>
            </w:tcBorders>
          </w:tcPr>
          <w:p w14:paraId="62205FA6" w14:textId="1E8E0217" w:rsidR="146F07C5" w:rsidRDefault="146F07C5" w:rsidP="146F07C5">
            <w:pPr>
              <w:rPr>
                <w:rFonts w:ascii="Calibri" w:eastAsia="Calibri" w:hAnsi="Calibri" w:cs="Calibri"/>
              </w:rPr>
            </w:pPr>
            <w:r w:rsidRPr="146F07C5">
              <w:rPr>
                <w:rFonts w:ascii="Calibri" w:eastAsia="Calibri" w:hAnsi="Calibri" w:cs="Calibri"/>
              </w:rPr>
              <w:t>Unclear </w:t>
            </w:r>
          </w:p>
        </w:tc>
        <w:tc>
          <w:tcPr>
            <w:tcW w:w="5715" w:type="dxa"/>
            <w:tcBorders>
              <w:top w:val="single" w:sz="6" w:space="0" w:color="auto"/>
              <w:left w:val="single" w:sz="6" w:space="0" w:color="auto"/>
              <w:bottom w:val="single" w:sz="6" w:space="0" w:color="auto"/>
              <w:right w:val="single" w:sz="6" w:space="0" w:color="auto"/>
            </w:tcBorders>
          </w:tcPr>
          <w:p w14:paraId="69ABB5F4" w14:textId="5CCA9AD5" w:rsidR="146F07C5" w:rsidRDefault="146F07C5" w:rsidP="146F07C5">
            <w:pPr>
              <w:rPr>
                <w:rFonts w:ascii="Calibri" w:eastAsia="Calibri" w:hAnsi="Calibri" w:cs="Calibri"/>
              </w:rPr>
            </w:pPr>
            <w:r w:rsidRPr="146F07C5">
              <w:rPr>
                <w:rFonts w:ascii="Calibri" w:eastAsia="Calibri" w:hAnsi="Calibri" w:cs="Calibri"/>
              </w:rPr>
              <w:t>“Group allocation was randomly assigned (1:1) by a data management system (Velos eResearch, Velos).” </w:t>
            </w:r>
          </w:p>
        </w:tc>
      </w:tr>
      <w:tr w:rsidR="146F07C5" w14:paraId="498CA8AB" w14:textId="77777777" w:rsidTr="146F07C5">
        <w:trPr>
          <w:trHeight w:val="1155"/>
        </w:trPr>
        <w:tc>
          <w:tcPr>
            <w:tcW w:w="1920" w:type="dxa"/>
            <w:tcBorders>
              <w:top w:val="single" w:sz="6" w:space="0" w:color="auto"/>
              <w:left w:val="single" w:sz="6" w:space="0" w:color="auto"/>
              <w:bottom w:val="single" w:sz="6" w:space="0" w:color="auto"/>
              <w:right w:val="single" w:sz="6" w:space="0" w:color="auto"/>
            </w:tcBorders>
          </w:tcPr>
          <w:p w14:paraId="35E2D8C1" w14:textId="183BFAFE" w:rsidR="146F07C5" w:rsidRDefault="146F07C5" w:rsidP="146F07C5">
            <w:pPr>
              <w:rPr>
                <w:rFonts w:ascii="Calibri" w:eastAsia="Calibri" w:hAnsi="Calibri" w:cs="Calibri"/>
              </w:rPr>
            </w:pPr>
            <w:r w:rsidRPr="146F07C5">
              <w:rPr>
                <w:rFonts w:ascii="Calibri" w:eastAsia="Calibri" w:hAnsi="Calibri" w:cs="Calibri"/>
              </w:rPr>
              <w:t>Blinding of participants and personnel (performance bias) </w:t>
            </w:r>
          </w:p>
        </w:tc>
        <w:tc>
          <w:tcPr>
            <w:tcW w:w="1680" w:type="dxa"/>
            <w:tcBorders>
              <w:top w:val="single" w:sz="6" w:space="0" w:color="auto"/>
              <w:left w:val="single" w:sz="6" w:space="0" w:color="auto"/>
              <w:bottom w:val="single" w:sz="6" w:space="0" w:color="auto"/>
              <w:right w:val="single" w:sz="6" w:space="0" w:color="auto"/>
            </w:tcBorders>
          </w:tcPr>
          <w:p w14:paraId="0AD8E36C" w14:textId="00FBB6C5" w:rsidR="146F07C5" w:rsidRDefault="146F07C5" w:rsidP="146F07C5">
            <w:pPr>
              <w:rPr>
                <w:rFonts w:ascii="Calibri" w:eastAsia="Calibri" w:hAnsi="Calibri" w:cs="Calibri"/>
              </w:rPr>
            </w:pPr>
            <w:r w:rsidRPr="146F07C5">
              <w:rPr>
                <w:rFonts w:ascii="Calibri" w:eastAsia="Calibri" w:hAnsi="Calibri" w:cs="Calibri"/>
              </w:rPr>
              <w:t>High </w:t>
            </w:r>
          </w:p>
        </w:tc>
        <w:tc>
          <w:tcPr>
            <w:tcW w:w="5715" w:type="dxa"/>
            <w:tcBorders>
              <w:top w:val="single" w:sz="6" w:space="0" w:color="auto"/>
              <w:left w:val="single" w:sz="6" w:space="0" w:color="auto"/>
              <w:bottom w:val="single" w:sz="6" w:space="0" w:color="auto"/>
              <w:right w:val="single" w:sz="6" w:space="0" w:color="auto"/>
            </w:tcBorders>
          </w:tcPr>
          <w:p w14:paraId="18857589" w14:textId="34F15AB3" w:rsidR="146F07C5" w:rsidRDefault="146F07C5" w:rsidP="146F07C5">
            <w:pPr>
              <w:rPr>
                <w:rFonts w:ascii="Calibri" w:eastAsia="Calibri" w:hAnsi="Calibri" w:cs="Calibri"/>
              </w:rPr>
            </w:pPr>
            <w:r w:rsidRPr="146F07C5">
              <w:rPr>
                <w:rFonts w:ascii="Calibri" w:eastAsia="Calibri" w:hAnsi="Calibri" w:cs="Calibri"/>
              </w:rPr>
              <w:t>“The randomized patients were blinded to their group allocation to minimize reporting bias for the QOL assessments. The intravenous line was covered with black vinyl to ensure patient blinding, and the placebo was administered over the equivalent period. The care of patients was standardized between the 2 groups, apart from the delivered treatment.”  </w:t>
            </w:r>
          </w:p>
          <w:p w14:paraId="48CE4BB7" w14:textId="48EB8191" w:rsidR="146F07C5" w:rsidRDefault="146F07C5" w:rsidP="146F07C5">
            <w:pPr>
              <w:rPr>
                <w:rFonts w:ascii="Calibri" w:eastAsia="Calibri" w:hAnsi="Calibri" w:cs="Calibri"/>
              </w:rPr>
            </w:pPr>
            <w:r w:rsidRPr="146F07C5">
              <w:rPr>
                <w:rFonts w:ascii="Calibri" w:eastAsia="Calibri" w:hAnsi="Calibri" w:cs="Calibri"/>
              </w:rPr>
              <w:t> </w:t>
            </w:r>
          </w:p>
          <w:p w14:paraId="5730014A" w14:textId="24040F0F" w:rsidR="146F07C5" w:rsidRDefault="146F07C5" w:rsidP="146F07C5">
            <w:pPr>
              <w:rPr>
                <w:rFonts w:ascii="Calibri" w:eastAsia="Calibri" w:hAnsi="Calibri" w:cs="Calibri"/>
              </w:rPr>
            </w:pPr>
            <w:r w:rsidRPr="146F07C5">
              <w:rPr>
                <w:rFonts w:ascii="Calibri" w:eastAsia="Calibri" w:hAnsi="Calibri" w:cs="Calibri"/>
              </w:rPr>
              <w:t>The FAIRY trial was a patient-blinded, randomized, phase 3, placebo-controlled, 12-week study conducted  in 7 centers across the Republic of Korea. </w:t>
            </w:r>
          </w:p>
        </w:tc>
      </w:tr>
      <w:tr w:rsidR="146F07C5" w14:paraId="3913DEB6" w14:textId="77777777" w:rsidTr="146F07C5">
        <w:trPr>
          <w:trHeight w:val="300"/>
        </w:trPr>
        <w:tc>
          <w:tcPr>
            <w:tcW w:w="1920" w:type="dxa"/>
            <w:tcBorders>
              <w:top w:val="single" w:sz="6" w:space="0" w:color="auto"/>
              <w:left w:val="single" w:sz="6" w:space="0" w:color="auto"/>
              <w:bottom w:val="single" w:sz="6" w:space="0" w:color="auto"/>
              <w:right w:val="single" w:sz="6" w:space="0" w:color="auto"/>
            </w:tcBorders>
          </w:tcPr>
          <w:p w14:paraId="0296CF7E" w14:textId="55CCE56F" w:rsidR="146F07C5" w:rsidRDefault="146F07C5" w:rsidP="146F07C5">
            <w:pPr>
              <w:rPr>
                <w:rFonts w:ascii="Calibri" w:eastAsia="Calibri" w:hAnsi="Calibri" w:cs="Calibri"/>
              </w:rPr>
            </w:pPr>
            <w:r w:rsidRPr="146F07C5">
              <w:rPr>
                <w:rFonts w:ascii="Calibri" w:eastAsia="Calibri" w:hAnsi="Calibri" w:cs="Calibri"/>
              </w:rPr>
              <w:t>Blinding of outcome assessment (detection bias) </w:t>
            </w:r>
          </w:p>
        </w:tc>
        <w:tc>
          <w:tcPr>
            <w:tcW w:w="1680" w:type="dxa"/>
            <w:tcBorders>
              <w:top w:val="single" w:sz="6" w:space="0" w:color="auto"/>
              <w:left w:val="single" w:sz="6" w:space="0" w:color="auto"/>
              <w:bottom w:val="single" w:sz="6" w:space="0" w:color="auto"/>
              <w:right w:val="single" w:sz="6" w:space="0" w:color="auto"/>
            </w:tcBorders>
          </w:tcPr>
          <w:p w14:paraId="6E92498E" w14:textId="5FF98092" w:rsidR="146F07C5" w:rsidRDefault="146F07C5" w:rsidP="146F07C5">
            <w:pPr>
              <w:rPr>
                <w:rFonts w:ascii="Calibri" w:eastAsia="Calibri" w:hAnsi="Calibri" w:cs="Calibri"/>
              </w:rPr>
            </w:pPr>
            <w:r w:rsidRPr="146F07C5">
              <w:rPr>
                <w:rFonts w:ascii="Calibri" w:eastAsia="Calibri" w:hAnsi="Calibri" w:cs="Calibri"/>
              </w:rPr>
              <w:t>High </w:t>
            </w:r>
          </w:p>
        </w:tc>
        <w:tc>
          <w:tcPr>
            <w:tcW w:w="5715" w:type="dxa"/>
            <w:tcBorders>
              <w:top w:val="single" w:sz="6" w:space="0" w:color="auto"/>
              <w:left w:val="single" w:sz="6" w:space="0" w:color="auto"/>
              <w:bottom w:val="single" w:sz="6" w:space="0" w:color="auto"/>
              <w:right w:val="single" w:sz="6" w:space="0" w:color="auto"/>
            </w:tcBorders>
          </w:tcPr>
          <w:p w14:paraId="04E2DB85" w14:textId="31B75278" w:rsidR="146F07C5" w:rsidRDefault="146F07C5" w:rsidP="146F07C5">
            <w:pPr>
              <w:rPr>
                <w:rFonts w:ascii="Calibri" w:eastAsia="Calibri" w:hAnsi="Calibri" w:cs="Calibri"/>
              </w:rPr>
            </w:pPr>
            <w:r w:rsidRPr="146F07C5">
              <w:rPr>
                <w:rFonts w:ascii="Calibri" w:eastAsia="Calibri" w:hAnsi="Calibri" w:cs="Calibri"/>
              </w:rPr>
              <w:t>“Acquisition, analysis, or interpretation of data: All authors.” </w:t>
            </w:r>
          </w:p>
          <w:p w14:paraId="7BCDBA9C" w14:textId="08278B08" w:rsidR="146F07C5" w:rsidRDefault="146F07C5" w:rsidP="146F07C5">
            <w:pPr>
              <w:rPr>
                <w:rFonts w:ascii="Calibri" w:eastAsia="Calibri" w:hAnsi="Calibri" w:cs="Calibri"/>
              </w:rPr>
            </w:pPr>
            <w:r w:rsidRPr="146F07C5">
              <w:rPr>
                <w:rFonts w:ascii="Calibri" w:eastAsia="Calibri" w:hAnsi="Calibri" w:cs="Calibri"/>
              </w:rPr>
              <w:t> </w:t>
            </w:r>
          </w:p>
          <w:p w14:paraId="36817DDE" w14:textId="74961A79" w:rsidR="146F07C5" w:rsidRDefault="146F07C5" w:rsidP="146F07C5">
            <w:pPr>
              <w:rPr>
                <w:rFonts w:ascii="Calibri" w:eastAsia="Calibri" w:hAnsi="Calibri" w:cs="Calibri"/>
              </w:rPr>
            </w:pPr>
            <w:r w:rsidRPr="146F07C5">
              <w:rPr>
                <w:rFonts w:ascii="Calibri" w:eastAsia="Calibri" w:hAnsi="Calibri" w:cs="Calibri"/>
              </w:rPr>
              <w:t>“The investigators will keep adequate records of the receipt, preparation and administration of the study drug.” </w:t>
            </w:r>
          </w:p>
        </w:tc>
      </w:tr>
      <w:tr w:rsidR="146F07C5" w14:paraId="113DFF61" w14:textId="77777777" w:rsidTr="146F07C5">
        <w:trPr>
          <w:trHeight w:val="945"/>
        </w:trPr>
        <w:tc>
          <w:tcPr>
            <w:tcW w:w="1920" w:type="dxa"/>
            <w:tcBorders>
              <w:top w:val="single" w:sz="6" w:space="0" w:color="auto"/>
              <w:left w:val="single" w:sz="6" w:space="0" w:color="auto"/>
              <w:bottom w:val="single" w:sz="6" w:space="0" w:color="auto"/>
              <w:right w:val="single" w:sz="6" w:space="0" w:color="auto"/>
            </w:tcBorders>
          </w:tcPr>
          <w:p w14:paraId="023A59D8" w14:textId="44FF5955" w:rsidR="146F07C5" w:rsidRDefault="146F07C5" w:rsidP="146F07C5">
            <w:pPr>
              <w:rPr>
                <w:rFonts w:ascii="Calibri" w:eastAsia="Calibri" w:hAnsi="Calibri" w:cs="Calibri"/>
              </w:rPr>
            </w:pPr>
            <w:r w:rsidRPr="146F07C5">
              <w:rPr>
                <w:rFonts w:ascii="Calibri" w:eastAsia="Calibri" w:hAnsi="Calibri" w:cs="Calibri"/>
              </w:rPr>
              <w:t>Incomplete outcome data (attrition bias) </w:t>
            </w:r>
          </w:p>
        </w:tc>
        <w:tc>
          <w:tcPr>
            <w:tcW w:w="1680" w:type="dxa"/>
            <w:tcBorders>
              <w:top w:val="single" w:sz="6" w:space="0" w:color="auto"/>
              <w:left w:val="single" w:sz="6" w:space="0" w:color="auto"/>
              <w:bottom w:val="single" w:sz="6" w:space="0" w:color="auto"/>
              <w:right w:val="single" w:sz="6" w:space="0" w:color="auto"/>
            </w:tcBorders>
          </w:tcPr>
          <w:p w14:paraId="2F133EFC" w14:textId="139C9A21" w:rsidR="146F07C5" w:rsidRDefault="146F07C5" w:rsidP="146F07C5">
            <w:pPr>
              <w:rPr>
                <w:rFonts w:ascii="Calibri" w:eastAsia="Calibri" w:hAnsi="Calibri" w:cs="Calibri"/>
              </w:rPr>
            </w:pPr>
            <w:r w:rsidRPr="146F07C5">
              <w:rPr>
                <w:rFonts w:ascii="Calibri" w:eastAsia="Calibri" w:hAnsi="Calibri" w:cs="Calibri"/>
              </w:rPr>
              <w:t>Low </w:t>
            </w:r>
          </w:p>
        </w:tc>
        <w:tc>
          <w:tcPr>
            <w:tcW w:w="5715" w:type="dxa"/>
            <w:tcBorders>
              <w:top w:val="single" w:sz="6" w:space="0" w:color="auto"/>
              <w:left w:val="single" w:sz="6" w:space="0" w:color="auto"/>
              <w:bottom w:val="single" w:sz="6" w:space="0" w:color="auto"/>
              <w:right w:val="single" w:sz="6" w:space="0" w:color="auto"/>
            </w:tcBorders>
          </w:tcPr>
          <w:p w14:paraId="3638BFFE" w14:textId="6D61B441" w:rsidR="146F07C5" w:rsidRDefault="146F07C5" w:rsidP="146F07C5">
            <w:pPr>
              <w:rPr>
                <w:rFonts w:ascii="Calibri" w:eastAsia="Calibri" w:hAnsi="Calibri" w:cs="Calibri"/>
              </w:rPr>
            </w:pPr>
            <w:r w:rsidRPr="146F07C5">
              <w:rPr>
                <w:rFonts w:ascii="Calibri" w:eastAsia="Calibri" w:hAnsi="Calibri" w:cs="Calibri"/>
              </w:rPr>
              <w:t>“The number of missing data was small (0.7% at week 3 and 1.8% at week 12) and therefore excluded from analysis. Modified intention-to-treat analysis, which excluded missing cases, was performed with the full analysis set, which involved patients who had results of at least 1 postbaseline hemoglobin measurement among the safety set.” </w:t>
            </w:r>
          </w:p>
        </w:tc>
      </w:tr>
      <w:tr w:rsidR="146F07C5" w14:paraId="4B3265C6" w14:textId="77777777" w:rsidTr="146F07C5">
        <w:trPr>
          <w:trHeight w:val="765"/>
        </w:trPr>
        <w:tc>
          <w:tcPr>
            <w:tcW w:w="1920" w:type="dxa"/>
            <w:tcBorders>
              <w:top w:val="single" w:sz="6" w:space="0" w:color="auto"/>
              <w:left w:val="single" w:sz="6" w:space="0" w:color="auto"/>
              <w:bottom w:val="single" w:sz="6" w:space="0" w:color="auto"/>
              <w:right w:val="single" w:sz="6" w:space="0" w:color="auto"/>
            </w:tcBorders>
          </w:tcPr>
          <w:p w14:paraId="17A74B56" w14:textId="2BAB5275" w:rsidR="146F07C5" w:rsidRDefault="146F07C5" w:rsidP="146F07C5">
            <w:pPr>
              <w:rPr>
                <w:rFonts w:ascii="Calibri" w:eastAsia="Calibri" w:hAnsi="Calibri" w:cs="Calibri"/>
              </w:rPr>
            </w:pPr>
            <w:r w:rsidRPr="146F07C5">
              <w:rPr>
                <w:rFonts w:ascii="Calibri" w:eastAsia="Calibri" w:hAnsi="Calibri" w:cs="Calibri"/>
              </w:rPr>
              <w:t>Selective reporting (reporting bias) </w:t>
            </w:r>
          </w:p>
        </w:tc>
        <w:tc>
          <w:tcPr>
            <w:tcW w:w="1680" w:type="dxa"/>
            <w:tcBorders>
              <w:top w:val="single" w:sz="6" w:space="0" w:color="auto"/>
              <w:left w:val="single" w:sz="6" w:space="0" w:color="auto"/>
              <w:bottom w:val="single" w:sz="6" w:space="0" w:color="auto"/>
              <w:right w:val="single" w:sz="6" w:space="0" w:color="auto"/>
            </w:tcBorders>
          </w:tcPr>
          <w:p w14:paraId="2E2D16F7" w14:textId="49F435B5" w:rsidR="146F07C5" w:rsidRDefault="146F07C5" w:rsidP="146F07C5">
            <w:pPr>
              <w:rPr>
                <w:rFonts w:ascii="Calibri" w:eastAsia="Calibri" w:hAnsi="Calibri" w:cs="Calibri"/>
              </w:rPr>
            </w:pPr>
            <w:r w:rsidRPr="146F07C5">
              <w:rPr>
                <w:rFonts w:ascii="Calibri" w:eastAsia="Calibri" w:hAnsi="Calibri" w:cs="Calibri"/>
              </w:rPr>
              <w:t>Low </w:t>
            </w:r>
          </w:p>
        </w:tc>
        <w:tc>
          <w:tcPr>
            <w:tcW w:w="5715" w:type="dxa"/>
            <w:tcBorders>
              <w:top w:val="single" w:sz="6" w:space="0" w:color="auto"/>
              <w:left w:val="single" w:sz="6" w:space="0" w:color="auto"/>
              <w:bottom w:val="single" w:sz="6" w:space="0" w:color="auto"/>
              <w:right w:val="single" w:sz="6" w:space="0" w:color="auto"/>
            </w:tcBorders>
          </w:tcPr>
          <w:p w14:paraId="0EA948B3" w14:textId="54CFD60C" w:rsidR="146F07C5" w:rsidRDefault="146F07C5" w:rsidP="146F07C5">
            <w:pPr>
              <w:rPr>
                <w:rFonts w:ascii="Calibri" w:eastAsia="Calibri" w:hAnsi="Calibri" w:cs="Calibri"/>
              </w:rPr>
            </w:pPr>
            <w:r w:rsidRPr="146F07C5">
              <w:rPr>
                <w:rFonts w:ascii="Calibri" w:eastAsia="Calibri" w:hAnsi="Calibri" w:cs="Calibri"/>
              </w:rPr>
              <w:t>All planned outcomes were reported. </w:t>
            </w:r>
          </w:p>
          <w:p w14:paraId="0AD41DB4" w14:textId="74552DB2" w:rsidR="146F07C5" w:rsidRDefault="146F07C5" w:rsidP="146F07C5">
            <w:pPr>
              <w:rPr>
                <w:rFonts w:ascii="Calibri" w:eastAsia="Calibri" w:hAnsi="Calibri" w:cs="Calibri"/>
              </w:rPr>
            </w:pPr>
            <w:r w:rsidRPr="146F07C5">
              <w:rPr>
                <w:rFonts w:ascii="Calibri" w:eastAsia="Calibri" w:hAnsi="Calibri" w:cs="Calibri"/>
              </w:rPr>
              <w:t> </w:t>
            </w:r>
          </w:p>
          <w:p w14:paraId="6E769242" w14:textId="6183B43A" w:rsidR="146F07C5" w:rsidRDefault="146F07C5" w:rsidP="146F07C5">
            <w:pPr>
              <w:rPr>
                <w:rFonts w:ascii="Calibri" w:eastAsia="Calibri" w:hAnsi="Calibri" w:cs="Calibri"/>
              </w:rPr>
            </w:pPr>
            <w:r w:rsidRPr="146F07C5">
              <w:rPr>
                <w:rFonts w:ascii="Calibri" w:eastAsia="Calibri" w:hAnsi="Calibri" w:cs="Calibri"/>
              </w:rPr>
              <w:t>Subgroup Analysis for Hemoglobin Responders Included in the Primary Analysis available in Supplement 3. </w:t>
            </w:r>
          </w:p>
        </w:tc>
      </w:tr>
      <w:tr w:rsidR="146F07C5" w14:paraId="4C8AC5B8" w14:textId="77777777" w:rsidTr="146F07C5">
        <w:trPr>
          <w:trHeight w:val="300"/>
        </w:trPr>
        <w:tc>
          <w:tcPr>
            <w:tcW w:w="1920" w:type="dxa"/>
            <w:tcBorders>
              <w:top w:val="single" w:sz="6" w:space="0" w:color="auto"/>
              <w:left w:val="single" w:sz="6" w:space="0" w:color="auto"/>
              <w:bottom w:val="single" w:sz="6" w:space="0" w:color="auto"/>
              <w:right w:val="single" w:sz="6" w:space="0" w:color="auto"/>
            </w:tcBorders>
          </w:tcPr>
          <w:p w14:paraId="37EEBBB1" w14:textId="04F04F19" w:rsidR="146F07C5" w:rsidRDefault="146F07C5" w:rsidP="146F07C5">
            <w:pPr>
              <w:rPr>
                <w:rFonts w:ascii="Calibri" w:eastAsia="Calibri" w:hAnsi="Calibri" w:cs="Calibri"/>
              </w:rPr>
            </w:pPr>
            <w:r w:rsidRPr="146F07C5">
              <w:rPr>
                <w:rFonts w:ascii="Calibri" w:eastAsia="Calibri" w:hAnsi="Calibri" w:cs="Calibri"/>
              </w:rPr>
              <w:t>Other bias </w:t>
            </w:r>
          </w:p>
        </w:tc>
        <w:tc>
          <w:tcPr>
            <w:tcW w:w="1680" w:type="dxa"/>
            <w:tcBorders>
              <w:top w:val="single" w:sz="6" w:space="0" w:color="auto"/>
              <w:left w:val="single" w:sz="6" w:space="0" w:color="auto"/>
              <w:bottom w:val="single" w:sz="6" w:space="0" w:color="auto"/>
              <w:right w:val="single" w:sz="6" w:space="0" w:color="auto"/>
            </w:tcBorders>
          </w:tcPr>
          <w:p w14:paraId="13EFA11B" w14:textId="799A3425" w:rsidR="146F07C5" w:rsidRDefault="146F07C5" w:rsidP="146F07C5">
            <w:pPr>
              <w:rPr>
                <w:rFonts w:ascii="Calibri" w:eastAsia="Calibri" w:hAnsi="Calibri" w:cs="Calibri"/>
              </w:rPr>
            </w:pPr>
            <w:r w:rsidRPr="146F07C5">
              <w:rPr>
                <w:rFonts w:ascii="Calibri" w:eastAsia="Calibri" w:hAnsi="Calibri" w:cs="Calibri"/>
              </w:rPr>
              <w:t> Unclear</w:t>
            </w:r>
          </w:p>
        </w:tc>
        <w:tc>
          <w:tcPr>
            <w:tcW w:w="5715" w:type="dxa"/>
            <w:tcBorders>
              <w:top w:val="single" w:sz="6" w:space="0" w:color="auto"/>
              <w:left w:val="single" w:sz="6" w:space="0" w:color="auto"/>
              <w:bottom w:val="single" w:sz="6" w:space="0" w:color="auto"/>
              <w:right w:val="single" w:sz="6" w:space="0" w:color="auto"/>
            </w:tcBorders>
          </w:tcPr>
          <w:p w14:paraId="0DBD9793" w14:textId="08E52A5F" w:rsidR="146F07C5" w:rsidRDefault="146F07C5" w:rsidP="146F07C5">
            <w:pPr>
              <w:rPr>
                <w:rFonts w:ascii="Calibri" w:eastAsia="Calibri" w:hAnsi="Calibri" w:cs="Calibri"/>
              </w:rPr>
            </w:pPr>
            <w:r w:rsidRPr="146F07C5">
              <w:rPr>
                <w:rFonts w:ascii="Calibri" w:eastAsia="Calibri" w:hAnsi="Calibri" w:cs="Calibri"/>
              </w:rPr>
              <w:t> Unclear why the primary endpoint was a binary outcome as opposed to a continuous outcome as it is not the most conservative statistical approach.</w:t>
            </w:r>
          </w:p>
        </w:tc>
      </w:tr>
    </w:tbl>
    <w:p w14:paraId="540EC59E" w14:textId="07EB50B7" w:rsidR="3C2ECE16" w:rsidRDefault="6CF2E31F" w:rsidP="146F07C5">
      <w:pPr>
        <w:rPr>
          <w:rFonts w:ascii="Calibri" w:eastAsia="Calibri" w:hAnsi="Calibri" w:cs="Calibri"/>
        </w:rPr>
      </w:pPr>
      <w:r w:rsidRPr="146F07C5">
        <w:rPr>
          <w:rFonts w:ascii="Calibri" w:eastAsia="Calibri" w:hAnsi="Calibri" w:cs="Calibri"/>
        </w:rPr>
        <w:t> </w:t>
      </w:r>
    </w:p>
    <w:tbl>
      <w:tblPr>
        <w:tblW w:w="0" w:type="auto"/>
        <w:tblLayout w:type="fixed"/>
        <w:tblLook w:val="04A0" w:firstRow="1" w:lastRow="0" w:firstColumn="1" w:lastColumn="0" w:noHBand="0" w:noVBand="1"/>
      </w:tblPr>
      <w:tblGrid>
        <w:gridCol w:w="1410"/>
        <w:gridCol w:w="1680"/>
        <w:gridCol w:w="6225"/>
      </w:tblGrid>
      <w:tr w:rsidR="146F07C5" w14:paraId="49A59497" w14:textId="77777777" w:rsidTr="146F07C5">
        <w:trPr>
          <w:trHeight w:val="570"/>
        </w:trPr>
        <w:tc>
          <w:tcPr>
            <w:tcW w:w="9315" w:type="dxa"/>
            <w:gridSpan w:val="3"/>
            <w:tcBorders>
              <w:top w:val="outset" w:sz="18" w:space="0" w:color="auto"/>
              <w:left w:val="outset" w:sz="18" w:space="0" w:color="auto"/>
              <w:bottom w:val="outset" w:sz="18" w:space="0" w:color="auto"/>
              <w:right w:val="outset" w:sz="18" w:space="0" w:color="auto"/>
            </w:tcBorders>
            <w:shd w:val="clear" w:color="auto" w:fill="D9D9D9" w:themeFill="background1" w:themeFillShade="D9"/>
            <w:vAlign w:val="bottom"/>
          </w:tcPr>
          <w:p w14:paraId="25B59480" w14:textId="18085637" w:rsidR="146F07C5" w:rsidRDefault="146F07C5" w:rsidP="146F07C5">
            <w:pPr>
              <w:rPr>
                <w:rFonts w:ascii="Calibri" w:eastAsia="Calibri" w:hAnsi="Calibri" w:cs="Calibri"/>
              </w:rPr>
            </w:pPr>
            <w:r w:rsidRPr="146F07C5">
              <w:rPr>
                <w:rFonts w:ascii="Calibri" w:eastAsia="Calibri" w:hAnsi="Calibri" w:cs="Calibri"/>
              </w:rPr>
              <w:lastRenderedPageBreak/>
              <w:t>Lee S, Ryu KJ, Lee ES, Lee KH, Lee JJ, Kim T. Comparative efficacy and safety of intravenous ferric carboxymaltose and iron sucrose for the treatment of preoperative anemia in patients with menorrhagia: An open-label, multicenter, randomized study. J Obstet Gynaecol Res. 2019;45(4):858-64.</w:t>
            </w:r>
            <w:r w:rsidRPr="146F07C5">
              <w:rPr>
                <w:rFonts w:ascii="Calibri" w:eastAsia="Calibri" w:hAnsi="Calibri" w:cs="Calibri"/>
                <w:color w:val="D13438"/>
                <w:vertAlign w:val="superscript"/>
              </w:rPr>
              <w:t>8</w:t>
            </w:r>
            <w:r w:rsidRPr="146F07C5">
              <w:rPr>
                <w:rFonts w:ascii="Calibri" w:eastAsia="Calibri" w:hAnsi="Calibri" w:cs="Calibri"/>
                <w:color w:val="D13438"/>
              </w:rPr>
              <w:t> </w:t>
            </w:r>
          </w:p>
        </w:tc>
      </w:tr>
      <w:tr w:rsidR="146F07C5" w14:paraId="745EF30E" w14:textId="77777777" w:rsidTr="146F07C5">
        <w:trPr>
          <w:trHeight w:val="570"/>
        </w:trPr>
        <w:tc>
          <w:tcPr>
            <w:tcW w:w="1410" w:type="dxa"/>
            <w:tcBorders>
              <w:top w:val="outset" w:sz="18" w:space="0" w:color="auto"/>
              <w:left w:val="single" w:sz="6" w:space="0" w:color="auto"/>
              <w:bottom w:val="single" w:sz="6" w:space="0" w:color="auto"/>
              <w:right w:val="single" w:sz="6" w:space="0" w:color="auto"/>
            </w:tcBorders>
            <w:vAlign w:val="bottom"/>
          </w:tcPr>
          <w:p w14:paraId="4020C4BC" w14:textId="2A8C65D3" w:rsidR="146F07C5" w:rsidRDefault="146F07C5" w:rsidP="146F07C5">
            <w:pPr>
              <w:rPr>
                <w:rFonts w:ascii="Calibri" w:eastAsia="Calibri" w:hAnsi="Calibri" w:cs="Calibri"/>
              </w:rPr>
            </w:pPr>
            <w:r w:rsidRPr="146F07C5">
              <w:rPr>
                <w:rFonts w:ascii="Calibri" w:eastAsia="Calibri" w:hAnsi="Calibri" w:cs="Calibri"/>
              </w:rPr>
              <w:t>Bias </w:t>
            </w:r>
          </w:p>
        </w:tc>
        <w:tc>
          <w:tcPr>
            <w:tcW w:w="1680" w:type="dxa"/>
            <w:tcBorders>
              <w:top w:val="nil"/>
              <w:left w:val="single" w:sz="6" w:space="0" w:color="auto"/>
              <w:bottom w:val="single" w:sz="6" w:space="0" w:color="auto"/>
              <w:right w:val="single" w:sz="6" w:space="0" w:color="auto"/>
            </w:tcBorders>
            <w:vAlign w:val="bottom"/>
          </w:tcPr>
          <w:p w14:paraId="1990C282" w14:textId="6C32A565" w:rsidR="146F07C5" w:rsidRDefault="146F07C5" w:rsidP="146F07C5">
            <w:pPr>
              <w:rPr>
                <w:rFonts w:ascii="Calibri" w:eastAsia="Calibri" w:hAnsi="Calibri" w:cs="Calibri"/>
              </w:rPr>
            </w:pPr>
            <w:r w:rsidRPr="146F07C5">
              <w:rPr>
                <w:rFonts w:ascii="Calibri" w:eastAsia="Calibri" w:hAnsi="Calibri" w:cs="Calibri"/>
              </w:rPr>
              <w:t>Authors’ judgment (low, unclear, high) </w:t>
            </w:r>
          </w:p>
        </w:tc>
        <w:tc>
          <w:tcPr>
            <w:tcW w:w="6225" w:type="dxa"/>
            <w:tcBorders>
              <w:top w:val="nil"/>
              <w:left w:val="single" w:sz="6" w:space="0" w:color="auto"/>
              <w:bottom w:val="single" w:sz="6" w:space="0" w:color="auto"/>
              <w:right w:val="single" w:sz="6" w:space="0" w:color="auto"/>
            </w:tcBorders>
            <w:vAlign w:val="bottom"/>
          </w:tcPr>
          <w:p w14:paraId="40DAF64C" w14:textId="627039E4" w:rsidR="146F07C5" w:rsidRDefault="146F07C5" w:rsidP="146F07C5">
            <w:pPr>
              <w:rPr>
                <w:rFonts w:ascii="Calibri" w:eastAsia="Calibri" w:hAnsi="Calibri" w:cs="Calibri"/>
              </w:rPr>
            </w:pPr>
            <w:r w:rsidRPr="146F07C5">
              <w:rPr>
                <w:rFonts w:ascii="Calibri" w:eastAsia="Calibri" w:hAnsi="Calibri" w:cs="Calibri"/>
              </w:rPr>
              <w:t>Support for judgment </w:t>
            </w:r>
          </w:p>
        </w:tc>
      </w:tr>
      <w:tr w:rsidR="146F07C5" w14:paraId="7FA5CBAB" w14:textId="77777777" w:rsidTr="146F07C5">
        <w:trPr>
          <w:trHeight w:val="750"/>
        </w:trPr>
        <w:tc>
          <w:tcPr>
            <w:tcW w:w="1410" w:type="dxa"/>
            <w:tcBorders>
              <w:top w:val="single" w:sz="6" w:space="0" w:color="auto"/>
              <w:left w:val="single" w:sz="6" w:space="0" w:color="auto"/>
              <w:bottom w:val="single" w:sz="6" w:space="0" w:color="auto"/>
              <w:right w:val="single" w:sz="6" w:space="0" w:color="auto"/>
            </w:tcBorders>
          </w:tcPr>
          <w:p w14:paraId="7E733EF8" w14:textId="73D9373E" w:rsidR="146F07C5" w:rsidRDefault="146F07C5" w:rsidP="146F07C5">
            <w:pPr>
              <w:rPr>
                <w:rFonts w:ascii="Calibri" w:eastAsia="Calibri" w:hAnsi="Calibri" w:cs="Calibri"/>
              </w:rPr>
            </w:pPr>
            <w:r w:rsidRPr="146F07C5">
              <w:rPr>
                <w:rFonts w:ascii="Calibri" w:eastAsia="Calibri" w:hAnsi="Calibri" w:cs="Calibri"/>
              </w:rPr>
              <w:t>Random sequence generation (selection bias) </w:t>
            </w:r>
          </w:p>
        </w:tc>
        <w:tc>
          <w:tcPr>
            <w:tcW w:w="1680" w:type="dxa"/>
            <w:tcBorders>
              <w:top w:val="single" w:sz="6" w:space="0" w:color="auto"/>
              <w:left w:val="single" w:sz="6" w:space="0" w:color="auto"/>
              <w:bottom w:val="single" w:sz="6" w:space="0" w:color="auto"/>
              <w:right w:val="single" w:sz="6" w:space="0" w:color="auto"/>
            </w:tcBorders>
          </w:tcPr>
          <w:p w14:paraId="0BB0F1E2" w14:textId="05FC6636" w:rsidR="146F07C5" w:rsidRDefault="146F07C5" w:rsidP="146F07C5">
            <w:pPr>
              <w:rPr>
                <w:rFonts w:ascii="Calibri" w:eastAsia="Calibri" w:hAnsi="Calibri" w:cs="Calibri"/>
              </w:rPr>
            </w:pPr>
            <w:r w:rsidRPr="146F07C5">
              <w:rPr>
                <w:rFonts w:ascii="Calibri" w:eastAsia="Calibri" w:hAnsi="Calibri" w:cs="Calibri"/>
              </w:rPr>
              <w:t>Low </w:t>
            </w:r>
          </w:p>
        </w:tc>
        <w:tc>
          <w:tcPr>
            <w:tcW w:w="6225" w:type="dxa"/>
            <w:tcBorders>
              <w:top w:val="single" w:sz="6" w:space="0" w:color="auto"/>
              <w:left w:val="single" w:sz="6" w:space="0" w:color="auto"/>
              <w:bottom w:val="single" w:sz="6" w:space="0" w:color="auto"/>
              <w:right w:val="single" w:sz="6" w:space="0" w:color="auto"/>
            </w:tcBorders>
          </w:tcPr>
          <w:p w14:paraId="45FD80C0" w14:textId="25405013" w:rsidR="146F07C5" w:rsidRDefault="146F07C5" w:rsidP="146F07C5">
            <w:pPr>
              <w:rPr>
                <w:rFonts w:ascii="Calibri" w:eastAsia="Calibri" w:hAnsi="Calibri" w:cs="Calibri"/>
              </w:rPr>
            </w:pPr>
            <w:r w:rsidRPr="146F07C5">
              <w:rPr>
                <w:rFonts w:ascii="Calibri" w:eastAsia="Calibri" w:hAnsi="Calibri" w:cs="Calibri"/>
              </w:rPr>
              <w:t>"Patients were randomized 1:1 by a computer randomization system to receive either intravenous FCM or IS." </w:t>
            </w:r>
          </w:p>
        </w:tc>
      </w:tr>
      <w:tr w:rsidR="146F07C5" w14:paraId="12197628" w14:textId="77777777" w:rsidTr="146F07C5">
        <w:trPr>
          <w:trHeight w:val="300"/>
        </w:trPr>
        <w:tc>
          <w:tcPr>
            <w:tcW w:w="1410" w:type="dxa"/>
            <w:tcBorders>
              <w:top w:val="single" w:sz="6" w:space="0" w:color="auto"/>
              <w:left w:val="single" w:sz="6" w:space="0" w:color="auto"/>
              <w:bottom w:val="single" w:sz="6" w:space="0" w:color="auto"/>
              <w:right w:val="single" w:sz="6" w:space="0" w:color="auto"/>
            </w:tcBorders>
          </w:tcPr>
          <w:p w14:paraId="66ABAB38" w14:textId="06DDB19E" w:rsidR="146F07C5" w:rsidRDefault="146F07C5" w:rsidP="146F07C5">
            <w:pPr>
              <w:rPr>
                <w:rFonts w:ascii="Calibri" w:eastAsia="Calibri" w:hAnsi="Calibri" w:cs="Calibri"/>
              </w:rPr>
            </w:pPr>
            <w:r w:rsidRPr="146F07C5">
              <w:rPr>
                <w:rFonts w:ascii="Calibri" w:eastAsia="Calibri" w:hAnsi="Calibri" w:cs="Calibri"/>
              </w:rPr>
              <w:t>Allocation concealment (selection bias) </w:t>
            </w:r>
          </w:p>
        </w:tc>
        <w:tc>
          <w:tcPr>
            <w:tcW w:w="1680" w:type="dxa"/>
            <w:tcBorders>
              <w:top w:val="single" w:sz="6" w:space="0" w:color="auto"/>
              <w:left w:val="single" w:sz="6" w:space="0" w:color="auto"/>
              <w:bottom w:val="single" w:sz="6" w:space="0" w:color="auto"/>
              <w:right w:val="single" w:sz="6" w:space="0" w:color="auto"/>
            </w:tcBorders>
          </w:tcPr>
          <w:p w14:paraId="77E1B25A" w14:textId="5B9105BA" w:rsidR="146F07C5" w:rsidRDefault="146F07C5" w:rsidP="146F07C5">
            <w:pPr>
              <w:rPr>
                <w:rFonts w:ascii="Calibri" w:eastAsia="Calibri" w:hAnsi="Calibri" w:cs="Calibri"/>
              </w:rPr>
            </w:pPr>
            <w:r w:rsidRPr="146F07C5">
              <w:rPr>
                <w:rFonts w:ascii="Calibri" w:eastAsia="Calibri" w:hAnsi="Calibri" w:cs="Calibri"/>
              </w:rPr>
              <w:t>Unclear </w:t>
            </w:r>
          </w:p>
        </w:tc>
        <w:tc>
          <w:tcPr>
            <w:tcW w:w="6225" w:type="dxa"/>
            <w:tcBorders>
              <w:top w:val="single" w:sz="6" w:space="0" w:color="auto"/>
              <w:left w:val="single" w:sz="6" w:space="0" w:color="auto"/>
              <w:bottom w:val="single" w:sz="6" w:space="0" w:color="auto"/>
              <w:right w:val="single" w:sz="6" w:space="0" w:color="auto"/>
            </w:tcBorders>
          </w:tcPr>
          <w:p w14:paraId="4BF38C89" w14:textId="24D956C6" w:rsidR="146F07C5" w:rsidRDefault="146F07C5" w:rsidP="146F07C5">
            <w:pPr>
              <w:rPr>
                <w:rFonts w:ascii="Calibri" w:eastAsia="Calibri" w:hAnsi="Calibri" w:cs="Calibri"/>
              </w:rPr>
            </w:pPr>
            <w:r w:rsidRPr="146F07C5">
              <w:rPr>
                <w:rFonts w:ascii="Calibri" w:eastAsia="Calibri" w:hAnsi="Calibri" w:cs="Calibri"/>
              </w:rPr>
              <w:t>No further information about allocation concealment is provided. </w:t>
            </w:r>
          </w:p>
          <w:p w14:paraId="1CB9CACA" w14:textId="51E30C55" w:rsidR="146F07C5" w:rsidRDefault="146F07C5" w:rsidP="146F07C5">
            <w:pPr>
              <w:rPr>
                <w:rFonts w:ascii="Calibri" w:eastAsia="Calibri" w:hAnsi="Calibri" w:cs="Calibri"/>
              </w:rPr>
            </w:pPr>
            <w:r w:rsidRPr="146F07C5">
              <w:rPr>
                <w:rFonts w:ascii="Calibri" w:eastAsia="Calibri" w:hAnsi="Calibri" w:cs="Calibri"/>
              </w:rPr>
              <w:t> </w:t>
            </w:r>
          </w:p>
        </w:tc>
      </w:tr>
      <w:tr w:rsidR="146F07C5" w14:paraId="39FA0F79" w14:textId="77777777" w:rsidTr="146F07C5">
        <w:trPr>
          <w:trHeight w:val="300"/>
        </w:trPr>
        <w:tc>
          <w:tcPr>
            <w:tcW w:w="1410" w:type="dxa"/>
            <w:tcBorders>
              <w:top w:val="single" w:sz="6" w:space="0" w:color="auto"/>
              <w:left w:val="single" w:sz="6" w:space="0" w:color="auto"/>
              <w:bottom w:val="single" w:sz="6" w:space="0" w:color="auto"/>
              <w:right w:val="single" w:sz="6" w:space="0" w:color="auto"/>
            </w:tcBorders>
          </w:tcPr>
          <w:p w14:paraId="30D2E1AD" w14:textId="28EC0BF0" w:rsidR="146F07C5" w:rsidRDefault="146F07C5" w:rsidP="146F07C5">
            <w:pPr>
              <w:rPr>
                <w:rFonts w:ascii="Calibri" w:eastAsia="Calibri" w:hAnsi="Calibri" w:cs="Calibri"/>
              </w:rPr>
            </w:pPr>
            <w:r w:rsidRPr="146F07C5">
              <w:rPr>
                <w:rFonts w:ascii="Calibri" w:eastAsia="Calibri" w:hAnsi="Calibri" w:cs="Calibri"/>
              </w:rPr>
              <w:t>Blinding of participants and personnel (performance bias) </w:t>
            </w:r>
          </w:p>
        </w:tc>
        <w:tc>
          <w:tcPr>
            <w:tcW w:w="1680" w:type="dxa"/>
            <w:tcBorders>
              <w:top w:val="single" w:sz="6" w:space="0" w:color="auto"/>
              <w:left w:val="single" w:sz="6" w:space="0" w:color="auto"/>
              <w:bottom w:val="single" w:sz="6" w:space="0" w:color="auto"/>
              <w:right w:val="single" w:sz="6" w:space="0" w:color="auto"/>
            </w:tcBorders>
          </w:tcPr>
          <w:p w14:paraId="6ADB6F72" w14:textId="34F0F567" w:rsidR="146F07C5" w:rsidRDefault="146F07C5" w:rsidP="146F07C5">
            <w:pPr>
              <w:rPr>
                <w:rFonts w:ascii="Calibri" w:eastAsia="Calibri" w:hAnsi="Calibri" w:cs="Calibri"/>
              </w:rPr>
            </w:pPr>
            <w:r w:rsidRPr="146F07C5">
              <w:rPr>
                <w:rFonts w:ascii="Calibri" w:eastAsia="Calibri" w:hAnsi="Calibri" w:cs="Calibri"/>
              </w:rPr>
              <w:t>High </w:t>
            </w:r>
          </w:p>
        </w:tc>
        <w:tc>
          <w:tcPr>
            <w:tcW w:w="6225" w:type="dxa"/>
            <w:tcBorders>
              <w:top w:val="single" w:sz="6" w:space="0" w:color="auto"/>
              <w:left w:val="single" w:sz="6" w:space="0" w:color="auto"/>
              <w:bottom w:val="single" w:sz="6" w:space="0" w:color="auto"/>
              <w:right w:val="single" w:sz="6" w:space="0" w:color="auto"/>
            </w:tcBorders>
          </w:tcPr>
          <w:p w14:paraId="1ED12A4E" w14:textId="20AD418A" w:rsidR="146F07C5" w:rsidRDefault="146F07C5" w:rsidP="146F07C5">
            <w:pPr>
              <w:rPr>
                <w:rFonts w:ascii="Calibri" w:eastAsia="Calibri" w:hAnsi="Calibri" w:cs="Calibri"/>
              </w:rPr>
            </w:pPr>
            <w:r w:rsidRPr="146F07C5">
              <w:rPr>
                <w:rFonts w:ascii="Calibri" w:eastAsia="Calibri" w:hAnsi="Calibri" w:cs="Calibri"/>
              </w:rPr>
              <w:t>This was an open-label study. </w:t>
            </w:r>
          </w:p>
          <w:p w14:paraId="34C952AE" w14:textId="3ACCBF52" w:rsidR="146F07C5" w:rsidRDefault="146F07C5" w:rsidP="146F07C5">
            <w:pPr>
              <w:rPr>
                <w:rFonts w:ascii="Calibri" w:eastAsia="Calibri" w:hAnsi="Calibri" w:cs="Calibri"/>
              </w:rPr>
            </w:pPr>
            <w:r w:rsidRPr="146F07C5">
              <w:rPr>
                <w:rFonts w:ascii="Calibri" w:eastAsia="Calibri" w:hAnsi="Calibri" w:cs="Calibri"/>
              </w:rPr>
              <w:t> </w:t>
            </w:r>
          </w:p>
        </w:tc>
      </w:tr>
      <w:tr w:rsidR="146F07C5" w14:paraId="68478840" w14:textId="77777777" w:rsidTr="146F07C5">
        <w:trPr>
          <w:trHeight w:val="300"/>
        </w:trPr>
        <w:tc>
          <w:tcPr>
            <w:tcW w:w="1410" w:type="dxa"/>
            <w:tcBorders>
              <w:top w:val="single" w:sz="6" w:space="0" w:color="auto"/>
              <w:left w:val="single" w:sz="6" w:space="0" w:color="auto"/>
              <w:bottom w:val="single" w:sz="6" w:space="0" w:color="auto"/>
              <w:right w:val="single" w:sz="6" w:space="0" w:color="auto"/>
            </w:tcBorders>
          </w:tcPr>
          <w:p w14:paraId="3B419E77" w14:textId="1D079CFD" w:rsidR="146F07C5" w:rsidRDefault="146F07C5" w:rsidP="146F07C5">
            <w:pPr>
              <w:rPr>
                <w:rFonts w:ascii="Calibri" w:eastAsia="Calibri" w:hAnsi="Calibri" w:cs="Calibri"/>
              </w:rPr>
            </w:pPr>
            <w:r w:rsidRPr="146F07C5">
              <w:rPr>
                <w:rFonts w:ascii="Calibri" w:eastAsia="Calibri" w:hAnsi="Calibri" w:cs="Calibri"/>
              </w:rPr>
              <w:t>Blinding of outcome assessment (detection bias) </w:t>
            </w:r>
          </w:p>
        </w:tc>
        <w:tc>
          <w:tcPr>
            <w:tcW w:w="1680" w:type="dxa"/>
            <w:tcBorders>
              <w:top w:val="single" w:sz="6" w:space="0" w:color="auto"/>
              <w:left w:val="single" w:sz="6" w:space="0" w:color="auto"/>
              <w:bottom w:val="single" w:sz="6" w:space="0" w:color="auto"/>
              <w:right w:val="single" w:sz="6" w:space="0" w:color="auto"/>
            </w:tcBorders>
          </w:tcPr>
          <w:p w14:paraId="3897FD7C" w14:textId="678AB495" w:rsidR="146F07C5" w:rsidRDefault="146F07C5" w:rsidP="146F07C5">
            <w:pPr>
              <w:rPr>
                <w:rFonts w:ascii="Calibri" w:eastAsia="Calibri" w:hAnsi="Calibri" w:cs="Calibri"/>
              </w:rPr>
            </w:pPr>
            <w:r w:rsidRPr="146F07C5">
              <w:rPr>
                <w:rFonts w:ascii="Calibri" w:eastAsia="Calibri" w:hAnsi="Calibri" w:cs="Calibri"/>
              </w:rPr>
              <w:t>High </w:t>
            </w:r>
          </w:p>
        </w:tc>
        <w:tc>
          <w:tcPr>
            <w:tcW w:w="6225" w:type="dxa"/>
            <w:tcBorders>
              <w:top w:val="single" w:sz="6" w:space="0" w:color="auto"/>
              <w:left w:val="single" w:sz="6" w:space="0" w:color="auto"/>
              <w:bottom w:val="single" w:sz="6" w:space="0" w:color="auto"/>
              <w:right w:val="single" w:sz="6" w:space="0" w:color="auto"/>
            </w:tcBorders>
          </w:tcPr>
          <w:p w14:paraId="5955CC90" w14:textId="3D5429E8" w:rsidR="146F07C5" w:rsidRDefault="146F07C5" w:rsidP="146F07C5">
            <w:pPr>
              <w:rPr>
                <w:rFonts w:ascii="Calibri" w:eastAsia="Calibri" w:hAnsi="Calibri" w:cs="Calibri"/>
              </w:rPr>
            </w:pPr>
            <w:r w:rsidRPr="146F07C5">
              <w:rPr>
                <w:rFonts w:ascii="Calibri" w:eastAsia="Calibri" w:hAnsi="Calibri" w:cs="Calibri"/>
              </w:rPr>
              <w:t>Open label study; assessors likely not blinded </w:t>
            </w:r>
          </w:p>
          <w:p w14:paraId="329EEADD" w14:textId="731C91F2" w:rsidR="146F07C5" w:rsidRDefault="146F07C5" w:rsidP="146F07C5">
            <w:pPr>
              <w:rPr>
                <w:rFonts w:ascii="Calibri" w:eastAsia="Calibri" w:hAnsi="Calibri" w:cs="Calibri"/>
              </w:rPr>
            </w:pPr>
            <w:r w:rsidRPr="146F07C5">
              <w:rPr>
                <w:rFonts w:ascii="Calibri" w:eastAsia="Calibri" w:hAnsi="Calibri" w:cs="Calibri"/>
              </w:rPr>
              <w:t> </w:t>
            </w:r>
          </w:p>
        </w:tc>
      </w:tr>
      <w:tr w:rsidR="146F07C5" w14:paraId="6CAB4498" w14:textId="77777777" w:rsidTr="146F07C5">
        <w:trPr>
          <w:trHeight w:val="300"/>
        </w:trPr>
        <w:tc>
          <w:tcPr>
            <w:tcW w:w="1410" w:type="dxa"/>
            <w:tcBorders>
              <w:top w:val="single" w:sz="6" w:space="0" w:color="auto"/>
              <w:left w:val="single" w:sz="6" w:space="0" w:color="auto"/>
              <w:bottom w:val="single" w:sz="6" w:space="0" w:color="auto"/>
              <w:right w:val="single" w:sz="6" w:space="0" w:color="auto"/>
            </w:tcBorders>
          </w:tcPr>
          <w:p w14:paraId="4F9A5489" w14:textId="4343FB50" w:rsidR="146F07C5" w:rsidRDefault="146F07C5" w:rsidP="146F07C5">
            <w:pPr>
              <w:rPr>
                <w:rFonts w:ascii="Calibri" w:eastAsia="Calibri" w:hAnsi="Calibri" w:cs="Calibri"/>
              </w:rPr>
            </w:pPr>
            <w:r w:rsidRPr="146F07C5">
              <w:rPr>
                <w:rFonts w:ascii="Calibri" w:eastAsia="Calibri" w:hAnsi="Calibri" w:cs="Calibri"/>
              </w:rPr>
              <w:t>Incomplete outcome data (attrition bias) </w:t>
            </w:r>
          </w:p>
        </w:tc>
        <w:tc>
          <w:tcPr>
            <w:tcW w:w="1680" w:type="dxa"/>
            <w:tcBorders>
              <w:top w:val="single" w:sz="6" w:space="0" w:color="auto"/>
              <w:left w:val="single" w:sz="6" w:space="0" w:color="auto"/>
              <w:bottom w:val="single" w:sz="6" w:space="0" w:color="auto"/>
              <w:right w:val="single" w:sz="6" w:space="0" w:color="auto"/>
            </w:tcBorders>
          </w:tcPr>
          <w:p w14:paraId="72C71C52" w14:textId="24A8169C" w:rsidR="146F07C5" w:rsidRDefault="146F07C5" w:rsidP="146F07C5">
            <w:pPr>
              <w:rPr>
                <w:rFonts w:ascii="Calibri" w:eastAsia="Calibri" w:hAnsi="Calibri" w:cs="Calibri"/>
              </w:rPr>
            </w:pPr>
            <w:r w:rsidRPr="146F07C5">
              <w:rPr>
                <w:rFonts w:ascii="Calibri" w:eastAsia="Calibri" w:hAnsi="Calibri" w:cs="Calibri"/>
              </w:rPr>
              <w:t>Unclear </w:t>
            </w:r>
          </w:p>
        </w:tc>
        <w:tc>
          <w:tcPr>
            <w:tcW w:w="6225" w:type="dxa"/>
            <w:tcBorders>
              <w:top w:val="single" w:sz="6" w:space="0" w:color="auto"/>
              <w:left w:val="single" w:sz="6" w:space="0" w:color="auto"/>
              <w:bottom w:val="single" w:sz="6" w:space="0" w:color="auto"/>
              <w:right w:val="single" w:sz="6" w:space="0" w:color="auto"/>
            </w:tcBorders>
          </w:tcPr>
          <w:p w14:paraId="4F24E57F" w14:textId="4EE4A1A1" w:rsidR="146F07C5" w:rsidRDefault="146F07C5" w:rsidP="146F07C5">
            <w:pPr>
              <w:rPr>
                <w:rFonts w:ascii="Calibri" w:eastAsia="Calibri" w:hAnsi="Calibri" w:cs="Calibri"/>
              </w:rPr>
            </w:pPr>
            <w:r w:rsidRPr="146F07C5">
              <w:rPr>
                <w:rFonts w:ascii="Calibri" w:eastAsia="Calibri" w:hAnsi="Calibri" w:cs="Calibri"/>
              </w:rPr>
              <w:t>"Analyses were based on the full analysis set. Missing data were interpolated using linear regression analysis.  Attrition and exclusions were not reported by intervention group." </w:t>
            </w:r>
          </w:p>
          <w:p w14:paraId="49749379" w14:textId="558EC5E1" w:rsidR="146F07C5" w:rsidRDefault="146F07C5" w:rsidP="146F07C5">
            <w:pPr>
              <w:rPr>
                <w:rFonts w:ascii="Calibri" w:eastAsia="Calibri" w:hAnsi="Calibri" w:cs="Calibri"/>
              </w:rPr>
            </w:pPr>
            <w:r w:rsidRPr="146F07C5">
              <w:rPr>
                <w:rFonts w:ascii="Calibri" w:eastAsia="Calibri" w:hAnsi="Calibri" w:cs="Calibri"/>
              </w:rPr>
              <w:t> </w:t>
            </w:r>
          </w:p>
        </w:tc>
      </w:tr>
      <w:tr w:rsidR="146F07C5" w14:paraId="4F0A262B" w14:textId="77777777" w:rsidTr="146F07C5">
        <w:trPr>
          <w:trHeight w:val="300"/>
        </w:trPr>
        <w:tc>
          <w:tcPr>
            <w:tcW w:w="1410" w:type="dxa"/>
            <w:tcBorders>
              <w:top w:val="single" w:sz="6" w:space="0" w:color="auto"/>
              <w:left w:val="single" w:sz="6" w:space="0" w:color="auto"/>
              <w:bottom w:val="single" w:sz="6" w:space="0" w:color="auto"/>
              <w:right w:val="single" w:sz="6" w:space="0" w:color="auto"/>
            </w:tcBorders>
          </w:tcPr>
          <w:p w14:paraId="7CEE9A4C" w14:textId="4EC737B9" w:rsidR="146F07C5" w:rsidRDefault="146F07C5" w:rsidP="146F07C5">
            <w:pPr>
              <w:rPr>
                <w:rFonts w:ascii="Calibri" w:eastAsia="Calibri" w:hAnsi="Calibri" w:cs="Calibri"/>
              </w:rPr>
            </w:pPr>
            <w:r w:rsidRPr="146F07C5">
              <w:rPr>
                <w:rFonts w:ascii="Calibri" w:eastAsia="Calibri" w:hAnsi="Calibri" w:cs="Calibri"/>
              </w:rPr>
              <w:t>Selective reporting (reporting bias) </w:t>
            </w:r>
          </w:p>
        </w:tc>
        <w:tc>
          <w:tcPr>
            <w:tcW w:w="1680" w:type="dxa"/>
            <w:tcBorders>
              <w:top w:val="single" w:sz="6" w:space="0" w:color="auto"/>
              <w:left w:val="single" w:sz="6" w:space="0" w:color="auto"/>
              <w:bottom w:val="single" w:sz="6" w:space="0" w:color="auto"/>
              <w:right w:val="single" w:sz="6" w:space="0" w:color="auto"/>
            </w:tcBorders>
          </w:tcPr>
          <w:p w14:paraId="628CA21C" w14:textId="1B013143" w:rsidR="146F07C5" w:rsidRDefault="146F07C5" w:rsidP="146F07C5">
            <w:pPr>
              <w:rPr>
                <w:rFonts w:ascii="Calibri" w:eastAsia="Calibri" w:hAnsi="Calibri" w:cs="Calibri"/>
              </w:rPr>
            </w:pPr>
            <w:r w:rsidRPr="146F07C5">
              <w:rPr>
                <w:rFonts w:ascii="Calibri" w:eastAsia="Calibri" w:hAnsi="Calibri" w:cs="Calibri"/>
              </w:rPr>
              <w:t>Low </w:t>
            </w:r>
          </w:p>
        </w:tc>
        <w:tc>
          <w:tcPr>
            <w:tcW w:w="6225" w:type="dxa"/>
            <w:tcBorders>
              <w:top w:val="single" w:sz="6" w:space="0" w:color="auto"/>
              <w:left w:val="single" w:sz="6" w:space="0" w:color="auto"/>
              <w:bottom w:val="single" w:sz="6" w:space="0" w:color="auto"/>
              <w:right w:val="single" w:sz="6" w:space="0" w:color="auto"/>
            </w:tcBorders>
          </w:tcPr>
          <w:p w14:paraId="5B7D780F" w14:textId="09749EDA" w:rsidR="146F07C5" w:rsidRDefault="146F07C5" w:rsidP="146F07C5">
            <w:pPr>
              <w:rPr>
                <w:rFonts w:ascii="Calibri" w:eastAsia="Calibri" w:hAnsi="Calibri" w:cs="Calibri"/>
              </w:rPr>
            </w:pPr>
            <w:r w:rsidRPr="146F07C5">
              <w:rPr>
                <w:rFonts w:ascii="Calibri" w:eastAsia="Calibri" w:hAnsi="Calibri" w:cs="Calibri"/>
              </w:rPr>
              <w:t>The endpoints "proportion of patients acheving Hg levels &gt;10g/ dL within 2 weeks of first treatment, mean Hb levels, mean time to achieve Hb levels &gt;10, and change in QoL are reported in Table 2 and Table 3 </w:t>
            </w:r>
          </w:p>
          <w:p w14:paraId="71A9488A" w14:textId="308F8C7E" w:rsidR="146F07C5" w:rsidRDefault="146F07C5" w:rsidP="146F07C5">
            <w:pPr>
              <w:rPr>
                <w:rFonts w:ascii="Calibri" w:eastAsia="Calibri" w:hAnsi="Calibri" w:cs="Calibri"/>
              </w:rPr>
            </w:pPr>
            <w:r w:rsidRPr="146F07C5">
              <w:rPr>
                <w:rFonts w:ascii="Calibri" w:eastAsia="Calibri" w:hAnsi="Calibri" w:cs="Calibri"/>
              </w:rPr>
              <w:t> </w:t>
            </w:r>
          </w:p>
        </w:tc>
      </w:tr>
      <w:tr w:rsidR="146F07C5" w14:paraId="09C6C96E" w14:textId="77777777" w:rsidTr="146F07C5">
        <w:trPr>
          <w:trHeight w:val="300"/>
        </w:trPr>
        <w:tc>
          <w:tcPr>
            <w:tcW w:w="1410" w:type="dxa"/>
            <w:tcBorders>
              <w:top w:val="single" w:sz="6" w:space="0" w:color="auto"/>
              <w:left w:val="single" w:sz="6" w:space="0" w:color="auto"/>
              <w:bottom w:val="single" w:sz="6" w:space="0" w:color="auto"/>
              <w:right w:val="single" w:sz="6" w:space="0" w:color="auto"/>
            </w:tcBorders>
          </w:tcPr>
          <w:p w14:paraId="72BEA0C4" w14:textId="36CEC262" w:rsidR="146F07C5" w:rsidRDefault="146F07C5" w:rsidP="146F07C5">
            <w:pPr>
              <w:rPr>
                <w:rFonts w:ascii="Calibri" w:eastAsia="Calibri" w:hAnsi="Calibri" w:cs="Calibri"/>
              </w:rPr>
            </w:pPr>
            <w:r w:rsidRPr="146F07C5">
              <w:rPr>
                <w:rFonts w:ascii="Calibri" w:eastAsia="Calibri" w:hAnsi="Calibri" w:cs="Calibri"/>
              </w:rPr>
              <w:t>Other bias </w:t>
            </w:r>
          </w:p>
        </w:tc>
        <w:tc>
          <w:tcPr>
            <w:tcW w:w="1680" w:type="dxa"/>
            <w:tcBorders>
              <w:top w:val="single" w:sz="6" w:space="0" w:color="auto"/>
              <w:left w:val="single" w:sz="6" w:space="0" w:color="auto"/>
              <w:bottom w:val="single" w:sz="6" w:space="0" w:color="auto"/>
              <w:right w:val="single" w:sz="6" w:space="0" w:color="auto"/>
            </w:tcBorders>
          </w:tcPr>
          <w:p w14:paraId="39A61E84" w14:textId="1ABF6C35" w:rsidR="146F07C5" w:rsidRDefault="146F07C5" w:rsidP="146F07C5">
            <w:pPr>
              <w:rPr>
                <w:rFonts w:ascii="Calibri" w:eastAsia="Calibri" w:hAnsi="Calibri" w:cs="Calibri"/>
              </w:rPr>
            </w:pPr>
            <w:r w:rsidRPr="146F07C5">
              <w:rPr>
                <w:rFonts w:ascii="Calibri" w:eastAsia="Calibri" w:hAnsi="Calibri" w:cs="Calibri"/>
              </w:rPr>
              <w:t>High </w:t>
            </w:r>
          </w:p>
        </w:tc>
        <w:tc>
          <w:tcPr>
            <w:tcW w:w="6225" w:type="dxa"/>
            <w:tcBorders>
              <w:top w:val="single" w:sz="6" w:space="0" w:color="auto"/>
              <w:left w:val="single" w:sz="6" w:space="0" w:color="auto"/>
              <w:bottom w:val="single" w:sz="6" w:space="0" w:color="auto"/>
              <w:right w:val="single" w:sz="6" w:space="0" w:color="auto"/>
            </w:tcBorders>
          </w:tcPr>
          <w:p w14:paraId="4D5E383D" w14:textId="04AFFB03" w:rsidR="146F07C5" w:rsidRDefault="146F07C5" w:rsidP="146F07C5">
            <w:pPr>
              <w:rPr>
                <w:rFonts w:ascii="Calibri" w:eastAsia="Calibri" w:hAnsi="Calibri" w:cs="Calibri"/>
              </w:rPr>
            </w:pPr>
            <w:r w:rsidRPr="146F07C5">
              <w:rPr>
                <w:rFonts w:ascii="Calibri" w:eastAsia="Calibri" w:hAnsi="Calibri" w:cs="Calibri"/>
              </w:rPr>
              <w:t xml:space="preserve">"Patients randomized to receive IS required up to three dosing visits per week, and they received a maximum of 600 mg iron per </w:t>
            </w:r>
            <w:r w:rsidRPr="146F07C5">
              <w:rPr>
                <w:rFonts w:ascii="Calibri" w:eastAsia="Calibri" w:hAnsi="Calibri" w:cs="Calibri"/>
              </w:rPr>
              <w:lastRenderedPageBreak/>
              <w:t>win in 200 mg iron single administration sessions. The patients in the FCM group received their maximum weekly  treatment in a single dose over 15 minutes.  </w:t>
            </w:r>
          </w:p>
          <w:p w14:paraId="09C9AC79" w14:textId="0F752EDD" w:rsidR="146F07C5" w:rsidRDefault="146F07C5" w:rsidP="146F07C5">
            <w:pPr>
              <w:rPr>
                <w:rFonts w:ascii="Calibri" w:eastAsia="Calibri" w:hAnsi="Calibri" w:cs="Calibri"/>
              </w:rPr>
            </w:pPr>
            <w:r w:rsidRPr="146F07C5">
              <w:rPr>
                <w:rFonts w:ascii="Calibri" w:eastAsia="Calibri" w:hAnsi="Calibri" w:cs="Calibri"/>
              </w:rPr>
              <w:t>  </w:t>
            </w:r>
          </w:p>
          <w:p w14:paraId="5B710FDB" w14:textId="7FE4E252" w:rsidR="146F07C5" w:rsidRDefault="146F07C5" w:rsidP="146F07C5">
            <w:pPr>
              <w:rPr>
                <w:rFonts w:ascii="Calibri" w:eastAsia="Calibri" w:hAnsi="Calibri" w:cs="Calibri"/>
              </w:rPr>
            </w:pPr>
            <w:r w:rsidRPr="146F07C5">
              <w:rPr>
                <w:rFonts w:ascii="Calibri" w:eastAsia="Calibri" w:hAnsi="Calibri" w:cs="Calibri"/>
              </w:rPr>
              <w:t>The differential in time spent receiving treatments could potentially alter the outcome of one or more endpoint." </w:t>
            </w:r>
          </w:p>
          <w:p w14:paraId="5D953605" w14:textId="5DEA4562" w:rsidR="146F07C5" w:rsidRDefault="146F07C5" w:rsidP="146F07C5">
            <w:pPr>
              <w:rPr>
                <w:rFonts w:ascii="Calibri" w:eastAsia="Calibri" w:hAnsi="Calibri" w:cs="Calibri"/>
              </w:rPr>
            </w:pPr>
            <w:r w:rsidRPr="146F07C5">
              <w:rPr>
                <w:rFonts w:ascii="Calibri" w:eastAsia="Calibri" w:hAnsi="Calibri" w:cs="Calibri"/>
              </w:rPr>
              <w:t> </w:t>
            </w:r>
          </w:p>
        </w:tc>
      </w:tr>
    </w:tbl>
    <w:p w14:paraId="4E1A1E15" w14:textId="4172444D" w:rsidR="3C2ECE16" w:rsidRDefault="6CF2E31F" w:rsidP="146F07C5">
      <w:pPr>
        <w:rPr>
          <w:rFonts w:ascii="Calibri" w:eastAsia="Calibri" w:hAnsi="Calibri" w:cs="Calibri"/>
        </w:rPr>
      </w:pPr>
      <w:r w:rsidRPr="146F07C5">
        <w:rPr>
          <w:rFonts w:ascii="Calibri" w:eastAsia="Calibri" w:hAnsi="Calibri" w:cs="Calibri"/>
        </w:rPr>
        <w:lastRenderedPageBreak/>
        <w:t> </w:t>
      </w:r>
    </w:p>
    <w:tbl>
      <w:tblPr>
        <w:tblW w:w="0" w:type="auto"/>
        <w:tblLayout w:type="fixed"/>
        <w:tblLook w:val="04A0" w:firstRow="1" w:lastRow="0" w:firstColumn="1" w:lastColumn="0" w:noHBand="0" w:noVBand="1"/>
      </w:tblPr>
      <w:tblGrid>
        <w:gridCol w:w="1425"/>
        <w:gridCol w:w="1680"/>
        <w:gridCol w:w="6225"/>
      </w:tblGrid>
      <w:tr w:rsidR="146F07C5" w14:paraId="27354B05" w14:textId="77777777" w:rsidTr="146F07C5">
        <w:trPr>
          <w:trHeight w:val="570"/>
        </w:trPr>
        <w:tc>
          <w:tcPr>
            <w:tcW w:w="9330" w:type="dxa"/>
            <w:gridSpan w:val="3"/>
            <w:tcBorders>
              <w:top w:val="outset" w:sz="18" w:space="0" w:color="auto"/>
              <w:left w:val="outset" w:sz="18" w:space="0" w:color="auto"/>
              <w:bottom w:val="outset" w:sz="18" w:space="0" w:color="auto"/>
              <w:right w:val="outset" w:sz="18" w:space="0" w:color="auto"/>
            </w:tcBorders>
            <w:shd w:val="clear" w:color="auto" w:fill="D9D9D9" w:themeFill="background1" w:themeFillShade="D9"/>
            <w:vAlign w:val="bottom"/>
          </w:tcPr>
          <w:p w14:paraId="71C9B195" w14:textId="23155555" w:rsidR="146F07C5" w:rsidRDefault="146F07C5" w:rsidP="146F07C5">
            <w:pPr>
              <w:rPr>
                <w:rFonts w:ascii="Calibri" w:eastAsia="Calibri" w:hAnsi="Calibri" w:cs="Calibri"/>
                <w:sz w:val="17"/>
                <w:szCs w:val="17"/>
              </w:rPr>
            </w:pPr>
            <w:r w:rsidRPr="146F07C5">
              <w:rPr>
                <w:rFonts w:ascii="Calibri" w:eastAsia="Calibri" w:hAnsi="Calibri" w:cs="Calibri"/>
              </w:rPr>
              <w:t>Padmanabhan H, Siau K, Nevill AM, Morgan I, Cotton J, Ng A, et al. Intravenous iron does not effectively correct preoperative anaemia in cardiac surgery: a pilot randomized controlled trial. Interact Cardiovasc Thorac Surg. 2019;28(3):447-54.</w:t>
            </w:r>
            <w:r w:rsidRPr="146F07C5">
              <w:rPr>
                <w:rFonts w:ascii="Calibri" w:eastAsia="Calibri" w:hAnsi="Calibri" w:cs="Calibri"/>
                <w:color w:val="D13438"/>
              </w:rPr>
              <w:t> </w:t>
            </w:r>
            <w:r w:rsidRPr="146F07C5">
              <w:rPr>
                <w:rFonts w:ascii="Calibri" w:eastAsia="Calibri" w:hAnsi="Calibri" w:cs="Calibri"/>
                <w:color w:val="D13438"/>
                <w:vertAlign w:val="superscript"/>
              </w:rPr>
              <w:t>9</w:t>
            </w:r>
          </w:p>
        </w:tc>
      </w:tr>
      <w:tr w:rsidR="146F07C5" w14:paraId="103F23A7" w14:textId="77777777" w:rsidTr="146F07C5">
        <w:trPr>
          <w:trHeight w:val="570"/>
        </w:trPr>
        <w:tc>
          <w:tcPr>
            <w:tcW w:w="1425" w:type="dxa"/>
            <w:tcBorders>
              <w:top w:val="outset" w:sz="18" w:space="0" w:color="auto"/>
              <w:left w:val="single" w:sz="6" w:space="0" w:color="auto"/>
              <w:bottom w:val="single" w:sz="6" w:space="0" w:color="auto"/>
              <w:right w:val="single" w:sz="6" w:space="0" w:color="auto"/>
            </w:tcBorders>
            <w:vAlign w:val="bottom"/>
          </w:tcPr>
          <w:p w14:paraId="693A5CAC" w14:textId="4CF6BF1E" w:rsidR="146F07C5" w:rsidRDefault="146F07C5" w:rsidP="146F07C5">
            <w:pPr>
              <w:rPr>
                <w:rFonts w:ascii="Calibri" w:eastAsia="Calibri" w:hAnsi="Calibri" w:cs="Calibri"/>
              </w:rPr>
            </w:pPr>
            <w:r w:rsidRPr="146F07C5">
              <w:rPr>
                <w:rFonts w:ascii="Calibri" w:eastAsia="Calibri" w:hAnsi="Calibri" w:cs="Calibri"/>
              </w:rPr>
              <w:t>Bias </w:t>
            </w:r>
          </w:p>
        </w:tc>
        <w:tc>
          <w:tcPr>
            <w:tcW w:w="1680" w:type="dxa"/>
            <w:tcBorders>
              <w:top w:val="nil"/>
              <w:left w:val="single" w:sz="6" w:space="0" w:color="auto"/>
              <w:bottom w:val="single" w:sz="6" w:space="0" w:color="auto"/>
              <w:right w:val="single" w:sz="6" w:space="0" w:color="auto"/>
            </w:tcBorders>
            <w:vAlign w:val="bottom"/>
          </w:tcPr>
          <w:p w14:paraId="33E1B2E2" w14:textId="13DB7776" w:rsidR="146F07C5" w:rsidRDefault="146F07C5" w:rsidP="146F07C5">
            <w:pPr>
              <w:rPr>
                <w:rFonts w:ascii="Calibri" w:eastAsia="Calibri" w:hAnsi="Calibri" w:cs="Calibri"/>
              </w:rPr>
            </w:pPr>
            <w:r w:rsidRPr="146F07C5">
              <w:rPr>
                <w:rFonts w:ascii="Calibri" w:eastAsia="Calibri" w:hAnsi="Calibri" w:cs="Calibri"/>
              </w:rPr>
              <w:t>Authors’ judgment (low, unclear, high) </w:t>
            </w:r>
          </w:p>
        </w:tc>
        <w:tc>
          <w:tcPr>
            <w:tcW w:w="6225" w:type="dxa"/>
            <w:tcBorders>
              <w:top w:val="nil"/>
              <w:left w:val="single" w:sz="6" w:space="0" w:color="auto"/>
              <w:bottom w:val="single" w:sz="6" w:space="0" w:color="auto"/>
              <w:right w:val="single" w:sz="6" w:space="0" w:color="auto"/>
            </w:tcBorders>
            <w:vAlign w:val="bottom"/>
          </w:tcPr>
          <w:p w14:paraId="1E3ED19A" w14:textId="236C5FB6" w:rsidR="146F07C5" w:rsidRDefault="146F07C5" w:rsidP="146F07C5">
            <w:pPr>
              <w:rPr>
                <w:rFonts w:ascii="Calibri" w:eastAsia="Calibri" w:hAnsi="Calibri" w:cs="Calibri"/>
              </w:rPr>
            </w:pPr>
            <w:r w:rsidRPr="146F07C5">
              <w:rPr>
                <w:rFonts w:ascii="Calibri" w:eastAsia="Calibri" w:hAnsi="Calibri" w:cs="Calibri"/>
              </w:rPr>
              <w:t>Support for judgment </w:t>
            </w:r>
          </w:p>
        </w:tc>
      </w:tr>
      <w:tr w:rsidR="146F07C5" w14:paraId="63D97994" w14:textId="77777777" w:rsidTr="146F07C5">
        <w:trPr>
          <w:trHeight w:val="750"/>
        </w:trPr>
        <w:tc>
          <w:tcPr>
            <w:tcW w:w="1425" w:type="dxa"/>
            <w:tcBorders>
              <w:top w:val="single" w:sz="6" w:space="0" w:color="auto"/>
              <w:left w:val="single" w:sz="6" w:space="0" w:color="auto"/>
              <w:bottom w:val="single" w:sz="6" w:space="0" w:color="auto"/>
              <w:right w:val="single" w:sz="6" w:space="0" w:color="auto"/>
            </w:tcBorders>
          </w:tcPr>
          <w:p w14:paraId="1A418132" w14:textId="30F4F77D" w:rsidR="146F07C5" w:rsidRDefault="146F07C5" w:rsidP="146F07C5">
            <w:pPr>
              <w:rPr>
                <w:rFonts w:ascii="Calibri" w:eastAsia="Calibri" w:hAnsi="Calibri" w:cs="Calibri"/>
              </w:rPr>
            </w:pPr>
            <w:r w:rsidRPr="146F07C5">
              <w:rPr>
                <w:rFonts w:ascii="Calibri" w:eastAsia="Calibri" w:hAnsi="Calibri" w:cs="Calibri"/>
              </w:rPr>
              <w:t>Random sequence generation (selection bias) </w:t>
            </w:r>
          </w:p>
        </w:tc>
        <w:tc>
          <w:tcPr>
            <w:tcW w:w="1680" w:type="dxa"/>
            <w:tcBorders>
              <w:top w:val="single" w:sz="6" w:space="0" w:color="auto"/>
              <w:left w:val="single" w:sz="6" w:space="0" w:color="auto"/>
              <w:bottom w:val="single" w:sz="6" w:space="0" w:color="auto"/>
              <w:right w:val="single" w:sz="6" w:space="0" w:color="auto"/>
            </w:tcBorders>
          </w:tcPr>
          <w:p w14:paraId="5536504D" w14:textId="7A505C0C" w:rsidR="146F07C5" w:rsidRDefault="146F07C5" w:rsidP="146F07C5">
            <w:pPr>
              <w:rPr>
                <w:rFonts w:ascii="Calibri" w:eastAsia="Calibri" w:hAnsi="Calibri" w:cs="Calibri"/>
              </w:rPr>
            </w:pPr>
            <w:r w:rsidRPr="146F07C5">
              <w:rPr>
                <w:rFonts w:ascii="Calibri" w:eastAsia="Calibri" w:hAnsi="Calibri" w:cs="Calibri"/>
              </w:rPr>
              <w:t>Low </w:t>
            </w:r>
          </w:p>
        </w:tc>
        <w:tc>
          <w:tcPr>
            <w:tcW w:w="6225" w:type="dxa"/>
            <w:tcBorders>
              <w:top w:val="single" w:sz="6" w:space="0" w:color="auto"/>
              <w:left w:val="single" w:sz="6" w:space="0" w:color="auto"/>
              <w:bottom w:val="single" w:sz="6" w:space="0" w:color="auto"/>
              <w:right w:val="single" w:sz="6" w:space="0" w:color="auto"/>
            </w:tcBorders>
          </w:tcPr>
          <w:p w14:paraId="173495BB" w14:textId="48BC303A" w:rsidR="146F07C5" w:rsidRDefault="146F07C5" w:rsidP="146F07C5">
            <w:pPr>
              <w:rPr>
                <w:rFonts w:ascii="Calibri" w:eastAsia="Calibri" w:hAnsi="Calibri" w:cs="Calibri"/>
              </w:rPr>
            </w:pPr>
            <w:r w:rsidRPr="146F07C5">
              <w:rPr>
                <w:rFonts w:ascii="Calibri" w:eastAsia="Calibri" w:hAnsi="Calibri" w:cs="Calibri"/>
              </w:rPr>
              <w:t>Patients were randomly allocated to receive either intravenous FCM or oral iron. Treatment allocation was decided by random number that were concealed in opaque envelopes. </w:t>
            </w:r>
          </w:p>
          <w:p w14:paraId="2005009A" w14:textId="1033DC32" w:rsidR="146F07C5" w:rsidRDefault="146F07C5" w:rsidP="146F07C5">
            <w:pPr>
              <w:rPr>
                <w:rFonts w:ascii="Calibri" w:eastAsia="Calibri" w:hAnsi="Calibri" w:cs="Calibri"/>
              </w:rPr>
            </w:pPr>
            <w:r w:rsidRPr="146F07C5">
              <w:rPr>
                <w:rFonts w:ascii="Calibri" w:eastAsia="Calibri" w:hAnsi="Calibri" w:cs="Calibri"/>
              </w:rPr>
              <w:t> </w:t>
            </w:r>
          </w:p>
        </w:tc>
      </w:tr>
      <w:tr w:rsidR="146F07C5" w14:paraId="0A156116"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3411AFEB" w14:textId="7AA10C07" w:rsidR="146F07C5" w:rsidRDefault="146F07C5" w:rsidP="146F07C5">
            <w:pPr>
              <w:rPr>
                <w:rFonts w:ascii="Calibri" w:eastAsia="Calibri" w:hAnsi="Calibri" w:cs="Calibri"/>
              </w:rPr>
            </w:pPr>
            <w:r w:rsidRPr="146F07C5">
              <w:rPr>
                <w:rFonts w:ascii="Calibri" w:eastAsia="Calibri" w:hAnsi="Calibri" w:cs="Calibri"/>
              </w:rPr>
              <w:t>Allocation concealment (selection bias) </w:t>
            </w:r>
          </w:p>
        </w:tc>
        <w:tc>
          <w:tcPr>
            <w:tcW w:w="1680" w:type="dxa"/>
            <w:tcBorders>
              <w:top w:val="single" w:sz="6" w:space="0" w:color="auto"/>
              <w:left w:val="single" w:sz="6" w:space="0" w:color="auto"/>
              <w:bottom w:val="single" w:sz="6" w:space="0" w:color="auto"/>
              <w:right w:val="single" w:sz="6" w:space="0" w:color="auto"/>
            </w:tcBorders>
          </w:tcPr>
          <w:p w14:paraId="3BF12E8C" w14:textId="273D96F1" w:rsidR="146F07C5" w:rsidRDefault="146F07C5" w:rsidP="146F07C5">
            <w:pPr>
              <w:rPr>
                <w:rFonts w:ascii="Calibri" w:eastAsia="Calibri" w:hAnsi="Calibri" w:cs="Calibri"/>
              </w:rPr>
            </w:pPr>
            <w:r w:rsidRPr="146F07C5">
              <w:rPr>
                <w:rFonts w:ascii="Calibri" w:eastAsia="Calibri" w:hAnsi="Calibri" w:cs="Calibri"/>
              </w:rPr>
              <w:t>Low </w:t>
            </w:r>
          </w:p>
        </w:tc>
        <w:tc>
          <w:tcPr>
            <w:tcW w:w="6225" w:type="dxa"/>
            <w:tcBorders>
              <w:top w:val="single" w:sz="6" w:space="0" w:color="auto"/>
              <w:left w:val="single" w:sz="6" w:space="0" w:color="auto"/>
              <w:bottom w:val="single" w:sz="6" w:space="0" w:color="auto"/>
              <w:right w:val="single" w:sz="6" w:space="0" w:color="auto"/>
            </w:tcBorders>
          </w:tcPr>
          <w:p w14:paraId="54C37544" w14:textId="2FDD7F15" w:rsidR="146F07C5" w:rsidRDefault="146F07C5" w:rsidP="146F07C5">
            <w:pPr>
              <w:rPr>
                <w:rFonts w:ascii="Calibri" w:eastAsia="Calibri" w:hAnsi="Calibri" w:cs="Calibri"/>
              </w:rPr>
            </w:pPr>
            <w:r w:rsidRPr="146F07C5">
              <w:rPr>
                <w:rFonts w:ascii="Calibri" w:eastAsia="Calibri" w:hAnsi="Calibri" w:cs="Calibri"/>
              </w:rPr>
              <w:t>The concealment process was performed independently. </w:t>
            </w:r>
          </w:p>
          <w:p w14:paraId="13FBD2A0" w14:textId="5F173085" w:rsidR="146F07C5" w:rsidRDefault="146F07C5" w:rsidP="146F07C5">
            <w:pPr>
              <w:rPr>
                <w:rFonts w:ascii="Calibri" w:eastAsia="Calibri" w:hAnsi="Calibri" w:cs="Calibri"/>
              </w:rPr>
            </w:pPr>
            <w:r w:rsidRPr="146F07C5">
              <w:rPr>
                <w:rFonts w:ascii="Calibri" w:eastAsia="Calibri" w:hAnsi="Calibri" w:cs="Calibri"/>
              </w:rPr>
              <w:t> </w:t>
            </w:r>
          </w:p>
        </w:tc>
      </w:tr>
      <w:tr w:rsidR="146F07C5" w14:paraId="25E90912"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0276AFC4" w14:textId="0128E702" w:rsidR="146F07C5" w:rsidRDefault="146F07C5" w:rsidP="146F07C5">
            <w:pPr>
              <w:rPr>
                <w:rFonts w:ascii="Calibri" w:eastAsia="Calibri" w:hAnsi="Calibri" w:cs="Calibri"/>
              </w:rPr>
            </w:pPr>
            <w:r w:rsidRPr="146F07C5">
              <w:rPr>
                <w:rFonts w:ascii="Calibri" w:eastAsia="Calibri" w:hAnsi="Calibri" w:cs="Calibri"/>
              </w:rPr>
              <w:t>Blinding of participants and personnel (performance bias) </w:t>
            </w:r>
          </w:p>
        </w:tc>
        <w:tc>
          <w:tcPr>
            <w:tcW w:w="1680" w:type="dxa"/>
            <w:tcBorders>
              <w:top w:val="single" w:sz="6" w:space="0" w:color="auto"/>
              <w:left w:val="single" w:sz="6" w:space="0" w:color="auto"/>
              <w:bottom w:val="single" w:sz="6" w:space="0" w:color="auto"/>
              <w:right w:val="single" w:sz="6" w:space="0" w:color="auto"/>
            </w:tcBorders>
          </w:tcPr>
          <w:p w14:paraId="1582BBE9" w14:textId="3521659D" w:rsidR="146F07C5" w:rsidRDefault="146F07C5" w:rsidP="146F07C5">
            <w:pPr>
              <w:rPr>
                <w:rFonts w:ascii="Calibri" w:eastAsia="Calibri" w:hAnsi="Calibri" w:cs="Calibri"/>
              </w:rPr>
            </w:pPr>
            <w:r w:rsidRPr="146F07C5">
              <w:rPr>
                <w:rFonts w:ascii="Calibri" w:eastAsia="Calibri" w:hAnsi="Calibri" w:cs="Calibri"/>
              </w:rPr>
              <w:t>High </w:t>
            </w:r>
          </w:p>
        </w:tc>
        <w:tc>
          <w:tcPr>
            <w:tcW w:w="6225" w:type="dxa"/>
            <w:tcBorders>
              <w:top w:val="single" w:sz="6" w:space="0" w:color="auto"/>
              <w:left w:val="single" w:sz="6" w:space="0" w:color="auto"/>
              <w:bottom w:val="single" w:sz="6" w:space="0" w:color="auto"/>
              <w:right w:val="single" w:sz="6" w:space="0" w:color="auto"/>
            </w:tcBorders>
          </w:tcPr>
          <w:p w14:paraId="042D0802" w14:textId="573487D8" w:rsidR="146F07C5" w:rsidRDefault="146F07C5" w:rsidP="146F07C5">
            <w:pPr>
              <w:rPr>
                <w:rFonts w:ascii="Calibri" w:eastAsia="Calibri" w:hAnsi="Calibri" w:cs="Calibri"/>
              </w:rPr>
            </w:pPr>
            <w:r w:rsidRPr="146F07C5">
              <w:rPr>
                <w:rFonts w:ascii="Calibri" w:eastAsia="Calibri" w:hAnsi="Calibri" w:cs="Calibri"/>
              </w:rPr>
              <w:t>Study was non-blinded. </w:t>
            </w:r>
          </w:p>
          <w:p w14:paraId="0338A860" w14:textId="71C8FD87" w:rsidR="146F07C5" w:rsidRDefault="146F07C5" w:rsidP="146F07C5">
            <w:pPr>
              <w:rPr>
                <w:rFonts w:ascii="Calibri" w:eastAsia="Calibri" w:hAnsi="Calibri" w:cs="Calibri"/>
              </w:rPr>
            </w:pPr>
            <w:r w:rsidRPr="146F07C5">
              <w:rPr>
                <w:rFonts w:ascii="Calibri" w:eastAsia="Calibri" w:hAnsi="Calibri" w:cs="Calibri"/>
              </w:rPr>
              <w:t> </w:t>
            </w:r>
          </w:p>
        </w:tc>
      </w:tr>
      <w:tr w:rsidR="146F07C5" w14:paraId="53558B4F"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6BD8D0FF" w14:textId="59DBEC0A" w:rsidR="146F07C5" w:rsidRDefault="146F07C5" w:rsidP="146F07C5">
            <w:pPr>
              <w:rPr>
                <w:rFonts w:ascii="Calibri" w:eastAsia="Calibri" w:hAnsi="Calibri" w:cs="Calibri"/>
              </w:rPr>
            </w:pPr>
            <w:r w:rsidRPr="146F07C5">
              <w:rPr>
                <w:rFonts w:ascii="Calibri" w:eastAsia="Calibri" w:hAnsi="Calibri" w:cs="Calibri"/>
              </w:rPr>
              <w:t>Blinding of outcome assessment (detection bias) </w:t>
            </w:r>
          </w:p>
        </w:tc>
        <w:tc>
          <w:tcPr>
            <w:tcW w:w="1680" w:type="dxa"/>
            <w:tcBorders>
              <w:top w:val="single" w:sz="6" w:space="0" w:color="auto"/>
              <w:left w:val="single" w:sz="6" w:space="0" w:color="auto"/>
              <w:bottom w:val="single" w:sz="6" w:space="0" w:color="auto"/>
              <w:right w:val="single" w:sz="6" w:space="0" w:color="auto"/>
            </w:tcBorders>
          </w:tcPr>
          <w:p w14:paraId="3C836CEE" w14:textId="1581A40A" w:rsidR="146F07C5" w:rsidRDefault="146F07C5" w:rsidP="146F07C5">
            <w:pPr>
              <w:rPr>
                <w:rFonts w:ascii="Calibri" w:eastAsia="Calibri" w:hAnsi="Calibri" w:cs="Calibri"/>
              </w:rPr>
            </w:pPr>
            <w:r w:rsidRPr="146F07C5">
              <w:rPr>
                <w:rFonts w:ascii="Calibri" w:eastAsia="Calibri" w:hAnsi="Calibri" w:cs="Calibri"/>
              </w:rPr>
              <w:t>High </w:t>
            </w:r>
          </w:p>
        </w:tc>
        <w:tc>
          <w:tcPr>
            <w:tcW w:w="6225" w:type="dxa"/>
            <w:tcBorders>
              <w:top w:val="single" w:sz="6" w:space="0" w:color="auto"/>
              <w:left w:val="single" w:sz="6" w:space="0" w:color="auto"/>
              <w:bottom w:val="single" w:sz="6" w:space="0" w:color="auto"/>
              <w:right w:val="single" w:sz="6" w:space="0" w:color="auto"/>
            </w:tcBorders>
          </w:tcPr>
          <w:p w14:paraId="3AF77C0F" w14:textId="3C7368FC" w:rsidR="146F07C5" w:rsidRDefault="146F07C5" w:rsidP="146F07C5">
            <w:pPr>
              <w:rPr>
                <w:rFonts w:ascii="Calibri" w:eastAsia="Calibri" w:hAnsi="Calibri" w:cs="Calibri"/>
              </w:rPr>
            </w:pPr>
            <w:r w:rsidRPr="146F07C5">
              <w:rPr>
                <w:rFonts w:ascii="Calibri" w:eastAsia="Calibri" w:hAnsi="Calibri" w:cs="Calibri"/>
              </w:rPr>
              <w:t>Open label study; assessors likely not blinded </w:t>
            </w:r>
          </w:p>
          <w:p w14:paraId="1624DDFD" w14:textId="70DEFEF9" w:rsidR="146F07C5" w:rsidRDefault="146F07C5" w:rsidP="146F07C5">
            <w:pPr>
              <w:rPr>
                <w:rFonts w:ascii="Calibri" w:eastAsia="Calibri" w:hAnsi="Calibri" w:cs="Calibri"/>
              </w:rPr>
            </w:pPr>
            <w:r w:rsidRPr="146F07C5">
              <w:rPr>
                <w:rFonts w:ascii="Calibri" w:eastAsia="Calibri" w:hAnsi="Calibri" w:cs="Calibri"/>
              </w:rPr>
              <w:t> </w:t>
            </w:r>
          </w:p>
        </w:tc>
      </w:tr>
      <w:tr w:rsidR="146F07C5" w14:paraId="348476F1"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0C5A0748" w14:textId="1BE43E70" w:rsidR="146F07C5" w:rsidRDefault="146F07C5" w:rsidP="146F07C5">
            <w:pPr>
              <w:rPr>
                <w:rFonts w:ascii="Calibri" w:eastAsia="Calibri" w:hAnsi="Calibri" w:cs="Calibri"/>
              </w:rPr>
            </w:pPr>
            <w:r w:rsidRPr="146F07C5">
              <w:rPr>
                <w:rFonts w:ascii="Calibri" w:eastAsia="Calibri" w:hAnsi="Calibri" w:cs="Calibri"/>
              </w:rPr>
              <w:t xml:space="preserve">Incomplete outcome data </w:t>
            </w:r>
            <w:r w:rsidRPr="146F07C5">
              <w:rPr>
                <w:rFonts w:ascii="Calibri" w:eastAsia="Calibri" w:hAnsi="Calibri" w:cs="Calibri"/>
              </w:rPr>
              <w:lastRenderedPageBreak/>
              <w:t>(attrition bias) </w:t>
            </w:r>
          </w:p>
        </w:tc>
        <w:tc>
          <w:tcPr>
            <w:tcW w:w="1680" w:type="dxa"/>
            <w:tcBorders>
              <w:top w:val="single" w:sz="6" w:space="0" w:color="auto"/>
              <w:left w:val="single" w:sz="6" w:space="0" w:color="auto"/>
              <w:bottom w:val="single" w:sz="6" w:space="0" w:color="auto"/>
              <w:right w:val="single" w:sz="6" w:space="0" w:color="auto"/>
            </w:tcBorders>
          </w:tcPr>
          <w:p w14:paraId="4B5BFFD8" w14:textId="7F4B2529" w:rsidR="146F07C5" w:rsidRDefault="146F07C5" w:rsidP="146F07C5">
            <w:pPr>
              <w:rPr>
                <w:rFonts w:ascii="Calibri" w:eastAsia="Calibri" w:hAnsi="Calibri" w:cs="Calibri"/>
              </w:rPr>
            </w:pPr>
            <w:r w:rsidRPr="146F07C5">
              <w:rPr>
                <w:rFonts w:ascii="Calibri" w:eastAsia="Calibri" w:hAnsi="Calibri" w:cs="Calibri"/>
              </w:rPr>
              <w:lastRenderedPageBreak/>
              <w:t>Unclear </w:t>
            </w:r>
          </w:p>
        </w:tc>
        <w:tc>
          <w:tcPr>
            <w:tcW w:w="6225" w:type="dxa"/>
            <w:tcBorders>
              <w:top w:val="single" w:sz="6" w:space="0" w:color="auto"/>
              <w:left w:val="single" w:sz="6" w:space="0" w:color="auto"/>
              <w:bottom w:val="single" w:sz="6" w:space="0" w:color="auto"/>
              <w:right w:val="single" w:sz="6" w:space="0" w:color="auto"/>
            </w:tcBorders>
          </w:tcPr>
          <w:p w14:paraId="2E89CEB8" w14:textId="332A0B99" w:rsidR="146F07C5" w:rsidRDefault="146F07C5" w:rsidP="146F07C5">
            <w:pPr>
              <w:rPr>
                <w:rFonts w:ascii="Calibri" w:eastAsia="Calibri" w:hAnsi="Calibri" w:cs="Calibri"/>
              </w:rPr>
            </w:pPr>
            <w:r w:rsidRPr="146F07C5">
              <w:rPr>
                <w:rFonts w:ascii="Calibri" w:eastAsia="Calibri" w:hAnsi="Calibri" w:cs="Calibri"/>
              </w:rPr>
              <w:t xml:space="preserve">In the oral iron group, the protocol was adhered to by 16 (67%) of the 24 patients. Five patients underwent surgery outside the 3- to 8-week protocol window, surgery was cancelled for 2 patients and </w:t>
            </w:r>
            <w:r w:rsidRPr="146F07C5">
              <w:rPr>
                <w:rFonts w:ascii="Calibri" w:eastAsia="Calibri" w:hAnsi="Calibri" w:cs="Calibri"/>
              </w:rPr>
              <w:lastRenderedPageBreak/>
              <w:t>1 patient declined to be followed-up. In the IV iron group, the protocol was adhered to by 14 (54%) of the 26 patients. Surgery was delayed for 4 patients, 3 patients did not undergo surgery, 1 patient died before surgery, and 4 patients were lost to follow-up. </w:t>
            </w:r>
          </w:p>
          <w:p w14:paraId="54860296" w14:textId="09B134B5" w:rsidR="146F07C5" w:rsidRDefault="146F07C5" w:rsidP="146F07C5">
            <w:pPr>
              <w:rPr>
                <w:rFonts w:ascii="Calibri" w:eastAsia="Calibri" w:hAnsi="Calibri" w:cs="Calibri"/>
              </w:rPr>
            </w:pPr>
            <w:r w:rsidRPr="146F07C5">
              <w:rPr>
                <w:rFonts w:ascii="Calibri" w:eastAsia="Calibri" w:hAnsi="Calibri" w:cs="Calibri"/>
              </w:rPr>
              <w:t> </w:t>
            </w:r>
          </w:p>
        </w:tc>
      </w:tr>
      <w:tr w:rsidR="146F07C5" w14:paraId="63B31EB8"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4AC6D7C2" w14:textId="4CEBB455" w:rsidR="146F07C5" w:rsidRDefault="146F07C5" w:rsidP="146F07C5">
            <w:pPr>
              <w:rPr>
                <w:rFonts w:ascii="Calibri" w:eastAsia="Calibri" w:hAnsi="Calibri" w:cs="Calibri"/>
              </w:rPr>
            </w:pPr>
            <w:r w:rsidRPr="146F07C5">
              <w:rPr>
                <w:rFonts w:ascii="Calibri" w:eastAsia="Calibri" w:hAnsi="Calibri" w:cs="Calibri"/>
              </w:rPr>
              <w:lastRenderedPageBreak/>
              <w:t>Selective reporting (reporting bias) </w:t>
            </w:r>
          </w:p>
        </w:tc>
        <w:tc>
          <w:tcPr>
            <w:tcW w:w="1680" w:type="dxa"/>
            <w:tcBorders>
              <w:top w:val="single" w:sz="6" w:space="0" w:color="auto"/>
              <w:left w:val="single" w:sz="6" w:space="0" w:color="auto"/>
              <w:bottom w:val="single" w:sz="6" w:space="0" w:color="auto"/>
              <w:right w:val="single" w:sz="6" w:space="0" w:color="auto"/>
            </w:tcBorders>
          </w:tcPr>
          <w:p w14:paraId="5E88066C" w14:textId="41FAE43C" w:rsidR="146F07C5" w:rsidRDefault="146F07C5" w:rsidP="146F07C5">
            <w:pPr>
              <w:rPr>
                <w:rFonts w:ascii="Calibri" w:eastAsia="Calibri" w:hAnsi="Calibri" w:cs="Calibri"/>
              </w:rPr>
            </w:pPr>
            <w:r w:rsidRPr="146F07C5">
              <w:rPr>
                <w:rFonts w:ascii="Calibri" w:eastAsia="Calibri" w:hAnsi="Calibri" w:cs="Calibri"/>
              </w:rPr>
              <w:t>Low </w:t>
            </w:r>
          </w:p>
        </w:tc>
        <w:tc>
          <w:tcPr>
            <w:tcW w:w="6225" w:type="dxa"/>
            <w:tcBorders>
              <w:top w:val="single" w:sz="6" w:space="0" w:color="auto"/>
              <w:left w:val="single" w:sz="6" w:space="0" w:color="auto"/>
              <w:bottom w:val="single" w:sz="6" w:space="0" w:color="auto"/>
              <w:right w:val="single" w:sz="6" w:space="0" w:color="auto"/>
            </w:tcBorders>
          </w:tcPr>
          <w:p w14:paraId="39CFDF22" w14:textId="565A4FC7" w:rsidR="146F07C5" w:rsidRDefault="146F07C5" w:rsidP="146F07C5">
            <w:pPr>
              <w:rPr>
                <w:rFonts w:ascii="Calibri" w:eastAsia="Calibri" w:hAnsi="Calibri" w:cs="Calibri"/>
              </w:rPr>
            </w:pPr>
            <w:r w:rsidRPr="146F07C5">
              <w:rPr>
                <w:rFonts w:ascii="Calibri" w:eastAsia="Calibri" w:hAnsi="Calibri" w:cs="Calibri"/>
              </w:rPr>
              <w:t>Predefined outcomes of interest are reported in the results section. </w:t>
            </w:r>
          </w:p>
          <w:p w14:paraId="242A927A" w14:textId="7DC6410C" w:rsidR="146F07C5" w:rsidRDefault="146F07C5" w:rsidP="146F07C5">
            <w:pPr>
              <w:rPr>
                <w:rFonts w:ascii="Calibri" w:eastAsia="Calibri" w:hAnsi="Calibri" w:cs="Calibri"/>
              </w:rPr>
            </w:pPr>
            <w:r w:rsidRPr="146F07C5">
              <w:rPr>
                <w:rFonts w:ascii="Calibri" w:eastAsia="Calibri" w:hAnsi="Calibri" w:cs="Calibri"/>
              </w:rPr>
              <w:t> </w:t>
            </w:r>
          </w:p>
        </w:tc>
      </w:tr>
      <w:tr w:rsidR="146F07C5" w14:paraId="14975373"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257D58C7" w14:textId="75599F7F" w:rsidR="146F07C5" w:rsidRDefault="146F07C5" w:rsidP="146F07C5">
            <w:pPr>
              <w:rPr>
                <w:rFonts w:ascii="Calibri" w:eastAsia="Calibri" w:hAnsi="Calibri" w:cs="Calibri"/>
              </w:rPr>
            </w:pPr>
            <w:r w:rsidRPr="146F07C5">
              <w:rPr>
                <w:rFonts w:ascii="Calibri" w:eastAsia="Calibri" w:hAnsi="Calibri" w:cs="Calibri"/>
              </w:rPr>
              <w:t>Other bias </w:t>
            </w:r>
          </w:p>
        </w:tc>
        <w:tc>
          <w:tcPr>
            <w:tcW w:w="1680" w:type="dxa"/>
            <w:tcBorders>
              <w:top w:val="single" w:sz="6" w:space="0" w:color="auto"/>
              <w:left w:val="single" w:sz="6" w:space="0" w:color="auto"/>
              <w:bottom w:val="single" w:sz="6" w:space="0" w:color="auto"/>
              <w:right w:val="single" w:sz="6" w:space="0" w:color="auto"/>
            </w:tcBorders>
          </w:tcPr>
          <w:p w14:paraId="66986E94" w14:textId="1153ECF6" w:rsidR="146F07C5" w:rsidRDefault="146F07C5" w:rsidP="146F07C5">
            <w:pPr>
              <w:rPr>
                <w:rFonts w:ascii="Calibri" w:eastAsia="Calibri" w:hAnsi="Calibri" w:cs="Calibri"/>
              </w:rPr>
            </w:pPr>
            <w:r w:rsidRPr="146F07C5">
              <w:rPr>
                <w:rFonts w:ascii="Calibri" w:eastAsia="Calibri" w:hAnsi="Calibri" w:cs="Calibri"/>
              </w:rPr>
              <w:t>High </w:t>
            </w:r>
          </w:p>
        </w:tc>
        <w:tc>
          <w:tcPr>
            <w:tcW w:w="6225" w:type="dxa"/>
            <w:tcBorders>
              <w:top w:val="single" w:sz="6" w:space="0" w:color="auto"/>
              <w:left w:val="single" w:sz="6" w:space="0" w:color="auto"/>
              <w:bottom w:val="single" w:sz="6" w:space="0" w:color="auto"/>
              <w:right w:val="single" w:sz="6" w:space="0" w:color="auto"/>
            </w:tcBorders>
          </w:tcPr>
          <w:p w14:paraId="6AB3A75F" w14:textId="4617E3E6" w:rsidR="146F07C5" w:rsidRDefault="146F07C5" w:rsidP="146F07C5">
            <w:pPr>
              <w:rPr>
                <w:rFonts w:ascii="Calibri" w:eastAsia="Calibri" w:hAnsi="Calibri" w:cs="Calibri"/>
              </w:rPr>
            </w:pPr>
            <w:r w:rsidRPr="146F07C5">
              <w:rPr>
                <w:rFonts w:ascii="Calibri" w:eastAsia="Calibri" w:hAnsi="Calibri" w:cs="Calibri"/>
              </w:rPr>
              <w:t>Large portion of patients in the IV iron group declined their second dose. </w:t>
            </w:r>
          </w:p>
          <w:p w14:paraId="610B8824" w14:textId="20606B0D" w:rsidR="146F07C5" w:rsidRDefault="146F07C5" w:rsidP="146F07C5">
            <w:pPr>
              <w:rPr>
                <w:rFonts w:ascii="Calibri" w:eastAsia="Calibri" w:hAnsi="Calibri" w:cs="Calibri"/>
              </w:rPr>
            </w:pPr>
            <w:r w:rsidRPr="146F07C5">
              <w:rPr>
                <w:rFonts w:ascii="Calibri" w:eastAsia="Calibri" w:hAnsi="Calibri" w:cs="Calibri"/>
              </w:rPr>
              <w:t> </w:t>
            </w:r>
          </w:p>
        </w:tc>
      </w:tr>
    </w:tbl>
    <w:p w14:paraId="415BFF3E" w14:textId="0FD3AFA9" w:rsidR="3C2ECE16" w:rsidRDefault="6CF2E31F" w:rsidP="146F07C5">
      <w:pPr>
        <w:rPr>
          <w:rFonts w:ascii="Calibri" w:eastAsia="Calibri" w:hAnsi="Calibri" w:cs="Calibri"/>
        </w:rPr>
      </w:pPr>
      <w:r w:rsidRPr="146F07C5">
        <w:rPr>
          <w:rFonts w:ascii="Calibri" w:eastAsia="Calibri" w:hAnsi="Calibri" w:cs="Calibri"/>
        </w:rPr>
        <w:t> </w:t>
      </w:r>
    </w:p>
    <w:tbl>
      <w:tblPr>
        <w:tblW w:w="0" w:type="auto"/>
        <w:tblLayout w:type="fixed"/>
        <w:tblLook w:val="04A0" w:firstRow="1" w:lastRow="0" w:firstColumn="1" w:lastColumn="0" w:noHBand="0" w:noVBand="1"/>
      </w:tblPr>
      <w:tblGrid>
        <w:gridCol w:w="1425"/>
        <w:gridCol w:w="1425"/>
        <w:gridCol w:w="6465"/>
      </w:tblGrid>
      <w:tr w:rsidR="146F07C5" w14:paraId="4B6958B6" w14:textId="77777777" w:rsidTr="146F07C5">
        <w:trPr>
          <w:trHeight w:val="570"/>
        </w:trPr>
        <w:tc>
          <w:tcPr>
            <w:tcW w:w="9315" w:type="dxa"/>
            <w:gridSpan w:val="3"/>
            <w:tcBorders>
              <w:top w:val="outset" w:sz="18" w:space="0" w:color="auto"/>
              <w:left w:val="outset" w:sz="18" w:space="0" w:color="auto"/>
              <w:bottom w:val="outset" w:sz="18" w:space="0" w:color="auto"/>
              <w:right w:val="outset" w:sz="18" w:space="0" w:color="auto"/>
            </w:tcBorders>
            <w:shd w:val="clear" w:color="auto" w:fill="D9D9D9" w:themeFill="background1" w:themeFillShade="D9"/>
            <w:vAlign w:val="bottom"/>
          </w:tcPr>
          <w:p w14:paraId="60AF5AA6" w14:textId="3DF373AA" w:rsidR="146F07C5" w:rsidRDefault="146F07C5" w:rsidP="146F07C5">
            <w:pPr>
              <w:rPr>
                <w:rFonts w:ascii="Calibri" w:eastAsia="Calibri" w:hAnsi="Calibri" w:cs="Calibri"/>
              </w:rPr>
            </w:pPr>
            <w:r w:rsidRPr="146F07C5">
              <w:rPr>
                <w:rFonts w:ascii="Calibri" w:eastAsia="Calibri" w:hAnsi="Calibri" w:cs="Calibri"/>
              </w:rPr>
              <w:t>Park HS, Kim TY, Kim HJ, Ro YJ, Jang HY, Koh WU. The Effect of Intraoperative Ferric Carboxymaltose in Joint Arthroplasty Patients: A Randomized Trial. J. 2019;8(10):13.</w:t>
            </w:r>
            <w:r w:rsidRPr="146F07C5">
              <w:rPr>
                <w:rFonts w:ascii="Calibri" w:eastAsia="Calibri" w:hAnsi="Calibri" w:cs="Calibri"/>
                <w:color w:val="D13438"/>
                <w:vertAlign w:val="superscript"/>
              </w:rPr>
              <w:t>10</w:t>
            </w:r>
            <w:r w:rsidRPr="146F07C5">
              <w:rPr>
                <w:rFonts w:ascii="Calibri" w:eastAsia="Calibri" w:hAnsi="Calibri" w:cs="Calibri"/>
              </w:rPr>
              <w:t> </w:t>
            </w:r>
          </w:p>
        </w:tc>
      </w:tr>
      <w:tr w:rsidR="146F07C5" w14:paraId="57DB52EE" w14:textId="77777777" w:rsidTr="146F07C5">
        <w:trPr>
          <w:trHeight w:val="570"/>
        </w:trPr>
        <w:tc>
          <w:tcPr>
            <w:tcW w:w="1425" w:type="dxa"/>
            <w:tcBorders>
              <w:top w:val="outset" w:sz="18" w:space="0" w:color="auto"/>
              <w:left w:val="single" w:sz="6" w:space="0" w:color="auto"/>
              <w:bottom w:val="single" w:sz="6" w:space="0" w:color="auto"/>
              <w:right w:val="single" w:sz="6" w:space="0" w:color="auto"/>
            </w:tcBorders>
            <w:vAlign w:val="bottom"/>
          </w:tcPr>
          <w:p w14:paraId="6161DDEB" w14:textId="4121A404" w:rsidR="146F07C5" w:rsidRDefault="146F07C5" w:rsidP="146F07C5">
            <w:pPr>
              <w:rPr>
                <w:rFonts w:ascii="Calibri" w:eastAsia="Calibri" w:hAnsi="Calibri" w:cs="Calibri"/>
              </w:rPr>
            </w:pPr>
            <w:r w:rsidRPr="146F07C5">
              <w:rPr>
                <w:rFonts w:ascii="Calibri" w:eastAsia="Calibri" w:hAnsi="Calibri" w:cs="Calibri"/>
              </w:rPr>
              <w:t>Bias </w:t>
            </w:r>
          </w:p>
        </w:tc>
        <w:tc>
          <w:tcPr>
            <w:tcW w:w="1425" w:type="dxa"/>
            <w:tcBorders>
              <w:top w:val="nil"/>
              <w:left w:val="single" w:sz="6" w:space="0" w:color="auto"/>
              <w:bottom w:val="single" w:sz="6" w:space="0" w:color="auto"/>
              <w:right w:val="single" w:sz="6" w:space="0" w:color="auto"/>
            </w:tcBorders>
            <w:vAlign w:val="bottom"/>
          </w:tcPr>
          <w:p w14:paraId="33474961" w14:textId="252CF185" w:rsidR="146F07C5" w:rsidRDefault="146F07C5" w:rsidP="146F07C5">
            <w:pPr>
              <w:rPr>
                <w:rFonts w:ascii="Calibri" w:eastAsia="Calibri" w:hAnsi="Calibri" w:cs="Calibri"/>
              </w:rPr>
            </w:pPr>
            <w:r w:rsidRPr="146F07C5">
              <w:rPr>
                <w:rFonts w:ascii="Calibri" w:eastAsia="Calibri" w:hAnsi="Calibri" w:cs="Calibri"/>
              </w:rPr>
              <w:t>Authors’ judgment (low, unclear, high) </w:t>
            </w:r>
          </w:p>
        </w:tc>
        <w:tc>
          <w:tcPr>
            <w:tcW w:w="6465" w:type="dxa"/>
            <w:tcBorders>
              <w:top w:val="nil"/>
              <w:left w:val="single" w:sz="6" w:space="0" w:color="auto"/>
              <w:bottom w:val="single" w:sz="6" w:space="0" w:color="auto"/>
              <w:right w:val="single" w:sz="6" w:space="0" w:color="auto"/>
            </w:tcBorders>
            <w:vAlign w:val="bottom"/>
          </w:tcPr>
          <w:p w14:paraId="57EF1E46" w14:textId="52E4EDCB" w:rsidR="146F07C5" w:rsidRDefault="146F07C5" w:rsidP="146F07C5">
            <w:pPr>
              <w:rPr>
                <w:rFonts w:ascii="Calibri" w:eastAsia="Calibri" w:hAnsi="Calibri" w:cs="Calibri"/>
              </w:rPr>
            </w:pPr>
            <w:r w:rsidRPr="146F07C5">
              <w:rPr>
                <w:rFonts w:ascii="Calibri" w:eastAsia="Calibri" w:hAnsi="Calibri" w:cs="Calibri"/>
              </w:rPr>
              <w:t>Support for judgment </w:t>
            </w:r>
          </w:p>
        </w:tc>
      </w:tr>
      <w:tr w:rsidR="146F07C5" w14:paraId="07F36A01" w14:textId="77777777" w:rsidTr="146F07C5">
        <w:trPr>
          <w:trHeight w:val="750"/>
        </w:trPr>
        <w:tc>
          <w:tcPr>
            <w:tcW w:w="1425" w:type="dxa"/>
            <w:tcBorders>
              <w:top w:val="single" w:sz="6" w:space="0" w:color="auto"/>
              <w:left w:val="single" w:sz="6" w:space="0" w:color="auto"/>
              <w:bottom w:val="single" w:sz="6" w:space="0" w:color="auto"/>
              <w:right w:val="single" w:sz="6" w:space="0" w:color="auto"/>
            </w:tcBorders>
          </w:tcPr>
          <w:p w14:paraId="318191E5" w14:textId="33532841" w:rsidR="146F07C5" w:rsidRDefault="146F07C5" w:rsidP="146F07C5">
            <w:pPr>
              <w:rPr>
                <w:rFonts w:ascii="Calibri" w:eastAsia="Calibri" w:hAnsi="Calibri" w:cs="Calibri"/>
              </w:rPr>
            </w:pPr>
            <w:r w:rsidRPr="146F07C5">
              <w:rPr>
                <w:rFonts w:ascii="Calibri" w:eastAsia="Calibri" w:hAnsi="Calibri" w:cs="Calibri"/>
              </w:rPr>
              <w:t>Random sequence generation (selection bias) </w:t>
            </w:r>
          </w:p>
        </w:tc>
        <w:tc>
          <w:tcPr>
            <w:tcW w:w="1425" w:type="dxa"/>
            <w:tcBorders>
              <w:top w:val="single" w:sz="6" w:space="0" w:color="auto"/>
              <w:left w:val="single" w:sz="6" w:space="0" w:color="auto"/>
              <w:bottom w:val="single" w:sz="6" w:space="0" w:color="auto"/>
              <w:right w:val="single" w:sz="6" w:space="0" w:color="auto"/>
            </w:tcBorders>
          </w:tcPr>
          <w:p w14:paraId="1775D066" w14:textId="5CD8DA0C" w:rsidR="146F07C5" w:rsidRDefault="146F07C5" w:rsidP="146F07C5">
            <w:pPr>
              <w:rPr>
                <w:rFonts w:ascii="Calibri" w:eastAsia="Calibri" w:hAnsi="Calibri" w:cs="Calibri"/>
              </w:rPr>
            </w:pPr>
            <w:r w:rsidRPr="146F07C5">
              <w:rPr>
                <w:rFonts w:ascii="Calibri" w:eastAsia="Calibri" w:hAnsi="Calibri" w:cs="Calibri"/>
              </w:rPr>
              <w:t>Unclear </w:t>
            </w:r>
          </w:p>
        </w:tc>
        <w:tc>
          <w:tcPr>
            <w:tcW w:w="6465" w:type="dxa"/>
            <w:tcBorders>
              <w:top w:val="single" w:sz="6" w:space="0" w:color="auto"/>
              <w:left w:val="single" w:sz="6" w:space="0" w:color="auto"/>
              <w:bottom w:val="single" w:sz="6" w:space="0" w:color="auto"/>
              <w:right w:val="single" w:sz="6" w:space="0" w:color="auto"/>
            </w:tcBorders>
          </w:tcPr>
          <w:p w14:paraId="229D0556" w14:textId="37505F5D" w:rsidR="146F07C5" w:rsidRDefault="146F07C5" w:rsidP="146F07C5">
            <w:pPr>
              <w:rPr>
                <w:rFonts w:ascii="Calibri" w:eastAsia="Calibri" w:hAnsi="Calibri" w:cs="Calibri"/>
              </w:rPr>
            </w:pPr>
            <w:r w:rsidRPr="146F07C5">
              <w:rPr>
                <w:rFonts w:ascii="Calibri" w:eastAsia="Calibri" w:hAnsi="Calibri" w:cs="Calibri"/>
              </w:rPr>
              <w:t>Eligible patients were randomly assigned into one of two groups through stratified block randomization of a 1:1 ratio. Stratification factors were operation types, because the result of this study may defer amount either TKA or THA. </w:t>
            </w:r>
          </w:p>
          <w:p w14:paraId="49F12C73" w14:textId="4CDE8686" w:rsidR="146F07C5" w:rsidRDefault="146F07C5" w:rsidP="146F07C5">
            <w:pPr>
              <w:rPr>
                <w:rFonts w:ascii="Calibri" w:eastAsia="Calibri" w:hAnsi="Calibri" w:cs="Calibri"/>
              </w:rPr>
            </w:pPr>
            <w:r w:rsidRPr="146F07C5">
              <w:rPr>
                <w:rFonts w:ascii="Calibri" w:eastAsia="Calibri" w:hAnsi="Calibri" w:cs="Calibri"/>
              </w:rPr>
              <w:t> </w:t>
            </w:r>
          </w:p>
        </w:tc>
      </w:tr>
      <w:tr w:rsidR="146F07C5" w14:paraId="3657E6A5"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538D2BF6" w14:textId="2906A0B1" w:rsidR="146F07C5" w:rsidRDefault="146F07C5" w:rsidP="146F07C5">
            <w:pPr>
              <w:rPr>
                <w:rFonts w:ascii="Calibri" w:eastAsia="Calibri" w:hAnsi="Calibri" w:cs="Calibri"/>
              </w:rPr>
            </w:pPr>
            <w:r w:rsidRPr="146F07C5">
              <w:rPr>
                <w:rFonts w:ascii="Calibri" w:eastAsia="Calibri" w:hAnsi="Calibri" w:cs="Calibri"/>
              </w:rPr>
              <w:t>Allocation concealment (selection bias) </w:t>
            </w:r>
          </w:p>
        </w:tc>
        <w:tc>
          <w:tcPr>
            <w:tcW w:w="1425" w:type="dxa"/>
            <w:tcBorders>
              <w:top w:val="single" w:sz="6" w:space="0" w:color="auto"/>
              <w:left w:val="single" w:sz="6" w:space="0" w:color="auto"/>
              <w:bottom w:val="single" w:sz="6" w:space="0" w:color="auto"/>
              <w:right w:val="single" w:sz="6" w:space="0" w:color="auto"/>
            </w:tcBorders>
          </w:tcPr>
          <w:p w14:paraId="5D984450" w14:textId="20D8A142" w:rsidR="146F07C5" w:rsidRDefault="146F07C5" w:rsidP="146F07C5">
            <w:pPr>
              <w:rPr>
                <w:rFonts w:ascii="Calibri" w:eastAsia="Calibri" w:hAnsi="Calibri" w:cs="Calibri"/>
              </w:rPr>
            </w:pPr>
            <w:r w:rsidRPr="146F07C5">
              <w:rPr>
                <w:rFonts w:ascii="Calibri" w:eastAsia="Calibri" w:hAnsi="Calibri" w:cs="Calibri"/>
              </w:rPr>
              <w:t>Low </w:t>
            </w:r>
          </w:p>
        </w:tc>
        <w:tc>
          <w:tcPr>
            <w:tcW w:w="6465" w:type="dxa"/>
            <w:tcBorders>
              <w:top w:val="single" w:sz="6" w:space="0" w:color="auto"/>
              <w:left w:val="single" w:sz="6" w:space="0" w:color="auto"/>
              <w:bottom w:val="single" w:sz="6" w:space="0" w:color="auto"/>
              <w:right w:val="single" w:sz="6" w:space="0" w:color="auto"/>
            </w:tcBorders>
          </w:tcPr>
          <w:p w14:paraId="6CEDF015" w14:textId="1B65D91F" w:rsidR="146F07C5" w:rsidRDefault="146F07C5" w:rsidP="146F07C5">
            <w:pPr>
              <w:rPr>
                <w:rFonts w:ascii="Calibri" w:eastAsia="Calibri" w:hAnsi="Calibri" w:cs="Calibri"/>
              </w:rPr>
            </w:pPr>
            <w:r w:rsidRPr="146F07C5">
              <w:rPr>
                <w:rFonts w:ascii="Calibri" w:eastAsia="Calibri" w:hAnsi="Calibri" w:cs="Calibri"/>
              </w:rPr>
              <w:t>The allocation details were concealed in an opaque sealed envelope. After obtaining informed consent from each patient, the envelope was opened y an independent anesthesiologist not involved in this study assessment. </w:t>
            </w:r>
          </w:p>
          <w:p w14:paraId="7444AC7D" w14:textId="78578FAE" w:rsidR="146F07C5" w:rsidRDefault="146F07C5" w:rsidP="146F07C5">
            <w:pPr>
              <w:rPr>
                <w:rFonts w:ascii="Calibri" w:eastAsia="Calibri" w:hAnsi="Calibri" w:cs="Calibri"/>
              </w:rPr>
            </w:pPr>
            <w:r w:rsidRPr="146F07C5">
              <w:rPr>
                <w:rFonts w:ascii="Calibri" w:eastAsia="Calibri" w:hAnsi="Calibri" w:cs="Calibri"/>
              </w:rPr>
              <w:t> </w:t>
            </w:r>
          </w:p>
        </w:tc>
      </w:tr>
      <w:tr w:rsidR="146F07C5" w14:paraId="5D08D5E9"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286B58AF" w14:textId="55B38DE4" w:rsidR="146F07C5" w:rsidRDefault="146F07C5" w:rsidP="146F07C5">
            <w:pPr>
              <w:rPr>
                <w:rFonts w:ascii="Calibri" w:eastAsia="Calibri" w:hAnsi="Calibri" w:cs="Calibri"/>
              </w:rPr>
            </w:pPr>
            <w:r w:rsidRPr="146F07C5">
              <w:rPr>
                <w:rFonts w:ascii="Calibri" w:eastAsia="Calibri" w:hAnsi="Calibri" w:cs="Calibri"/>
              </w:rPr>
              <w:t>Blinding of participants and personnel (performance bias) </w:t>
            </w:r>
          </w:p>
        </w:tc>
        <w:tc>
          <w:tcPr>
            <w:tcW w:w="1425" w:type="dxa"/>
            <w:tcBorders>
              <w:top w:val="single" w:sz="6" w:space="0" w:color="auto"/>
              <w:left w:val="single" w:sz="6" w:space="0" w:color="auto"/>
              <w:bottom w:val="single" w:sz="6" w:space="0" w:color="auto"/>
              <w:right w:val="single" w:sz="6" w:space="0" w:color="auto"/>
            </w:tcBorders>
          </w:tcPr>
          <w:p w14:paraId="7902B297" w14:textId="4D04FBA3" w:rsidR="146F07C5" w:rsidRDefault="146F07C5" w:rsidP="146F07C5">
            <w:pPr>
              <w:rPr>
                <w:rFonts w:ascii="Calibri" w:eastAsia="Calibri" w:hAnsi="Calibri" w:cs="Calibri"/>
              </w:rPr>
            </w:pPr>
            <w:r w:rsidRPr="146F07C5">
              <w:rPr>
                <w:rFonts w:ascii="Calibri" w:eastAsia="Calibri" w:hAnsi="Calibri" w:cs="Calibri"/>
              </w:rPr>
              <w:t>High </w:t>
            </w:r>
          </w:p>
        </w:tc>
        <w:tc>
          <w:tcPr>
            <w:tcW w:w="6465" w:type="dxa"/>
            <w:tcBorders>
              <w:top w:val="single" w:sz="6" w:space="0" w:color="auto"/>
              <w:left w:val="single" w:sz="6" w:space="0" w:color="auto"/>
              <w:bottom w:val="single" w:sz="6" w:space="0" w:color="auto"/>
              <w:right w:val="single" w:sz="6" w:space="0" w:color="auto"/>
            </w:tcBorders>
          </w:tcPr>
          <w:p w14:paraId="5893D35D" w14:textId="4C000447" w:rsidR="146F07C5" w:rsidRDefault="146F07C5" w:rsidP="146F07C5">
            <w:pPr>
              <w:rPr>
                <w:rFonts w:ascii="Calibri" w:eastAsia="Calibri" w:hAnsi="Calibri" w:cs="Calibri"/>
              </w:rPr>
            </w:pPr>
            <w:r w:rsidRPr="146F07C5">
              <w:rPr>
                <w:rFonts w:ascii="Calibri" w:eastAsia="Calibri" w:hAnsi="Calibri" w:cs="Calibri"/>
              </w:rPr>
              <w:t>Study was single blinded (study patient) </w:t>
            </w:r>
          </w:p>
          <w:p w14:paraId="33C76F5A" w14:textId="6FDC380D" w:rsidR="146F07C5" w:rsidRDefault="146F07C5" w:rsidP="146F07C5">
            <w:pPr>
              <w:rPr>
                <w:rFonts w:ascii="Calibri" w:eastAsia="Calibri" w:hAnsi="Calibri" w:cs="Calibri"/>
              </w:rPr>
            </w:pPr>
            <w:r w:rsidRPr="146F07C5">
              <w:rPr>
                <w:rFonts w:ascii="Calibri" w:eastAsia="Calibri" w:hAnsi="Calibri" w:cs="Calibri"/>
              </w:rPr>
              <w:t> </w:t>
            </w:r>
          </w:p>
        </w:tc>
      </w:tr>
      <w:tr w:rsidR="146F07C5" w14:paraId="3ED79834"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47F40180" w14:textId="18078C44" w:rsidR="146F07C5" w:rsidRDefault="146F07C5" w:rsidP="146F07C5">
            <w:pPr>
              <w:rPr>
                <w:rFonts w:ascii="Calibri" w:eastAsia="Calibri" w:hAnsi="Calibri" w:cs="Calibri"/>
              </w:rPr>
            </w:pPr>
            <w:r w:rsidRPr="146F07C5">
              <w:rPr>
                <w:rFonts w:ascii="Calibri" w:eastAsia="Calibri" w:hAnsi="Calibri" w:cs="Calibri"/>
              </w:rPr>
              <w:lastRenderedPageBreak/>
              <w:t>Blinding of outcome assessment (detection bias) </w:t>
            </w:r>
          </w:p>
        </w:tc>
        <w:tc>
          <w:tcPr>
            <w:tcW w:w="1425" w:type="dxa"/>
            <w:tcBorders>
              <w:top w:val="single" w:sz="6" w:space="0" w:color="auto"/>
              <w:left w:val="single" w:sz="6" w:space="0" w:color="auto"/>
              <w:bottom w:val="single" w:sz="6" w:space="0" w:color="auto"/>
              <w:right w:val="single" w:sz="6" w:space="0" w:color="auto"/>
            </w:tcBorders>
          </w:tcPr>
          <w:p w14:paraId="33A78A06" w14:textId="42071D93" w:rsidR="146F07C5" w:rsidRDefault="146F07C5" w:rsidP="146F07C5">
            <w:pPr>
              <w:rPr>
                <w:rFonts w:ascii="Calibri" w:eastAsia="Calibri" w:hAnsi="Calibri" w:cs="Calibri"/>
              </w:rPr>
            </w:pPr>
            <w:r w:rsidRPr="146F07C5">
              <w:rPr>
                <w:rFonts w:ascii="Calibri" w:eastAsia="Calibri" w:hAnsi="Calibri" w:cs="Calibri"/>
              </w:rPr>
              <w:t>High </w:t>
            </w:r>
          </w:p>
        </w:tc>
        <w:tc>
          <w:tcPr>
            <w:tcW w:w="6465" w:type="dxa"/>
            <w:tcBorders>
              <w:top w:val="single" w:sz="6" w:space="0" w:color="auto"/>
              <w:left w:val="single" w:sz="6" w:space="0" w:color="auto"/>
              <w:bottom w:val="single" w:sz="6" w:space="0" w:color="auto"/>
              <w:right w:val="single" w:sz="6" w:space="0" w:color="auto"/>
            </w:tcBorders>
          </w:tcPr>
          <w:p w14:paraId="407AF2CC" w14:textId="70859476" w:rsidR="146F07C5" w:rsidRDefault="146F07C5" w:rsidP="146F07C5">
            <w:pPr>
              <w:rPr>
                <w:rFonts w:ascii="Calibri" w:eastAsia="Calibri" w:hAnsi="Calibri" w:cs="Calibri"/>
              </w:rPr>
            </w:pPr>
            <w:r w:rsidRPr="146F07C5">
              <w:rPr>
                <w:rFonts w:ascii="Calibri" w:eastAsia="Calibri" w:hAnsi="Calibri" w:cs="Calibri"/>
              </w:rPr>
              <w:t>Open label study; assessors likely not blinded </w:t>
            </w:r>
          </w:p>
          <w:p w14:paraId="3A42EA47" w14:textId="7EA081B8" w:rsidR="146F07C5" w:rsidRDefault="146F07C5" w:rsidP="146F07C5">
            <w:pPr>
              <w:rPr>
                <w:rFonts w:ascii="Calibri" w:eastAsia="Calibri" w:hAnsi="Calibri" w:cs="Calibri"/>
              </w:rPr>
            </w:pPr>
            <w:r w:rsidRPr="146F07C5">
              <w:rPr>
                <w:rFonts w:ascii="Calibri" w:eastAsia="Calibri" w:hAnsi="Calibri" w:cs="Calibri"/>
              </w:rPr>
              <w:t> </w:t>
            </w:r>
          </w:p>
        </w:tc>
      </w:tr>
      <w:tr w:rsidR="146F07C5" w14:paraId="5FBA85E2"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1767CCB7" w14:textId="6BBC4585" w:rsidR="146F07C5" w:rsidRDefault="146F07C5" w:rsidP="146F07C5">
            <w:pPr>
              <w:rPr>
                <w:rFonts w:ascii="Calibri" w:eastAsia="Calibri" w:hAnsi="Calibri" w:cs="Calibri"/>
              </w:rPr>
            </w:pPr>
            <w:r w:rsidRPr="146F07C5">
              <w:rPr>
                <w:rFonts w:ascii="Calibri" w:eastAsia="Calibri" w:hAnsi="Calibri" w:cs="Calibri"/>
              </w:rPr>
              <w:t>Incomplete outcome data (attrition bias) </w:t>
            </w:r>
          </w:p>
        </w:tc>
        <w:tc>
          <w:tcPr>
            <w:tcW w:w="1425" w:type="dxa"/>
            <w:tcBorders>
              <w:top w:val="single" w:sz="6" w:space="0" w:color="auto"/>
              <w:left w:val="single" w:sz="6" w:space="0" w:color="auto"/>
              <w:bottom w:val="single" w:sz="6" w:space="0" w:color="auto"/>
              <w:right w:val="single" w:sz="6" w:space="0" w:color="auto"/>
            </w:tcBorders>
          </w:tcPr>
          <w:p w14:paraId="7B1B2356" w14:textId="5B1FFDFD" w:rsidR="146F07C5" w:rsidRDefault="146F07C5" w:rsidP="146F07C5">
            <w:pPr>
              <w:rPr>
                <w:rFonts w:ascii="Calibri" w:eastAsia="Calibri" w:hAnsi="Calibri" w:cs="Calibri"/>
              </w:rPr>
            </w:pPr>
            <w:r w:rsidRPr="146F07C5">
              <w:rPr>
                <w:rFonts w:ascii="Calibri" w:eastAsia="Calibri" w:hAnsi="Calibri" w:cs="Calibri"/>
              </w:rPr>
              <w:t>Unclear </w:t>
            </w:r>
          </w:p>
        </w:tc>
        <w:tc>
          <w:tcPr>
            <w:tcW w:w="6465" w:type="dxa"/>
            <w:tcBorders>
              <w:top w:val="single" w:sz="6" w:space="0" w:color="auto"/>
              <w:left w:val="single" w:sz="6" w:space="0" w:color="auto"/>
              <w:bottom w:val="single" w:sz="6" w:space="0" w:color="auto"/>
              <w:right w:val="single" w:sz="6" w:space="0" w:color="auto"/>
            </w:tcBorders>
          </w:tcPr>
          <w:p w14:paraId="7295F025" w14:textId="1A9DB424" w:rsidR="146F07C5" w:rsidRDefault="146F07C5" w:rsidP="146F07C5">
            <w:pPr>
              <w:rPr>
                <w:rFonts w:ascii="Calibri" w:eastAsia="Calibri" w:hAnsi="Calibri" w:cs="Calibri"/>
              </w:rPr>
            </w:pPr>
            <w:r w:rsidRPr="146F07C5">
              <w:rPr>
                <w:rFonts w:ascii="Calibri" w:eastAsia="Calibri" w:hAnsi="Calibri" w:cs="Calibri"/>
              </w:rPr>
              <w:t>Three patients were withdrawn after subject enrollment, due to uncontrolled hypertension, unexpected cancellation of surgery on the day of operation due to personal reason, and preoperative transfusion. Eight patients were dropped out due to follow-up loss before 1 month after operation (n=5), unnoticed cancer diagnosis (n=1), and patient withdrawal of the consent (n =2). </w:t>
            </w:r>
          </w:p>
          <w:p w14:paraId="4FF018BC" w14:textId="21E5DFD5" w:rsidR="146F07C5" w:rsidRDefault="146F07C5" w:rsidP="146F07C5">
            <w:pPr>
              <w:rPr>
                <w:rFonts w:ascii="Calibri" w:eastAsia="Calibri" w:hAnsi="Calibri" w:cs="Calibri"/>
              </w:rPr>
            </w:pPr>
            <w:r w:rsidRPr="146F07C5">
              <w:rPr>
                <w:rFonts w:ascii="Calibri" w:eastAsia="Calibri" w:hAnsi="Calibri" w:cs="Calibri"/>
              </w:rPr>
              <w:t> </w:t>
            </w:r>
          </w:p>
        </w:tc>
      </w:tr>
      <w:tr w:rsidR="146F07C5" w14:paraId="642CD224"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379233F0" w14:textId="4FC8105C" w:rsidR="146F07C5" w:rsidRDefault="146F07C5" w:rsidP="146F07C5">
            <w:pPr>
              <w:rPr>
                <w:rFonts w:ascii="Calibri" w:eastAsia="Calibri" w:hAnsi="Calibri" w:cs="Calibri"/>
              </w:rPr>
            </w:pPr>
            <w:r w:rsidRPr="146F07C5">
              <w:rPr>
                <w:rFonts w:ascii="Calibri" w:eastAsia="Calibri" w:hAnsi="Calibri" w:cs="Calibri"/>
              </w:rPr>
              <w:t>Selective reporting (reporting bias) </w:t>
            </w:r>
          </w:p>
        </w:tc>
        <w:tc>
          <w:tcPr>
            <w:tcW w:w="1425" w:type="dxa"/>
            <w:tcBorders>
              <w:top w:val="single" w:sz="6" w:space="0" w:color="auto"/>
              <w:left w:val="single" w:sz="6" w:space="0" w:color="auto"/>
              <w:bottom w:val="single" w:sz="6" w:space="0" w:color="auto"/>
              <w:right w:val="single" w:sz="6" w:space="0" w:color="auto"/>
            </w:tcBorders>
          </w:tcPr>
          <w:p w14:paraId="2AD49E94" w14:textId="742C0B63" w:rsidR="146F07C5" w:rsidRDefault="146F07C5" w:rsidP="146F07C5">
            <w:pPr>
              <w:rPr>
                <w:rFonts w:ascii="Calibri" w:eastAsia="Calibri" w:hAnsi="Calibri" w:cs="Calibri"/>
              </w:rPr>
            </w:pPr>
            <w:r w:rsidRPr="146F07C5">
              <w:rPr>
                <w:rFonts w:ascii="Calibri" w:eastAsia="Calibri" w:hAnsi="Calibri" w:cs="Calibri"/>
              </w:rPr>
              <w:t>Low </w:t>
            </w:r>
          </w:p>
        </w:tc>
        <w:tc>
          <w:tcPr>
            <w:tcW w:w="6465" w:type="dxa"/>
            <w:tcBorders>
              <w:top w:val="single" w:sz="6" w:space="0" w:color="auto"/>
              <w:left w:val="single" w:sz="6" w:space="0" w:color="auto"/>
              <w:bottom w:val="single" w:sz="6" w:space="0" w:color="auto"/>
              <w:right w:val="single" w:sz="6" w:space="0" w:color="auto"/>
            </w:tcBorders>
          </w:tcPr>
          <w:p w14:paraId="05CC8D18" w14:textId="4D424FB0" w:rsidR="146F07C5" w:rsidRDefault="146F07C5" w:rsidP="146F07C5">
            <w:pPr>
              <w:rPr>
                <w:rFonts w:ascii="Calibri" w:eastAsia="Calibri" w:hAnsi="Calibri" w:cs="Calibri"/>
              </w:rPr>
            </w:pPr>
            <w:r w:rsidRPr="146F07C5">
              <w:rPr>
                <w:rFonts w:ascii="Calibri" w:eastAsia="Calibri" w:hAnsi="Calibri" w:cs="Calibri"/>
              </w:rPr>
              <w:t>All a priori outcomes were reported in results. </w:t>
            </w:r>
          </w:p>
          <w:p w14:paraId="6AE81AC6" w14:textId="7E26054A" w:rsidR="146F07C5" w:rsidRDefault="146F07C5" w:rsidP="146F07C5">
            <w:pPr>
              <w:rPr>
                <w:rFonts w:ascii="Calibri" w:eastAsia="Calibri" w:hAnsi="Calibri" w:cs="Calibri"/>
              </w:rPr>
            </w:pPr>
            <w:r w:rsidRPr="146F07C5">
              <w:rPr>
                <w:rFonts w:ascii="Calibri" w:eastAsia="Calibri" w:hAnsi="Calibri" w:cs="Calibri"/>
              </w:rPr>
              <w:t> </w:t>
            </w:r>
          </w:p>
        </w:tc>
      </w:tr>
      <w:tr w:rsidR="146F07C5" w14:paraId="6E7841E7"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2A2EC909" w14:textId="56DC05D9" w:rsidR="146F07C5" w:rsidRDefault="146F07C5" w:rsidP="146F07C5">
            <w:pPr>
              <w:rPr>
                <w:rFonts w:ascii="Calibri" w:eastAsia="Calibri" w:hAnsi="Calibri" w:cs="Calibri"/>
              </w:rPr>
            </w:pPr>
            <w:r w:rsidRPr="146F07C5">
              <w:rPr>
                <w:rFonts w:ascii="Calibri" w:eastAsia="Calibri" w:hAnsi="Calibri" w:cs="Calibri"/>
              </w:rPr>
              <w:t>Other bias </w:t>
            </w:r>
          </w:p>
        </w:tc>
        <w:tc>
          <w:tcPr>
            <w:tcW w:w="1425" w:type="dxa"/>
            <w:tcBorders>
              <w:top w:val="single" w:sz="6" w:space="0" w:color="auto"/>
              <w:left w:val="single" w:sz="6" w:space="0" w:color="auto"/>
              <w:bottom w:val="single" w:sz="6" w:space="0" w:color="auto"/>
              <w:right w:val="single" w:sz="6" w:space="0" w:color="auto"/>
            </w:tcBorders>
          </w:tcPr>
          <w:p w14:paraId="1F6F2E66" w14:textId="1AFE4750" w:rsidR="146F07C5" w:rsidRDefault="146F07C5" w:rsidP="146F07C5">
            <w:pPr>
              <w:rPr>
                <w:rFonts w:ascii="Calibri" w:eastAsia="Calibri" w:hAnsi="Calibri" w:cs="Calibri"/>
              </w:rPr>
            </w:pPr>
            <w:r w:rsidRPr="146F07C5">
              <w:rPr>
                <w:rFonts w:ascii="Calibri" w:eastAsia="Calibri" w:hAnsi="Calibri" w:cs="Calibri"/>
              </w:rPr>
              <w:t>High </w:t>
            </w:r>
          </w:p>
        </w:tc>
        <w:tc>
          <w:tcPr>
            <w:tcW w:w="6465" w:type="dxa"/>
            <w:tcBorders>
              <w:top w:val="single" w:sz="6" w:space="0" w:color="auto"/>
              <w:left w:val="single" w:sz="6" w:space="0" w:color="auto"/>
              <w:bottom w:val="single" w:sz="6" w:space="0" w:color="auto"/>
              <w:right w:val="single" w:sz="6" w:space="0" w:color="auto"/>
            </w:tcBorders>
          </w:tcPr>
          <w:p w14:paraId="763E846B" w14:textId="599B5C4E" w:rsidR="146F07C5" w:rsidRDefault="146F07C5" w:rsidP="146F07C5">
            <w:pPr>
              <w:rPr>
                <w:rFonts w:ascii="Calibri" w:eastAsia="Calibri" w:hAnsi="Calibri" w:cs="Calibri"/>
              </w:rPr>
            </w:pPr>
            <w:r w:rsidRPr="146F07C5">
              <w:rPr>
                <w:rFonts w:ascii="Calibri" w:eastAsia="Calibri" w:hAnsi="Calibri" w:cs="Calibri"/>
              </w:rPr>
              <w:t>There was a limited sample size that resulted in an underpowered study. </w:t>
            </w:r>
          </w:p>
          <w:p w14:paraId="0B46BAD3" w14:textId="128E8C14" w:rsidR="146F07C5" w:rsidRDefault="146F07C5" w:rsidP="146F07C5">
            <w:pPr>
              <w:rPr>
                <w:rFonts w:ascii="Calibri" w:eastAsia="Calibri" w:hAnsi="Calibri" w:cs="Calibri"/>
              </w:rPr>
            </w:pPr>
            <w:r w:rsidRPr="146F07C5">
              <w:rPr>
                <w:rFonts w:ascii="Calibri" w:eastAsia="Calibri" w:hAnsi="Calibri" w:cs="Calibri"/>
              </w:rPr>
              <w:t> </w:t>
            </w:r>
          </w:p>
        </w:tc>
      </w:tr>
    </w:tbl>
    <w:p w14:paraId="1F614B09" w14:textId="59023A6F" w:rsidR="3C2ECE16" w:rsidRDefault="6CF2E31F" w:rsidP="146F07C5">
      <w:pPr>
        <w:rPr>
          <w:rFonts w:ascii="Calibri" w:eastAsia="Calibri" w:hAnsi="Calibri" w:cs="Calibri"/>
        </w:rPr>
      </w:pPr>
      <w:r w:rsidRPr="146F07C5">
        <w:rPr>
          <w:rFonts w:ascii="Calibri" w:eastAsia="Calibri" w:hAnsi="Calibri" w:cs="Calibri"/>
        </w:rPr>
        <w:t> </w:t>
      </w:r>
    </w:p>
    <w:tbl>
      <w:tblPr>
        <w:tblW w:w="0" w:type="auto"/>
        <w:tblLayout w:type="fixed"/>
        <w:tblLook w:val="04A0" w:firstRow="1" w:lastRow="0" w:firstColumn="1" w:lastColumn="0" w:noHBand="0" w:noVBand="1"/>
      </w:tblPr>
      <w:tblGrid>
        <w:gridCol w:w="1425"/>
        <w:gridCol w:w="1380"/>
        <w:gridCol w:w="6510"/>
      </w:tblGrid>
      <w:tr w:rsidR="146F07C5" w14:paraId="7B5A1799" w14:textId="77777777" w:rsidTr="146F07C5">
        <w:trPr>
          <w:trHeight w:val="570"/>
        </w:trPr>
        <w:tc>
          <w:tcPr>
            <w:tcW w:w="9315" w:type="dxa"/>
            <w:gridSpan w:val="3"/>
            <w:tcBorders>
              <w:top w:val="outset" w:sz="18" w:space="0" w:color="auto"/>
              <w:left w:val="outset" w:sz="18" w:space="0" w:color="auto"/>
              <w:bottom w:val="outset" w:sz="18" w:space="0" w:color="auto"/>
              <w:right w:val="outset" w:sz="18" w:space="0" w:color="auto"/>
            </w:tcBorders>
            <w:shd w:val="clear" w:color="auto" w:fill="D9D9D9" w:themeFill="background1" w:themeFillShade="D9"/>
            <w:vAlign w:val="bottom"/>
          </w:tcPr>
          <w:p w14:paraId="2239E1B0" w14:textId="5F1B93FD" w:rsidR="146F07C5" w:rsidRDefault="146F07C5" w:rsidP="146F07C5">
            <w:pPr>
              <w:rPr>
                <w:rFonts w:ascii="Calibri" w:eastAsia="Calibri" w:hAnsi="Calibri" w:cs="Calibri"/>
                <w:sz w:val="17"/>
                <w:szCs w:val="17"/>
              </w:rPr>
            </w:pPr>
            <w:r w:rsidRPr="146F07C5">
              <w:rPr>
                <w:rFonts w:ascii="Calibri" w:eastAsia="Calibri" w:hAnsi="Calibri" w:cs="Calibri"/>
              </w:rPr>
              <w:t>Richards T, Baikady RR, Clevenger B, Butcher A, Abeysiri S, Chau M, et al. Preoperative intravenous iron to treat anaemia before major abdominal surgery (PREVENTT): a randomised, double-blind, controlled trial. Lancet. 2020;04:04.</w:t>
            </w:r>
            <w:r w:rsidRPr="146F07C5">
              <w:rPr>
                <w:rFonts w:ascii="Calibri" w:eastAsia="Calibri" w:hAnsi="Calibri" w:cs="Calibri"/>
                <w:color w:val="D13438"/>
                <w:vertAlign w:val="superscript"/>
              </w:rPr>
              <w:t>11</w:t>
            </w:r>
            <w:r w:rsidRPr="146F07C5">
              <w:rPr>
                <w:rFonts w:ascii="Calibri" w:eastAsia="Calibri" w:hAnsi="Calibri" w:cs="Calibri"/>
                <w:vertAlign w:val="superscript"/>
              </w:rPr>
              <w:t> </w:t>
            </w:r>
          </w:p>
        </w:tc>
      </w:tr>
      <w:tr w:rsidR="146F07C5" w14:paraId="7ABFEB47" w14:textId="77777777" w:rsidTr="146F07C5">
        <w:trPr>
          <w:trHeight w:val="570"/>
        </w:trPr>
        <w:tc>
          <w:tcPr>
            <w:tcW w:w="1425" w:type="dxa"/>
            <w:tcBorders>
              <w:top w:val="outset" w:sz="18" w:space="0" w:color="auto"/>
              <w:left w:val="single" w:sz="6" w:space="0" w:color="auto"/>
              <w:bottom w:val="single" w:sz="6" w:space="0" w:color="auto"/>
              <w:right w:val="single" w:sz="6" w:space="0" w:color="auto"/>
            </w:tcBorders>
            <w:vAlign w:val="bottom"/>
          </w:tcPr>
          <w:p w14:paraId="475903F3" w14:textId="18528881" w:rsidR="146F07C5" w:rsidRDefault="146F07C5" w:rsidP="146F07C5">
            <w:pPr>
              <w:rPr>
                <w:rFonts w:ascii="Calibri" w:eastAsia="Calibri" w:hAnsi="Calibri" w:cs="Calibri"/>
              </w:rPr>
            </w:pPr>
            <w:r w:rsidRPr="146F07C5">
              <w:rPr>
                <w:rFonts w:ascii="Calibri" w:eastAsia="Calibri" w:hAnsi="Calibri" w:cs="Calibri"/>
              </w:rPr>
              <w:t>Bias </w:t>
            </w:r>
          </w:p>
        </w:tc>
        <w:tc>
          <w:tcPr>
            <w:tcW w:w="1380" w:type="dxa"/>
            <w:tcBorders>
              <w:top w:val="nil"/>
              <w:left w:val="single" w:sz="6" w:space="0" w:color="auto"/>
              <w:bottom w:val="single" w:sz="6" w:space="0" w:color="auto"/>
              <w:right w:val="single" w:sz="6" w:space="0" w:color="auto"/>
            </w:tcBorders>
            <w:vAlign w:val="bottom"/>
          </w:tcPr>
          <w:p w14:paraId="4E5F0FE3" w14:textId="408CCB13" w:rsidR="146F07C5" w:rsidRDefault="146F07C5" w:rsidP="146F07C5">
            <w:pPr>
              <w:rPr>
                <w:rFonts w:ascii="Calibri" w:eastAsia="Calibri" w:hAnsi="Calibri" w:cs="Calibri"/>
              </w:rPr>
            </w:pPr>
            <w:r w:rsidRPr="146F07C5">
              <w:rPr>
                <w:rFonts w:ascii="Calibri" w:eastAsia="Calibri" w:hAnsi="Calibri" w:cs="Calibri"/>
              </w:rPr>
              <w:t>Authors’ judgment (low, unclear, high) </w:t>
            </w:r>
          </w:p>
        </w:tc>
        <w:tc>
          <w:tcPr>
            <w:tcW w:w="6510" w:type="dxa"/>
            <w:tcBorders>
              <w:top w:val="nil"/>
              <w:left w:val="single" w:sz="6" w:space="0" w:color="auto"/>
              <w:bottom w:val="single" w:sz="6" w:space="0" w:color="auto"/>
              <w:right w:val="single" w:sz="6" w:space="0" w:color="auto"/>
            </w:tcBorders>
            <w:vAlign w:val="bottom"/>
          </w:tcPr>
          <w:p w14:paraId="2B9C0359" w14:textId="44D98B80" w:rsidR="146F07C5" w:rsidRDefault="146F07C5" w:rsidP="146F07C5">
            <w:pPr>
              <w:rPr>
                <w:rFonts w:ascii="Calibri" w:eastAsia="Calibri" w:hAnsi="Calibri" w:cs="Calibri"/>
              </w:rPr>
            </w:pPr>
            <w:r w:rsidRPr="146F07C5">
              <w:rPr>
                <w:rFonts w:ascii="Calibri" w:eastAsia="Calibri" w:hAnsi="Calibri" w:cs="Calibri"/>
              </w:rPr>
              <w:t>Support for judgment </w:t>
            </w:r>
          </w:p>
        </w:tc>
      </w:tr>
      <w:tr w:rsidR="146F07C5" w14:paraId="62086F07" w14:textId="77777777" w:rsidTr="146F07C5">
        <w:trPr>
          <w:trHeight w:val="750"/>
        </w:trPr>
        <w:tc>
          <w:tcPr>
            <w:tcW w:w="1425" w:type="dxa"/>
            <w:tcBorders>
              <w:top w:val="single" w:sz="6" w:space="0" w:color="auto"/>
              <w:left w:val="single" w:sz="6" w:space="0" w:color="auto"/>
              <w:bottom w:val="single" w:sz="6" w:space="0" w:color="auto"/>
              <w:right w:val="single" w:sz="6" w:space="0" w:color="auto"/>
            </w:tcBorders>
          </w:tcPr>
          <w:p w14:paraId="0CEB4A2A" w14:textId="2F3B389D" w:rsidR="146F07C5" w:rsidRDefault="146F07C5" w:rsidP="146F07C5">
            <w:pPr>
              <w:rPr>
                <w:rFonts w:ascii="Calibri" w:eastAsia="Calibri" w:hAnsi="Calibri" w:cs="Calibri"/>
              </w:rPr>
            </w:pPr>
            <w:r w:rsidRPr="146F07C5">
              <w:rPr>
                <w:rFonts w:ascii="Calibri" w:eastAsia="Calibri" w:hAnsi="Calibri" w:cs="Calibri"/>
              </w:rPr>
              <w:t>Random sequence generation (selection bias) </w:t>
            </w:r>
          </w:p>
        </w:tc>
        <w:tc>
          <w:tcPr>
            <w:tcW w:w="1380" w:type="dxa"/>
            <w:tcBorders>
              <w:top w:val="single" w:sz="6" w:space="0" w:color="auto"/>
              <w:left w:val="single" w:sz="6" w:space="0" w:color="auto"/>
              <w:bottom w:val="single" w:sz="6" w:space="0" w:color="auto"/>
              <w:right w:val="single" w:sz="6" w:space="0" w:color="auto"/>
            </w:tcBorders>
          </w:tcPr>
          <w:p w14:paraId="6E43EAC8" w14:textId="7FB3698D" w:rsidR="146F07C5" w:rsidRDefault="146F07C5" w:rsidP="146F07C5">
            <w:pPr>
              <w:rPr>
                <w:rFonts w:ascii="Calibri" w:eastAsia="Calibri" w:hAnsi="Calibri" w:cs="Calibri"/>
              </w:rPr>
            </w:pPr>
            <w:r w:rsidRPr="146F07C5">
              <w:rPr>
                <w:rFonts w:ascii="Calibri" w:eastAsia="Calibri" w:hAnsi="Calibri" w:cs="Calibri"/>
              </w:rPr>
              <w:t>Low </w:t>
            </w:r>
          </w:p>
        </w:tc>
        <w:tc>
          <w:tcPr>
            <w:tcW w:w="6510" w:type="dxa"/>
            <w:tcBorders>
              <w:top w:val="single" w:sz="6" w:space="0" w:color="auto"/>
              <w:left w:val="single" w:sz="6" w:space="0" w:color="auto"/>
              <w:bottom w:val="single" w:sz="6" w:space="0" w:color="auto"/>
              <w:right w:val="single" w:sz="6" w:space="0" w:color="auto"/>
            </w:tcBorders>
          </w:tcPr>
          <w:p w14:paraId="52136D62" w14:textId="22B97E78" w:rsidR="146F07C5" w:rsidRDefault="146F07C5" w:rsidP="146F07C5">
            <w:pPr>
              <w:rPr>
                <w:rFonts w:ascii="Calibri" w:eastAsia="Calibri" w:hAnsi="Calibri" w:cs="Calibri"/>
              </w:rPr>
            </w:pPr>
            <w:r w:rsidRPr="146F07C5">
              <w:rPr>
                <w:rFonts w:ascii="Calibri" w:eastAsia="Calibri" w:hAnsi="Calibri" w:cs="Calibri"/>
              </w:rPr>
              <w:t>Randomization was done by trained staff members using a secure web-based service through Clinical Trials Unit at the London School of Hygiene and Tropical Medicine. The web-based service was provided by an independent research support organization. </w:t>
            </w:r>
          </w:p>
          <w:p w14:paraId="14B3B207" w14:textId="293277E2" w:rsidR="146F07C5" w:rsidRDefault="146F07C5" w:rsidP="146F07C5">
            <w:pPr>
              <w:rPr>
                <w:rFonts w:ascii="Calibri" w:eastAsia="Calibri" w:hAnsi="Calibri" w:cs="Calibri"/>
              </w:rPr>
            </w:pPr>
            <w:r w:rsidRPr="146F07C5">
              <w:rPr>
                <w:rFonts w:ascii="Calibri" w:eastAsia="Calibri" w:hAnsi="Calibri" w:cs="Calibri"/>
              </w:rPr>
              <w:t> </w:t>
            </w:r>
          </w:p>
        </w:tc>
      </w:tr>
      <w:tr w:rsidR="146F07C5" w14:paraId="7C084847"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6EA6D980" w14:textId="346866B1" w:rsidR="146F07C5" w:rsidRDefault="146F07C5" w:rsidP="146F07C5">
            <w:pPr>
              <w:rPr>
                <w:rFonts w:ascii="Calibri" w:eastAsia="Calibri" w:hAnsi="Calibri" w:cs="Calibri"/>
              </w:rPr>
            </w:pPr>
            <w:r w:rsidRPr="146F07C5">
              <w:rPr>
                <w:rFonts w:ascii="Calibri" w:eastAsia="Calibri" w:hAnsi="Calibri" w:cs="Calibri"/>
              </w:rPr>
              <w:t>Allocation concealment (selection bias) </w:t>
            </w:r>
          </w:p>
        </w:tc>
        <w:tc>
          <w:tcPr>
            <w:tcW w:w="1380" w:type="dxa"/>
            <w:tcBorders>
              <w:top w:val="single" w:sz="6" w:space="0" w:color="auto"/>
              <w:left w:val="single" w:sz="6" w:space="0" w:color="auto"/>
              <w:bottom w:val="single" w:sz="6" w:space="0" w:color="auto"/>
              <w:right w:val="single" w:sz="6" w:space="0" w:color="auto"/>
            </w:tcBorders>
          </w:tcPr>
          <w:p w14:paraId="7D52932E" w14:textId="5EFA59AA" w:rsidR="146F07C5" w:rsidRDefault="146F07C5" w:rsidP="146F07C5">
            <w:pPr>
              <w:rPr>
                <w:rFonts w:ascii="Calibri" w:eastAsia="Calibri" w:hAnsi="Calibri" w:cs="Calibri"/>
              </w:rPr>
            </w:pPr>
            <w:r w:rsidRPr="146F07C5">
              <w:rPr>
                <w:rFonts w:ascii="Calibri" w:eastAsia="Calibri" w:hAnsi="Calibri" w:cs="Calibri"/>
              </w:rPr>
              <w:t>Low </w:t>
            </w:r>
          </w:p>
        </w:tc>
        <w:tc>
          <w:tcPr>
            <w:tcW w:w="6510" w:type="dxa"/>
            <w:tcBorders>
              <w:top w:val="single" w:sz="6" w:space="0" w:color="auto"/>
              <w:left w:val="single" w:sz="6" w:space="0" w:color="auto"/>
              <w:bottom w:val="single" w:sz="6" w:space="0" w:color="auto"/>
              <w:right w:val="single" w:sz="6" w:space="0" w:color="auto"/>
            </w:tcBorders>
          </w:tcPr>
          <w:p w14:paraId="06F1CCAC" w14:textId="3097E406" w:rsidR="146F07C5" w:rsidRDefault="146F07C5" w:rsidP="146F07C5">
            <w:pPr>
              <w:rPr>
                <w:rFonts w:ascii="Calibri" w:eastAsia="Calibri" w:hAnsi="Calibri" w:cs="Calibri"/>
              </w:rPr>
            </w:pPr>
            <w:r w:rsidRPr="146F07C5">
              <w:rPr>
                <w:rFonts w:ascii="Calibri" w:eastAsia="Calibri" w:hAnsi="Calibri" w:cs="Calibri"/>
              </w:rPr>
              <w:t>Randomisation was 1:1, with allocation concealment that used minimisation, considering baseline haemoglobin (&lt;100 vs ≥100 g/L), age (&lt;70 vs ≥70 years), centre, and operation type. </w:t>
            </w:r>
          </w:p>
        </w:tc>
      </w:tr>
      <w:tr w:rsidR="146F07C5" w14:paraId="55A9DAD6"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77188F32" w14:textId="0735008E" w:rsidR="146F07C5" w:rsidRDefault="146F07C5" w:rsidP="146F07C5">
            <w:pPr>
              <w:rPr>
                <w:rFonts w:ascii="Calibri" w:eastAsia="Calibri" w:hAnsi="Calibri" w:cs="Calibri"/>
              </w:rPr>
            </w:pPr>
            <w:r w:rsidRPr="146F07C5">
              <w:rPr>
                <w:rFonts w:ascii="Calibri" w:eastAsia="Calibri" w:hAnsi="Calibri" w:cs="Calibri"/>
              </w:rPr>
              <w:lastRenderedPageBreak/>
              <w:t>Blinding of participants and personnel (performance bias) </w:t>
            </w:r>
          </w:p>
        </w:tc>
        <w:tc>
          <w:tcPr>
            <w:tcW w:w="1380" w:type="dxa"/>
            <w:tcBorders>
              <w:top w:val="single" w:sz="6" w:space="0" w:color="auto"/>
              <w:left w:val="single" w:sz="6" w:space="0" w:color="auto"/>
              <w:bottom w:val="single" w:sz="6" w:space="0" w:color="auto"/>
              <w:right w:val="single" w:sz="6" w:space="0" w:color="auto"/>
            </w:tcBorders>
          </w:tcPr>
          <w:p w14:paraId="32038CF9" w14:textId="59E7D389" w:rsidR="146F07C5" w:rsidRDefault="146F07C5" w:rsidP="146F07C5">
            <w:pPr>
              <w:rPr>
                <w:rFonts w:ascii="Calibri" w:eastAsia="Calibri" w:hAnsi="Calibri" w:cs="Calibri"/>
              </w:rPr>
            </w:pPr>
            <w:r w:rsidRPr="146F07C5">
              <w:rPr>
                <w:rFonts w:ascii="Calibri" w:eastAsia="Calibri" w:hAnsi="Calibri" w:cs="Calibri"/>
              </w:rPr>
              <w:t>Low </w:t>
            </w:r>
          </w:p>
        </w:tc>
        <w:tc>
          <w:tcPr>
            <w:tcW w:w="6510" w:type="dxa"/>
            <w:tcBorders>
              <w:top w:val="single" w:sz="6" w:space="0" w:color="auto"/>
              <w:left w:val="single" w:sz="6" w:space="0" w:color="auto"/>
              <w:bottom w:val="single" w:sz="6" w:space="0" w:color="auto"/>
              <w:right w:val="single" w:sz="6" w:space="0" w:color="auto"/>
            </w:tcBorders>
          </w:tcPr>
          <w:p w14:paraId="086C61C1" w14:textId="197BA72A" w:rsidR="146F07C5" w:rsidRDefault="146F07C5" w:rsidP="146F07C5">
            <w:pPr>
              <w:rPr>
                <w:rFonts w:ascii="Calibri" w:eastAsia="Calibri" w:hAnsi="Calibri" w:cs="Calibri"/>
              </w:rPr>
            </w:pPr>
            <w:r w:rsidRPr="146F07C5">
              <w:rPr>
                <w:rFonts w:ascii="Calibri" w:eastAsia="Calibri" w:hAnsi="Calibri" w:cs="Calibri"/>
              </w:rPr>
              <w:t>Because IV iron was a dark-brown solution that is easily distinguishable from the saline placebo, dedicated unblinded study personnel were responsible for the preparation and administration of the study drug but had no other involvement in the trial. To ensure blinding of the participants, their skin was swabbed with iodine, and the study treatment was shielded from vision (light protection bags) and infused through black tubing. </w:t>
            </w:r>
          </w:p>
          <w:p w14:paraId="7DCB7637" w14:textId="28E9F3F9" w:rsidR="146F07C5" w:rsidRDefault="146F07C5" w:rsidP="146F07C5">
            <w:pPr>
              <w:rPr>
                <w:rFonts w:ascii="Calibri" w:eastAsia="Calibri" w:hAnsi="Calibri" w:cs="Calibri"/>
              </w:rPr>
            </w:pPr>
            <w:r w:rsidRPr="146F07C5">
              <w:rPr>
                <w:rFonts w:ascii="Calibri" w:eastAsia="Calibri" w:hAnsi="Calibri" w:cs="Calibri"/>
              </w:rPr>
              <w:t> </w:t>
            </w:r>
          </w:p>
        </w:tc>
      </w:tr>
      <w:tr w:rsidR="146F07C5" w14:paraId="2EC0F7B3"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7CFF9750" w14:textId="67271532" w:rsidR="146F07C5" w:rsidRDefault="146F07C5" w:rsidP="146F07C5">
            <w:pPr>
              <w:rPr>
                <w:rFonts w:ascii="Calibri" w:eastAsia="Calibri" w:hAnsi="Calibri" w:cs="Calibri"/>
              </w:rPr>
            </w:pPr>
            <w:r w:rsidRPr="146F07C5">
              <w:rPr>
                <w:rFonts w:ascii="Calibri" w:eastAsia="Calibri" w:hAnsi="Calibri" w:cs="Calibri"/>
              </w:rPr>
              <w:t>Blinding of outcome assessment (detection bias) </w:t>
            </w:r>
          </w:p>
        </w:tc>
        <w:tc>
          <w:tcPr>
            <w:tcW w:w="1380" w:type="dxa"/>
            <w:tcBorders>
              <w:top w:val="single" w:sz="6" w:space="0" w:color="auto"/>
              <w:left w:val="single" w:sz="6" w:space="0" w:color="auto"/>
              <w:bottom w:val="single" w:sz="6" w:space="0" w:color="auto"/>
              <w:right w:val="single" w:sz="6" w:space="0" w:color="auto"/>
            </w:tcBorders>
          </w:tcPr>
          <w:p w14:paraId="1F19C8A1" w14:textId="2CB297FD" w:rsidR="146F07C5" w:rsidRDefault="146F07C5" w:rsidP="146F07C5">
            <w:pPr>
              <w:rPr>
                <w:rFonts w:ascii="Calibri" w:eastAsia="Calibri" w:hAnsi="Calibri" w:cs="Calibri"/>
              </w:rPr>
            </w:pPr>
            <w:r w:rsidRPr="146F07C5">
              <w:rPr>
                <w:rFonts w:ascii="Calibri" w:eastAsia="Calibri" w:hAnsi="Calibri" w:cs="Calibri"/>
              </w:rPr>
              <w:t>Low </w:t>
            </w:r>
          </w:p>
        </w:tc>
        <w:tc>
          <w:tcPr>
            <w:tcW w:w="6510" w:type="dxa"/>
            <w:tcBorders>
              <w:top w:val="single" w:sz="6" w:space="0" w:color="auto"/>
              <w:left w:val="single" w:sz="6" w:space="0" w:color="auto"/>
              <w:bottom w:val="single" w:sz="6" w:space="0" w:color="auto"/>
              <w:right w:val="single" w:sz="6" w:space="0" w:color="auto"/>
            </w:tcBorders>
          </w:tcPr>
          <w:p w14:paraId="077DBE8A" w14:textId="139FA858" w:rsidR="146F07C5" w:rsidRDefault="146F07C5" w:rsidP="146F07C5">
            <w:pPr>
              <w:rPr>
                <w:rFonts w:ascii="Calibri" w:eastAsia="Calibri" w:hAnsi="Calibri" w:cs="Calibri"/>
              </w:rPr>
            </w:pPr>
            <w:r w:rsidRPr="146F07C5">
              <w:rPr>
                <w:rFonts w:ascii="Calibri" w:eastAsia="Calibri" w:hAnsi="Calibri" w:cs="Calibri"/>
              </w:rPr>
              <w:t>Study was blinded for clinical personnel.  </w:t>
            </w:r>
          </w:p>
        </w:tc>
      </w:tr>
      <w:tr w:rsidR="146F07C5" w14:paraId="78C65EA1"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50B9E72C" w14:textId="426E729A" w:rsidR="146F07C5" w:rsidRDefault="146F07C5" w:rsidP="146F07C5">
            <w:pPr>
              <w:rPr>
                <w:rFonts w:ascii="Calibri" w:eastAsia="Calibri" w:hAnsi="Calibri" w:cs="Calibri"/>
              </w:rPr>
            </w:pPr>
            <w:r w:rsidRPr="146F07C5">
              <w:rPr>
                <w:rFonts w:ascii="Calibri" w:eastAsia="Calibri" w:hAnsi="Calibri" w:cs="Calibri"/>
              </w:rPr>
              <w:t>Incomplete outcome data (attrition bias) </w:t>
            </w:r>
          </w:p>
        </w:tc>
        <w:tc>
          <w:tcPr>
            <w:tcW w:w="1380" w:type="dxa"/>
            <w:tcBorders>
              <w:top w:val="single" w:sz="6" w:space="0" w:color="auto"/>
              <w:left w:val="single" w:sz="6" w:space="0" w:color="auto"/>
              <w:bottom w:val="single" w:sz="6" w:space="0" w:color="auto"/>
              <w:right w:val="single" w:sz="6" w:space="0" w:color="auto"/>
            </w:tcBorders>
          </w:tcPr>
          <w:p w14:paraId="46B89CFB" w14:textId="7440EF04" w:rsidR="146F07C5" w:rsidRDefault="146F07C5" w:rsidP="146F07C5">
            <w:pPr>
              <w:rPr>
                <w:rFonts w:ascii="Calibri" w:eastAsia="Calibri" w:hAnsi="Calibri" w:cs="Calibri"/>
              </w:rPr>
            </w:pPr>
            <w:r w:rsidRPr="146F07C5">
              <w:rPr>
                <w:rFonts w:ascii="Calibri" w:eastAsia="Calibri" w:hAnsi="Calibri" w:cs="Calibri"/>
              </w:rPr>
              <w:t>Low </w:t>
            </w:r>
          </w:p>
        </w:tc>
        <w:tc>
          <w:tcPr>
            <w:tcW w:w="6510" w:type="dxa"/>
            <w:tcBorders>
              <w:top w:val="single" w:sz="6" w:space="0" w:color="auto"/>
              <w:left w:val="single" w:sz="6" w:space="0" w:color="auto"/>
              <w:bottom w:val="single" w:sz="6" w:space="0" w:color="auto"/>
              <w:right w:val="single" w:sz="6" w:space="0" w:color="auto"/>
            </w:tcBorders>
          </w:tcPr>
          <w:p w14:paraId="57D5CFA1" w14:textId="7F3CCC96" w:rsidR="146F07C5" w:rsidRDefault="146F07C5" w:rsidP="146F07C5">
            <w:pPr>
              <w:rPr>
                <w:rFonts w:ascii="Calibri" w:eastAsia="Calibri" w:hAnsi="Calibri" w:cs="Calibri"/>
              </w:rPr>
            </w:pPr>
            <w:r w:rsidRPr="146F07C5">
              <w:rPr>
                <w:rFonts w:ascii="Calibri" w:eastAsia="Calibri" w:hAnsi="Calibri" w:cs="Calibri"/>
              </w:rPr>
              <w:t>Six patients did not receive their intende randomized treamtent (two placebo; four IV iron). Eight patients withdrew consent (four in each group), of whom three withdrew between treatment and surgery, three between surgery and the 8-week visit, and two between the 8-week and 6-month visits. 23 pateints did not undergo their planned surgery (13 placebo, 10 IV iron), not including the three patients who withdrew consent before surgery. 46 patients had their surgery outside the prescribed timelines (26 placebo, 20 IV iron) and 20 pateitns did not have major open abdominal surgery (12 placebo, 8 IV iron). For the coprimary endpoints, 474 (97%) patients were included in the IIT analysis and 388 (80%) were included in the per-protocol analysis. </w:t>
            </w:r>
          </w:p>
          <w:p w14:paraId="4ECE2C13" w14:textId="3E8F7256" w:rsidR="146F07C5" w:rsidRDefault="146F07C5" w:rsidP="146F07C5">
            <w:pPr>
              <w:rPr>
                <w:rFonts w:ascii="Calibri" w:eastAsia="Calibri" w:hAnsi="Calibri" w:cs="Calibri"/>
              </w:rPr>
            </w:pPr>
            <w:r w:rsidRPr="146F07C5">
              <w:rPr>
                <w:rFonts w:ascii="Calibri" w:eastAsia="Calibri" w:hAnsi="Calibri" w:cs="Calibri"/>
              </w:rPr>
              <w:t> </w:t>
            </w:r>
          </w:p>
        </w:tc>
      </w:tr>
      <w:tr w:rsidR="146F07C5" w14:paraId="34D63E58"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5EE099BD" w14:textId="1EFC437F" w:rsidR="146F07C5" w:rsidRDefault="146F07C5" w:rsidP="146F07C5">
            <w:pPr>
              <w:rPr>
                <w:rFonts w:ascii="Calibri" w:eastAsia="Calibri" w:hAnsi="Calibri" w:cs="Calibri"/>
              </w:rPr>
            </w:pPr>
            <w:r w:rsidRPr="146F07C5">
              <w:rPr>
                <w:rFonts w:ascii="Calibri" w:eastAsia="Calibri" w:hAnsi="Calibri" w:cs="Calibri"/>
              </w:rPr>
              <w:t>Selective reporting (reporting bias) </w:t>
            </w:r>
          </w:p>
        </w:tc>
        <w:tc>
          <w:tcPr>
            <w:tcW w:w="1380" w:type="dxa"/>
            <w:tcBorders>
              <w:top w:val="single" w:sz="6" w:space="0" w:color="auto"/>
              <w:left w:val="single" w:sz="6" w:space="0" w:color="auto"/>
              <w:bottom w:val="single" w:sz="6" w:space="0" w:color="auto"/>
              <w:right w:val="single" w:sz="6" w:space="0" w:color="auto"/>
            </w:tcBorders>
          </w:tcPr>
          <w:p w14:paraId="054ADC8A" w14:textId="59CDD5C2" w:rsidR="146F07C5" w:rsidRDefault="146F07C5" w:rsidP="146F07C5">
            <w:pPr>
              <w:rPr>
                <w:rFonts w:ascii="Calibri" w:eastAsia="Calibri" w:hAnsi="Calibri" w:cs="Calibri"/>
              </w:rPr>
            </w:pPr>
            <w:r w:rsidRPr="146F07C5">
              <w:rPr>
                <w:rFonts w:ascii="Calibri" w:eastAsia="Calibri" w:hAnsi="Calibri" w:cs="Calibri"/>
              </w:rPr>
              <w:t>Low </w:t>
            </w:r>
          </w:p>
        </w:tc>
        <w:tc>
          <w:tcPr>
            <w:tcW w:w="6510" w:type="dxa"/>
            <w:tcBorders>
              <w:top w:val="single" w:sz="6" w:space="0" w:color="auto"/>
              <w:left w:val="single" w:sz="6" w:space="0" w:color="auto"/>
              <w:bottom w:val="single" w:sz="6" w:space="0" w:color="auto"/>
              <w:right w:val="single" w:sz="6" w:space="0" w:color="auto"/>
            </w:tcBorders>
          </w:tcPr>
          <w:p w14:paraId="7E8364F0" w14:textId="6F7D5936" w:rsidR="146F07C5" w:rsidRDefault="146F07C5" w:rsidP="146F07C5">
            <w:pPr>
              <w:rPr>
                <w:rFonts w:ascii="Calibri" w:eastAsia="Calibri" w:hAnsi="Calibri" w:cs="Calibri"/>
              </w:rPr>
            </w:pPr>
            <w:r w:rsidRPr="146F07C5">
              <w:rPr>
                <w:rFonts w:ascii="Calibri" w:eastAsia="Calibri" w:hAnsi="Calibri" w:cs="Calibri"/>
              </w:rPr>
              <w:t>Coprimary endpoints were reported as IIT and per-protocol, adjusted for multiple testing, and adjusted for age, sex, body-mass index, operation type, and Hg concentrations. </w:t>
            </w:r>
          </w:p>
          <w:p w14:paraId="570CF3E7" w14:textId="33AC9304" w:rsidR="146F07C5" w:rsidRDefault="146F07C5" w:rsidP="146F07C5">
            <w:pPr>
              <w:rPr>
                <w:rFonts w:ascii="Calibri" w:eastAsia="Calibri" w:hAnsi="Calibri" w:cs="Calibri"/>
              </w:rPr>
            </w:pPr>
            <w:r w:rsidRPr="146F07C5">
              <w:rPr>
                <w:rFonts w:ascii="Calibri" w:eastAsia="Calibri" w:hAnsi="Calibri" w:cs="Calibri"/>
              </w:rPr>
              <w:t> </w:t>
            </w:r>
          </w:p>
        </w:tc>
      </w:tr>
      <w:tr w:rsidR="146F07C5" w14:paraId="4089B3F1" w14:textId="77777777" w:rsidTr="146F07C5">
        <w:trPr>
          <w:trHeight w:val="300"/>
        </w:trPr>
        <w:tc>
          <w:tcPr>
            <w:tcW w:w="1425" w:type="dxa"/>
            <w:tcBorders>
              <w:top w:val="single" w:sz="6" w:space="0" w:color="auto"/>
              <w:left w:val="single" w:sz="6" w:space="0" w:color="auto"/>
              <w:bottom w:val="single" w:sz="6" w:space="0" w:color="auto"/>
              <w:right w:val="single" w:sz="6" w:space="0" w:color="auto"/>
            </w:tcBorders>
          </w:tcPr>
          <w:p w14:paraId="243B2DAE" w14:textId="6AAC0820" w:rsidR="146F07C5" w:rsidRDefault="146F07C5" w:rsidP="146F07C5">
            <w:pPr>
              <w:rPr>
                <w:rFonts w:ascii="Calibri" w:eastAsia="Calibri" w:hAnsi="Calibri" w:cs="Calibri"/>
              </w:rPr>
            </w:pPr>
            <w:r w:rsidRPr="146F07C5">
              <w:rPr>
                <w:rFonts w:ascii="Calibri" w:eastAsia="Calibri" w:hAnsi="Calibri" w:cs="Calibri"/>
              </w:rPr>
              <w:t>Other bias </w:t>
            </w:r>
          </w:p>
        </w:tc>
        <w:tc>
          <w:tcPr>
            <w:tcW w:w="1380" w:type="dxa"/>
            <w:tcBorders>
              <w:top w:val="single" w:sz="6" w:space="0" w:color="auto"/>
              <w:left w:val="single" w:sz="6" w:space="0" w:color="auto"/>
              <w:bottom w:val="single" w:sz="6" w:space="0" w:color="auto"/>
              <w:right w:val="single" w:sz="6" w:space="0" w:color="auto"/>
            </w:tcBorders>
          </w:tcPr>
          <w:p w14:paraId="64000C59" w14:textId="367603E5" w:rsidR="146F07C5" w:rsidRDefault="146F07C5" w:rsidP="146F07C5">
            <w:pPr>
              <w:rPr>
                <w:rFonts w:ascii="Calibri" w:eastAsia="Calibri" w:hAnsi="Calibri" w:cs="Calibri"/>
              </w:rPr>
            </w:pPr>
            <w:r w:rsidRPr="146F07C5">
              <w:rPr>
                <w:rFonts w:ascii="Calibri" w:eastAsia="Calibri" w:hAnsi="Calibri" w:cs="Calibri"/>
              </w:rPr>
              <w:t>Low </w:t>
            </w:r>
          </w:p>
        </w:tc>
        <w:tc>
          <w:tcPr>
            <w:tcW w:w="6510" w:type="dxa"/>
            <w:tcBorders>
              <w:top w:val="single" w:sz="6" w:space="0" w:color="auto"/>
              <w:left w:val="single" w:sz="6" w:space="0" w:color="auto"/>
              <w:bottom w:val="single" w:sz="6" w:space="0" w:color="auto"/>
              <w:right w:val="single" w:sz="6" w:space="0" w:color="auto"/>
            </w:tcBorders>
          </w:tcPr>
          <w:p w14:paraId="4B89FBDD" w14:textId="5168CF48" w:rsidR="146F07C5" w:rsidRDefault="146F07C5" w:rsidP="146F07C5">
            <w:pPr>
              <w:rPr>
                <w:rFonts w:ascii="Calibri" w:eastAsia="Calibri" w:hAnsi="Calibri" w:cs="Calibri"/>
              </w:rPr>
            </w:pPr>
            <w:r w:rsidRPr="146F07C5">
              <w:rPr>
                <w:rFonts w:ascii="Calibri" w:eastAsia="Calibri" w:hAnsi="Calibri" w:cs="Calibri"/>
              </w:rPr>
              <w:t>None </w:t>
            </w:r>
          </w:p>
        </w:tc>
      </w:tr>
    </w:tbl>
    <w:p w14:paraId="78EC6E80" w14:textId="6E5B5F80" w:rsidR="3C2ECE16" w:rsidRDefault="6CF2E31F" w:rsidP="146F07C5">
      <w:pPr>
        <w:rPr>
          <w:rFonts w:ascii="Calibri" w:eastAsia="Calibri" w:hAnsi="Calibri" w:cs="Calibri"/>
        </w:rPr>
      </w:pPr>
      <w:r w:rsidRPr="146F07C5">
        <w:rPr>
          <w:rFonts w:ascii="Calibri" w:eastAsia="Calibri" w:hAnsi="Calibri" w:cs="Calibri"/>
        </w:rPr>
        <w:t> </w:t>
      </w:r>
    </w:p>
    <w:p w14:paraId="2485DB9C" w14:textId="14980F0F" w:rsidR="3C2ECE16" w:rsidRDefault="3C2ECE16" w:rsidP="146F07C5"/>
    <w:p w14:paraId="73C11812" w14:textId="75A5B468" w:rsidR="3C2ECE16" w:rsidRDefault="3C2ECE16" w:rsidP="146F07C5"/>
    <w:p w14:paraId="71D41C1B" w14:textId="77777777" w:rsidR="00457B4B" w:rsidRDefault="00457B4B">
      <w:pPr>
        <w:rPr>
          <w:rFonts w:ascii="Arial" w:hAnsi="Arial" w:cs="Arial"/>
          <w:b/>
        </w:rPr>
      </w:pPr>
      <w:r>
        <w:rPr>
          <w:rFonts w:ascii="Arial" w:hAnsi="Arial" w:cs="Arial"/>
          <w:b/>
        </w:rPr>
        <w:br w:type="page"/>
      </w:r>
    </w:p>
    <w:p w14:paraId="71473F5A" w14:textId="77777777" w:rsidR="00457B4B" w:rsidRPr="00337951" w:rsidRDefault="00457B4B" w:rsidP="006F7CED">
      <w:pPr>
        <w:ind w:left="540" w:hanging="540"/>
        <w:rPr>
          <w:rFonts w:ascii="Arial" w:hAnsi="Arial" w:cs="Arial"/>
          <w:b/>
        </w:rPr>
      </w:pPr>
      <w:r w:rsidRPr="00337951">
        <w:rPr>
          <w:rFonts w:ascii="Arial" w:hAnsi="Arial" w:cs="Arial"/>
          <w:b/>
        </w:rPr>
        <w:lastRenderedPageBreak/>
        <w:t>References</w:t>
      </w:r>
    </w:p>
    <w:p w14:paraId="55565029" w14:textId="77777777" w:rsidR="00457B4B" w:rsidRPr="0028327D" w:rsidRDefault="00457B4B" w:rsidP="0028327D">
      <w:pPr>
        <w:pStyle w:val="EndNoteBibliography"/>
        <w:spacing w:after="0"/>
        <w:ind w:left="720" w:hanging="720"/>
      </w:pPr>
      <w:r w:rsidRPr="0028327D">
        <w:t>1.</w:t>
      </w:r>
      <w:r w:rsidRPr="0028327D">
        <w:tab/>
        <w:t xml:space="preserve">Bernabeu-Wittel M, Romero M, Ollero-Baturone M, et al. Ferric carboxymaltose with or without erythropoietin in anemic patients with hip fracture: a randomized clinical trial. </w:t>
      </w:r>
      <w:r w:rsidRPr="0028327D">
        <w:rPr>
          <w:i/>
        </w:rPr>
        <w:t xml:space="preserve">Transfusion (Paris). </w:t>
      </w:r>
      <w:r w:rsidRPr="0028327D">
        <w:t>2016;56(9):2199-2211.</w:t>
      </w:r>
    </w:p>
    <w:p w14:paraId="6B4E2775" w14:textId="77777777" w:rsidR="00457B4B" w:rsidRPr="0028327D" w:rsidRDefault="00457B4B" w:rsidP="0028327D">
      <w:pPr>
        <w:pStyle w:val="EndNoteBibliography"/>
        <w:spacing w:after="0"/>
        <w:ind w:left="720" w:hanging="720"/>
      </w:pPr>
      <w:r w:rsidRPr="0028327D">
        <w:t>2.</w:t>
      </w:r>
      <w:r w:rsidRPr="0028327D">
        <w:tab/>
        <w:t xml:space="preserve">Bernabeu-Wittel M, Aparicio R, Romero M, et al. Ferric carboxymaltose with or without erythropoietin for the prevention of red-cell transfusions in the perioperative period of osteoporotic hip fractures: a randomized contolled trial. The PAHFRAC-01 project. </w:t>
      </w:r>
      <w:r w:rsidRPr="0028327D">
        <w:rPr>
          <w:i/>
        </w:rPr>
        <w:t xml:space="preserve">BMC Musculoskelet Disord. </w:t>
      </w:r>
      <w:r w:rsidRPr="0028327D">
        <w:t>2012;13:27.</w:t>
      </w:r>
    </w:p>
    <w:p w14:paraId="304CA94B" w14:textId="77777777" w:rsidR="00457B4B" w:rsidRPr="0028327D" w:rsidRDefault="00457B4B" w:rsidP="0028327D">
      <w:pPr>
        <w:pStyle w:val="EndNoteBibliography"/>
        <w:spacing w:after="0"/>
        <w:ind w:left="720" w:hanging="720"/>
      </w:pPr>
      <w:r w:rsidRPr="0028327D">
        <w:t>3.</w:t>
      </w:r>
      <w:r w:rsidRPr="0028327D">
        <w:tab/>
        <w:t xml:space="preserve">Bisbe E, Molto L, Arroyo R, Muniesa JM, Tejero M. Randomized trial comparing ferric carboxymaltose vs oral ferrous glycine sulphate for postoperative anaemia after total knee arthroplasty. </w:t>
      </w:r>
      <w:r w:rsidRPr="0028327D">
        <w:rPr>
          <w:i/>
        </w:rPr>
        <w:t xml:space="preserve">Br J Anaesth. </w:t>
      </w:r>
      <w:r w:rsidRPr="0028327D">
        <w:t>2014;113(3):402-409.</w:t>
      </w:r>
    </w:p>
    <w:p w14:paraId="08076A68" w14:textId="389C2905" w:rsidR="00457B4B" w:rsidRPr="0028327D" w:rsidRDefault="00457B4B" w:rsidP="0028327D">
      <w:pPr>
        <w:pStyle w:val="EndNoteBibliography"/>
        <w:spacing w:after="0"/>
        <w:ind w:left="720" w:hanging="720"/>
      </w:pPr>
      <w:r w:rsidRPr="0028327D">
        <w:t>4.</w:t>
      </w:r>
      <w:r w:rsidRPr="0028327D">
        <w:tab/>
        <w:t xml:space="preserve">Froessler B, Palm P, Weber I, Hodyl NA, Singh R, Murphy EM. The </w:t>
      </w:r>
      <w:r w:rsidR="00B11128" w:rsidRPr="0028327D">
        <w:t>important role for intravenous iron in perioperative patient blood management in major abdominal surgery: a randomized controlled trial</w:t>
      </w:r>
      <w:r w:rsidRPr="0028327D">
        <w:t xml:space="preserve">. </w:t>
      </w:r>
      <w:r w:rsidRPr="0028327D">
        <w:rPr>
          <w:i/>
        </w:rPr>
        <w:t xml:space="preserve">Ann Surg. </w:t>
      </w:r>
      <w:r w:rsidRPr="0028327D">
        <w:t>2016;264(1):41-46.</w:t>
      </w:r>
    </w:p>
    <w:p w14:paraId="1F89C830" w14:textId="77777777" w:rsidR="00457B4B" w:rsidRPr="0028327D" w:rsidRDefault="00457B4B" w:rsidP="0028327D">
      <w:pPr>
        <w:pStyle w:val="EndNoteBibliography"/>
        <w:spacing w:after="0"/>
        <w:ind w:left="720" w:hanging="720"/>
      </w:pPr>
      <w:r w:rsidRPr="0028327D">
        <w:t>5.</w:t>
      </w:r>
      <w:r w:rsidRPr="0028327D">
        <w:tab/>
        <w:t xml:space="preserve">Keeler BD, Simpson JA, Ng O, Padmanabhan H, Brookes MJ, Acheson AG. Randomized clinical trial of preoperative oral versus intravenous iron in anaemic patients with colorectal cancer. </w:t>
      </w:r>
      <w:r w:rsidRPr="0028327D">
        <w:rPr>
          <w:i/>
        </w:rPr>
        <w:t xml:space="preserve">Br J Surg. </w:t>
      </w:r>
      <w:r w:rsidRPr="0028327D">
        <w:t>2017;104(3):214-221.</w:t>
      </w:r>
    </w:p>
    <w:p w14:paraId="03D199F4" w14:textId="77777777" w:rsidR="00457B4B" w:rsidRPr="0028327D" w:rsidRDefault="00457B4B" w:rsidP="0028327D">
      <w:pPr>
        <w:pStyle w:val="EndNoteBibliography"/>
        <w:spacing w:after="0"/>
        <w:ind w:left="720" w:hanging="720"/>
      </w:pPr>
      <w:r w:rsidRPr="0028327D">
        <w:t>6.</w:t>
      </w:r>
      <w:r w:rsidRPr="0028327D">
        <w:tab/>
        <w:t xml:space="preserve">Khalafallah AA, Yan C, Al-Badri R, et al. Intravenous ferric carboxymaltose versus standard care in the management of postoperative anaemia: a prospective, open-label, randomised controlled trial. </w:t>
      </w:r>
      <w:r w:rsidRPr="0028327D">
        <w:rPr>
          <w:i/>
        </w:rPr>
        <w:t xml:space="preserve">The Lancet Haematology. </w:t>
      </w:r>
      <w:r w:rsidRPr="0028327D">
        <w:t>2016;3(9):e415-425.</w:t>
      </w:r>
    </w:p>
    <w:p w14:paraId="1B0BE82E" w14:textId="60B9092E" w:rsidR="00457B4B" w:rsidRPr="0028327D" w:rsidRDefault="00457B4B" w:rsidP="0028327D">
      <w:pPr>
        <w:pStyle w:val="EndNoteBibliography"/>
        <w:ind w:left="720" w:hanging="720"/>
      </w:pPr>
      <w:r>
        <w:t>7.</w:t>
      </w:r>
      <w:r>
        <w:tab/>
        <w:t xml:space="preserve">Kim YW, Bae JM, Park YK, et al. Effect of </w:t>
      </w:r>
      <w:r w:rsidR="00B11128">
        <w:t>intravenous ferric carboxymaltose on hemoglobin response among patients with acute isovolemic anemia following gastrectomy</w:t>
      </w:r>
      <w:r>
        <w:t xml:space="preserve">: </w:t>
      </w:r>
      <w:r w:rsidR="00B11128">
        <w:t>t</w:t>
      </w:r>
      <w:r>
        <w:t xml:space="preserve">he FAIRY </w:t>
      </w:r>
      <w:r w:rsidR="00B11128">
        <w:t>randomized clinical trial</w:t>
      </w:r>
      <w:r>
        <w:t xml:space="preserve">. </w:t>
      </w:r>
      <w:r w:rsidRPr="7835324F">
        <w:rPr>
          <w:i/>
          <w:iCs/>
        </w:rPr>
        <w:t xml:space="preserve">JAMA. </w:t>
      </w:r>
      <w:r>
        <w:t>2017;317(20):2097-2104.</w:t>
      </w:r>
    </w:p>
    <w:p w14:paraId="04F7055C" w14:textId="7B1B2175" w:rsidR="0F3DBE9E" w:rsidRDefault="0F3DBE9E" w:rsidP="7835324F">
      <w:pPr>
        <w:pStyle w:val="EndNoteBibliography"/>
        <w:ind w:left="720" w:hanging="720"/>
        <w:rPr>
          <w:rFonts w:eastAsia="Times New Roman"/>
          <w:color w:val="212121"/>
          <w:szCs w:val="24"/>
        </w:rPr>
      </w:pPr>
      <w:r w:rsidRPr="7835324F">
        <w:rPr>
          <w:rFonts w:eastAsia="Calibri"/>
          <w:szCs w:val="24"/>
        </w:rPr>
        <w:t>8.</w:t>
      </w:r>
      <w:r>
        <w:tab/>
      </w:r>
      <w:r w:rsidRPr="7835324F">
        <w:rPr>
          <w:rFonts w:eastAsia="Times New Roman"/>
          <w:color w:val="212121"/>
          <w:szCs w:val="24"/>
        </w:rPr>
        <w:t xml:space="preserve">Lee S, </w:t>
      </w:r>
      <w:r w:rsidRPr="7835324F">
        <w:rPr>
          <w:rFonts w:eastAsia="Times New Roman"/>
          <w:szCs w:val="24"/>
        </w:rPr>
        <w:t>Ryu KJ, Lee ES, Lee KH, Lee JJ, Kim T. Comparative efficacy and safety of intravenous ferric carboxymaltose and iron sucrose for the treatment of preoperative anemia in patients with menorrhagia: An open-label, multicenter, randomized study. </w:t>
      </w:r>
      <w:r w:rsidRPr="7835324F">
        <w:rPr>
          <w:rFonts w:eastAsia="Times New Roman"/>
          <w:i/>
          <w:iCs/>
          <w:color w:val="212121"/>
          <w:szCs w:val="24"/>
        </w:rPr>
        <w:t>J Obstet Gynaecol Res</w:t>
      </w:r>
      <w:r w:rsidRPr="7835324F">
        <w:rPr>
          <w:rFonts w:eastAsia="Times New Roman"/>
          <w:color w:val="212121"/>
          <w:szCs w:val="24"/>
        </w:rPr>
        <w:t>. 2019;45(4):858-864. doi:10.1111/jog.13893</w:t>
      </w:r>
    </w:p>
    <w:p w14:paraId="3DA0AC26" w14:textId="79143EC3" w:rsidR="0B178C71" w:rsidRDefault="0B178C71" w:rsidP="7835324F">
      <w:pPr>
        <w:ind w:left="720" w:hanging="720"/>
        <w:rPr>
          <w:rFonts w:ascii="Times New Roman" w:eastAsia="Times New Roman" w:hAnsi="Times New Roman" w:cs="Times New Roman"/>
          <w:noProof/>
          <w:color w:val="212121"/>
          <w:sz w:val="24"/>
          <w:szCs w:val="24"/>
        </w:rPr>
      </w:pPr>
      <w:r w:rsidRPr="7835324F">
        <w:rPr>
          <w:rFonts w:ascii="Times New Roman" w:eastAsia="Times New Roman" w:hAnsi="Times New Roman" w:cs="Times New Roman"/>
          <w:noProof/>
          <w:color w:val="212121"/>
        </w:rPr>
        <w:t>9.</w:t>
      </w:r>
      <w:r>
        <w:tab/>
      </w:r>
      <w:r w:rsidRPr="7835324F">
        <w:rPr>
          <w:rFonts w:ascii="Times New Roman" w:eastAsia="Times New Roman" w:hAnsi="Times New Roman" w:cs="Times New Roman"/>
          <w:noProof/>
          <w:color w:val="212121"/>
          <w:sz w:val="24"/>
          <w:szCs w:val="24"/>
        </w:rPr>
        <w:t>Padmanabhan</w:t>
      </w:r>
      <w:r w:rsidRPr="7835324F">
        <w:rPr>
          <w:rFonts w:ascii="Times New Roman" w:eastAsia="Times New Roman" w:hAnsi="Times New Roman" w:cs="Times New Roman"/>
          <w:noProof/>
          <w:sz w:val="24"/>
          <w:szCs w:val="24"/>
        </w:rPr>
        <w:t xml:space="preserve"> H, Siau K, Nevill AM, et al. Intravenous iron does not effectively correct preoperative anaemia in cardiac surgery: a pilot randomized controlled trial. </w:t>
      </w:r>
      <w:r w:rsidRPr="7835324F">
        <w:rPr>
          <w:rFonts w:ascii="Times New Roman" w:eastAsia="Times New Roman" w:hAnsi="Times New Roman" w:cs="Times New Roman"/>
          <w:i/>
          <w:iCs/>
          <w:noProof/>
          <w:color w:val="212121"/>
          <w:sz w:val="24"/>
          <w:szCs w:val="24"/>
        </w:rPr>
        <w:t>Interact Cardiovasc Thorac Surg</w:t>
      </w:r>
      <w:r w:rsidRPr="7835324F">
        <w:rPr>
          <w:rFonts w:ascii="Times New Roman" w:eastAsia="Times New Roman" w:hAnsi="Times New Roman" w:cs="Times New Roman"/>
          <w:noProof/>
          <w:color w:val="212121"/>
          <w:sz w:val="24"/>
          <w:szCs w:val="24"/>
        </w:rPr>
        <w:t xml:space="preserve">. 2019;28(3):447-454. doi:10.1093/icvts/ivy226 </w:t>
      </w:r>
    </w:p>
    <w:p w14:paraId="35A8A183" w14:textId="18F895F6" w:rsidR="0B178C71" w:rsidRDefault="0B178C71" w:rsidP="7835324F">
      <w:pPr>
        <w:ind w:left="720" w:hanging="720"/>
        <w:rPr>
          <w:rFonts w:ascii="Times New Roman" w:eastAsia="Times New Roman" w:hAnsi="Times New Roman" w:cs="Times New Roman"/>
          <w:noProof/>
          <w:color w:val="212121"/>
          <w:sz w:val="24"/>
          <w:szCs w:val="24"/>
        </w:rPr>
      </w:pPr>
      <w:r w:rsidRPr="7835324F">
        <w:rPr>
          <w:rFonts w:ascii="Times New Roman" w:eastAsia="Times New Roman" w:hAnsi="Times New Roman" w:cs="Times New Roman"/>
          <w:noProof/>
          <w:color w:val="212121"/>
          <w:sz w:val="24"/>
          <w:szCs w:val="24"/>
        </w:rPr>
        <w:lastRenderedPageBreak/>
        <w:t>10.</w:t>
      </w:r>
      <w:r>
        <w:tab/>
      </w:r>
      <w:r w:rsidRPr="7835324F">
        <w:rPr>
          <w:rFonts w:ascii="Times New Roman" w:eastAsia="Times New Roman" w:hAnsi="Times New Roman" w:cs="Times New Roman"/>
          <w:noProof/>
          <w:color w:val="212121"/>
          <w:sz w:val="24"/>
          <w:szCs w:val="24"/>
        </w:rPr>
        <w:t xml:space="preserve">Park HS, Kim TY, Kim HJ, Ro YJ, Jang HY, </w:t>
      </w:r>
      <w:r w:rsidRPr="7835324F">
        <w:rPr>
          <w:rFonts w:ascii="Times New Roman" w:eastAsia="Times New Roman" w:hAnsi="Times New Roman" w:cs="Times New Roman"/>
          <w:noProof/>
          <w:sz w:val="24"/>
          <w:szCs w:val="24"/>
        </w:rPr>
        <w:t>Koh WU. The Effect of Intraoperative Ferric Carboxymaltose in Joint Arthroplasty Patients: A Randomized Trial. </w:t>
      </w:r>
      <w:r w:rsidRPr="7835324F">
        <w:rPr>
          <w:rFonts w:ascii="Times New Roman" w:eastAsia="Times New Roman" w:hAnsi="Times New Roman" w:cs="Times New Roman"/>
          <w:i/>
          <w:iCs/>
          <w:noProof/>
          <w:color w:val="212121"/>
          <w:sz w:val="24"/>
          <w:szCs w:val="24"/>
        </w:rPr>
        <w:t>J Clin Med</w:t>
      </w:r>
      <w:r w:rsidRPr="7835324F">
        <w:rPr>
          <w:rFonts w:ascii="Times New Roman" w:eastAsia="Times New Roman" w:hAnsi="Times New Roman" w:cs="Times New Roman"/>
          <w:noProof/>
          <w:color w:val="212121"/>
          <w:sz w:val="24"/>
          <w:szCs w:val="24"/>
        </w:rPr>
        <w:t xml:space="preserve">. 2019;8(10):1674. Published 2019 Oct 13. doi:10.3390/jcm8101674 </w:t>
      </w:r>
    </w:p>
    <w:p w14:paraId="51F35045" w14:textId="5E298889" w:rsidR="0B178C71" w:rsidRDefault="0B178C71" w:rsidP="7835324F">
      <w:pPr>
        <w:ind w:left="720" w:hanging="720"/>
        <w:rPr>
          <w:rFonts w:ascii="Times New Roman" w:eastAsia="Times New Roman" w:hAnsi="Times New Roman" w:cs="Times New Roman"/>
          <w:noProof/>
          <w:color w:val="212121"/>
          <w:sz w:val="24"/>
          <w:szCs w:val="24"/>
        </w:rPr>
      </w:pPr>
      <w:r w:rsidRPr="7835324F">
        <w:rPr>
          <w:rFonts w:ascii="Times New Roman" w:eastAsia="Times New Roman" w:hAnsi="Times New Roman" w:cs="Times New Roman"/>
          <w:noProof/>
          <w:color w:val="212121"/>
          <w:sz w:val="24"/>
          <w:szCs w:val="24"/>
        </w:rPr>
        <w:t>11.</w:t>
      </w:r>
      <w:r>
        <w:tab/>
      </w:r>
      <w:r w:rsidRPr="7835324F">
        <w:rPr>
          <w:rFonts w:ascii="Times New Roman" w:eastAsia="Times New Roman" w:hAnsi="Times New Roman" w:cs="Times New Roman"/>
          <w:noProof/>
          <w:color w:val="212121"/>
          <w:sz w:val="24"/>
          <w:szCs w:val="24"/>
        </w:rPr>
        <w:t xml:space="preserve">Richards T, </w:t>
      </w:r>
      <w:r w:rsidRPr="7835324F">
        <w:rPr>
          <w:rFonts w:ascii="Times New Roman" w:eastAsia="Times New Roman" w:hAnsi="Times New Roman" w:cs="Times New Roman"/>
          <w:noProof/>
          <w:sz w:val="24"/>
          <w:szCs w:val="24"/>
        </w:rPr>
        <w:t>Baikady RR, Clevenger B, et al. Preoperative intravenous iron to treat anaemia before major abdominal surgery (PREVENTT): a randomised, double-blind, controlled trial [published online ahead of print, 2020 Sep 4]. </w:t>
      </w:r>
      <w:r w:rsidRPr="7835324F">
        <w:rPr>
          <w:rFonts w:ascii="Times New Roman" w:eastAsia="Times New Roman" w:hAnsi="Times New Roman" w:cs="Times New Roman"/>
          <w:i/>
          <w:iCs/>
          <w:noProof/>
          <w:color w:val="212121"/>
          <w:sz w:val="24"/>
          <w:szCs w:val="24"/>
        </w:rPr>
        <w:t>Lancet</w:t>
      </w:r>
      <w:r w:rsidRPr="7835324F">
        <w:rPr>
          <w:rFonts w:ascii="Times New Roman" w:eastAsia="Times New Roman" w:hAnsi="Times New Roman" w:cs="Times New Roman"/>
          <w:noProof/>
          <w:color w:val="212121"/>
          <w:sz w:val="24"/>
          <w:szCs w:val="24"/>
        </w:rPr>
        <w:t>. 2020;396(10259):1353-1361. doi:10.1016/S0140-6736(20)31539-7</w:t>
      </w:r>
    </w:p>
    <w:p w14:paraId="4B28BB77" w14:textId="798CE9C4" w:rsidR="7835324F" w:rsidRDefault="7835324F" w:rsidP="7835324F">
      <w:pPr>
        <w:pStyle w:val="EndNoteBibliography"/>
        <w:spacing w:after="0"/>
        <w:rPr>
          <w:rFonts w:eastAsia="Calibri"/>
          <w:szCs w:val="24"/>
        </w:rPr>
      </w:pPr>
    </w:p>
    <w:sectPr w:rsidR="7835324F" w:rsidSect="00D45F6C">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25A18" w14:textId="77777777" w:rsidR="00B53C5F" w:rsidRDefault="00EC7C26">
      <w:pPr>
        <w:spacing w:after="0" w:line="240" w:lineRule="auto"/>
      </w:pPr>
      <w:r>
        <w:separator/>
      </w:r>
    </w:p>
  </w:endnote>
  <w:endnote w:type="continuationSeparator" w:id="0">
    <w:p w14:paraId="35179A3F" w14:textId="77777777" w:rsidR="00B53C5F" w:rsidRDefault="00EC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104899"/>
      <w:docPartObj>
        <w:docPartGallery w:val="Page Numbers (Bottom of Page)"/>
        <w:docPartUnique/>
      </w:docPartObj>
    </w:sdtPr>
    <w:sdtEndPr>
      <w:rPr>
        <w:rFonts w:ascii="Arial" w:hAnsi="Arial" w:cs="Arial"/>
        <w:noProof/>
        <w:sz w:val="18"/>
      </w:rPr>
    </w:sdtEndPr>
    <w:sdtContent>
      <w:p w14:paraId="01248027" w14:textId="0EF7D66E" w:rsidR="00031310" w:rsidRPr="00ED250D" w:rsidRDefault="00457B4B" w:rsidP="00ED250D">
        <w:pPr>
          <w:pStyle w:val="Footer"/>
          <w:jc w:val="center"/>
          <w:rPr>
            <w:rFonts w:ascii="Arial" w:hAnsi="Arial" w:cs="Arial"/>
            <w:sz w:val="18"/>
          </w:rPr>
        </w:pPr>
        <w:r w:rsidRPr="00506011">
          <w:rPr>
            <w:rFonts w:ascii="Arial" w:hAnsi="Arial" w:cs="Arial"/>
            <w:sz w:val="18"/>
          </w:rPr>
          <w:fldChar w:fldCharType="begin"/>
        </w:r>
        <w:r w:rsidRPr="00506011">
          <w:rPr>
            <w:rFonts w:ascii="Arial" w:hAnsi="Arial" w:cs="Arial"/>
            <w:sz w:val="18"/>
          </w:rPr>
          <w:instrText xml:space="preserve"> PAGE   \* MERGEFORMAT </w:instrText>
        </w:r>
        <w:r w:rsidRPr="00506011">
          <w:rPr>
            <w:rFonts w:ascii="Arial" w:hAnsi="Arial" w:cs="Arial"/>
            <w:sz w:val="18"/>
          </w:rPr>
          <w:fldChar w:fldCharType="separate"/>
        </w:r>
        <w:r w:rsidR="00495E42">
          <w:rPr>
            <w:rFonts w:ascii="Arial" w:hAnsi="Arial" w:cs="Arial"/>
            <w:noProof/>
            <w:sz w:val="18"/>
          </w:rPr>
          <w:t>1</w:t>
        </w:r>
        <w:r w:rsidRPr="00506011">
          <w:rPr>
            <w:rFonts w:ascii="Arial" w:hAnsi="Arial" w:cs="Arial"/>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39B6B" w14:textId="77777777" w:rsidR="00B53C5F" w:rsidRDefault="00EC7C26">
      <w:pPr>
        <w:spacing w:after="0" w:line="240" w:lineRule="auto"/>
      </w:pPr>
      <w:r>
        <w:separator/>
      </w:r>
    </w:p>
  </w:footnote>
  <w:footnote w:type="continuationSeparator" w:id="0">
    <w:p w14:paraId="202F5D98" w14:textId="77777777" w:rsidR="00B53C5F" w:rsidRDefault="00EC7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9CC4" w14:textId="0A17AD8C" w:rsidR="00031310" w:rsidRDefault="00495E42" w:rsidP="00252096">
    <w:pPr>
      <w:pStyle w:val="Header"/>
      <w:tabs>
        <w:tab w:val="clear" w:pos="4680"/>
        <w:tab w:val="clear" w:pos="9360"/>
        <w:tab w:val="left" w:pos="198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D69"/>
    <w:multiLevelType w:val="hybridMultilevel"/>
    <w:tmpl w:val="8370C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B364BE"/>
    <w:multiLevelType w:val="hybridMultilevel"/>
    <w:tmpl w:val="9768D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762A8A"/>
    <w:multiLevelType w:val="hybridMultilevel"/>
    <w:tmpl w:val="553AE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B0719E"/>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1627E2"/>
    <w:multiLevelType w:val="hybridMultilevel"/>
    <w:tmpl w:val="BF360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AB5B74"/>
    <w:multiLevelType w:val="hybridMultilevel"/>
    <w:tmpl w:val="029ED0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724EE5"/>
    <w:multiLevelType w:val="hybridMultilevel"/>
    <w:tmpl w:val="F6A6E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84CB4"/>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E61DCE"/>
    <w:multiLevelType w:val="hybridMultilevel"/>
    <w:tmpl w:val="ADFC2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5422E4"/>
    <w:multiLevelType w:val="hybridMultilevel"/>
    <w:tmpl w:val="54C6A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3558CA"/>
    <w:multiLevelType w:val="hybridMultilevel"/>
    <w:tmpl w:val="BF360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431B0D"/>
    <w:multiLevelType w:val="hybridMultilevel"/>
    <w:tmpl w:val="F6A6E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5A4E8F"/>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DB6ECD"/>
    <w:multiLevelType w:val="hybridMultilevel"/>
    <w:tmpl w:val="8370C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D3977"/>
    <w:multiLevelType w:val="hybridMultilevel"/>
    <w:tmpl w:val="553AE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CB5492"/>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E35593"/>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C03643"/>
    <w:multiLevelType w:val="hybridMultilevel"/>
    <w:tmpl w:val="F4306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6C96D6B"/>
    <w:multiLevelType w:val="hybridMultilevel"/>
    <w:tmpl w:val="8370C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807AC8"/>
    <w:multiLevelType w:val="hybridMultilevel"/>
    <w:tmpl w:val="C93E01B2"/>
    <w:lvl w:ilvl="0" w:tplc="D0947648">
      <w:start w:val="1"/>
      <w:numFmt w:val="bullet"/>
      <w:lvlText w:val=""/>
      <w:lvlJc w:val="left"/>
      <w:pPr>
        <w:tabs>
          <w:tab w:val="num" w:pos="1800"/>
        </w:tabs>
        <w:ind w:left="1800" w:hanging="360"/>
      </w:pPr>
      <w:rPr>
        <w:rFonts w:ascii="Symbol" w:hAnsi="Symbol" w:cs="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0" w15:restartNumberingAfterBreak="0">
    <w:nsid w:val="3AA502CC"/>
    <w:multiLevelType w:val="hybridMultilevel"/>
    <w:tmpl w:val="8370C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743B37"/>
    <w:multiLevelType w:val="hybridMultilevel"/>
    <w:tmpl w:val="D49AC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29601C"/>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4904BE"/>
    <w:multiLevelType w:val="hybridMultilevel"/>
    <w:tmpl w:val="3522B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C7C6A"/>
    <w:multiLevelType w:val="hybridMultilevel"/>
    <w:tmpl w:val="9768D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58B1FFA"/>
    <w:multiLevelType w:val="hybridMultilevel"/>
    <w:tmpl w:val="B262E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59439D"/>
    <w:multiLevelType w:val="hybridMultilevel"/>
    <w:tmpl w:val="E508E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DD2D86"/>
    <w:multiLevelType w:val="hybridMultilevel"/>
    <w:tmpl w:val="5F68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B44EE2"/>
    <w:multiLevelType w:val="hybridMultilevel"/>
    <w:tmpl w:val="DAC6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513761"/>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060EA4"/>
    <w:multiLevelType w:val="hybridMultilevel"/>
    <w:tmpl w:val="C1881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7891"/>
    <w:multiLevelType w:val="hybridMultilevel"/>
    <w:tmpl w:val="8370C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64425C5"/>
    <w:multiLevelType w:val="hybridMultilevel"/>
    <w:tmpl w:val="8370C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953891"/>
    <w:multiLevelType w:val="hybridMultilevel"/>
    <w:tmpl w:val="B262E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F22BBA"/>
    <w:multiLevelType w:val="hybridMultilevel"/>
    <w:tmpl w:val="B262E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A154A3"/>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DAE2310"/>
    <w:multiLevelType w:val="hybridMultilevel"/>
    <w:tmpl w:val="C0AC2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652C0"/>
    <w:multiLevelType w:val="hybridMultilevel"/>
    <w:tmpl w:val="A1D88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83C019B"/>
    <w:multiLevelType w:val="hybridMultilevel"/>
    <w:tmpl w:val="A1D88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DF7E00"/>
    <w:multiLevelType w:val="hybridMultilevel"/>
    <w:tmpl w:val="54F242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94D06CE"/>
    <w:multiLevelType w:val="hybridMultilevel"/>
    <w:tmpl w:val="82706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4F64"/>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185CA6"/>
    <w:multiLevelType w:val="hybridMultilevel"/>
    <w:tmpl w:val="B262EF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F8B7475"/>
    <w:multiLevelType w:val="hybridMultilevel"/>
    <w:tmpl w:val="ADFC2F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3B4A5E"/>
    <w:multiLevelType w:val="hybridMultilevel"/>
    <w:tmpl w:val="78E4691C"/>
    <w:lvl w:ilvl="0" w:tplc="CB007DD8">
      <w:start w:val="1"/>
      <w:numFmt w:val="decimal"/>
      <w:lvlText w:val="%1."/>
      <w:lvlJc w:val="left"/>
      <w:pPr>
        <w:ind w:left="720" w:hanging="360"/>
      </w:pPr>
    </w:lvl>
    <w:lvl w:ilvl="1" w:tplc="3318B0F0">
      <w:start w:val="1"/>
      <w:numFmt w:val="lowerLetter"/>
      <w:lvlText w:val="%2."/>
      <w:lvlJc w:val="left"/>
      <w:pPr>
        <w:ind w:left="1440" w:hanging="360"/>
      </w:pPr>
    </w:lvl>
    <w:lvl w:ilvl="2" w:tplc="584CC1D0">
      <w:start w:val="1"/>
      <w:numFmt w:val="lowerRoman"/>
      <w:lvlText w:val="%3."/>
      <w:lvlJc w:val="right"/>
      <w:pPr>
        <w:ind w:left="2160" w:hanging="180"/>
      </w:pPr>
    </w:lvl>
    <w:lvl w:ilvl="3" w:tplc="BEF44698">
      <w:start w:val="1"/>
      <w:numFmt w:val="decimal"/>
      <w:lvlText w:val="%4."/>
      <w:lvlJc w:val="left"/>
      <w:pPr>
        <w:ind w:left="2880" w:hanging="360"/>
      </w:pPr>
    </w:lvl>
    <w:lvl w:ilvl="4" w:tplc="C4046E76">
      <w:start w:val="1"/>
      <w:numFmt w:val="lowerLetter"/>
      <w:lvlText w:val="%5."/>
      <w:lvlJc w:val="left"/>
      <w:pPr>
        <w:ind w:left="3600" w:hanging="360"/>
      </w:pPr>
    </w:lvl>
    <w:lvl w:ilvl="5" w:tplc="3990BFDA">
      <w:start w:val="1"/>
      <w:numFmt w:val="lowerRoman"/>
      <w:lvlText w:val="%6."/>
      <w:lvlJc w:val="right"/>
      <w:pPr>
        <w:ind w:left="4320" w:hanging="180"/>
      </w:pPr>
    </w:lvl>
    <w:lvl w:ilvl="6" w:tplc="82962A0E">
      <w:start w:val="1"/>
      <w:numFmt w:val="decimal"/>
      <w:lvlText w:val="%7."/>
      <w:lvlJc w:val="left"/>
      <w:pPr>
        <w:ind w:left="5040" w:hanging="360"/>
      </w:pPr>
    </w:lvl>
    <w:lvl w:ilvl="7" w:tplc="BD42484A">
      <w:start w:val="1"/>
      <w:numFmt w:val="lowerLetter"/>
      <w:lvlText w:val="%8."/>
      <w:lvlJc w:val="left"/>
      <w:pPr>
        <w:ind w:left="5760" w:hanging="360"/>
      </w:pPr>
    </w:lvl>
    <w:lvl w:ilvl="8" w:tplc="B08EDD0A">
      <w:start w:val="1"/>
      <w:numFmt w:val="lowerRoman"/>
      <w:lvlText w:val="%9."/>
      <w:lvlJc w:val="right"/>
      <w:pPr>
        <w:ind w:left="6480" w:hanging="180"/>
      </w:pPr>
    </w:lvl>
  </w:abstractNum>
  <w:abstractNum w:abstractNumId="45" w15:restartNumberingAfterBreak="0">
    <w:nsid w:val="74FE7A89"/>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6D93330"/>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91E5850"/>
    <w:multiLevelType w:val="hybridMultilevel"/>
    <w:tmpl w:val="DDE4F7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E263B3E"/>
    <w:multiLevelType w:val="hybridMultilevel"/>
    <w:tmpl w:val="0E540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E8F013E"/>
    <w:multiLevelType w:val="hybridMultilevel"/>
    <w:tmpl w:val="84C63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4"/>
  </w:num>
  <w:num w:numId="2">
    <w:abstractNumId w:val="41"/>
  </w:num>
  <w:num w:numId="3">
    <w:abstractNumId w:val="47"/>
  </w:num>
  <w:num w:numId="4">
    <w:abstractNumId w:val="8"/>
  </w:num>
  <w:num w:numId="5">
    <w:abstractNumId w:val="18"/>
  </w:num>
  <w:num w:numId="6">
    <w:abstractNumId w:val="32"/>
  </w:num>
  <w:num w:numId="7">
    <w:abstractNumId w:val="0"/>
  </w:num>
  <w:num w:numId="8">
    <w:abstractNumId w:val="31"/>
  </w:num>
  <w:num w:numId="9">
    <w:abstractNumId w:val="5"/>
  </w:num>
  <w:num w:numId="10">
    <w:abstractNumId w:val="26"/>
  </w:num>
  <w:num w:numId="11">
    <w:abstractNumId w:val="10"/>
  </w:num>
  <w:num w:numId="12">
    <w:abstractNumId w:val="4"/>
  </w:num>
  <w:num w:numId="13">
    <w:abstractNumId w:val="13"/>
  </w:num>
  <w:num w:numId="14">
    <w:abstractNumId w:val="20"/>
  </w:num>
  <w:num w:numId="15">
    <w:abstractNumId w:val="42"/>
  </w:num>
  <w:num w:numId="16">
    <w:abstractNumId w:val="33"/>
  </w:num>
  <w:num w:numId="17">
    <w:abstractNumId w:val="17"/>
  </w:num>
  <w:num w:numId="18">
    <w:abstractNumId w:val="49"/>
  </w:num>
  <w:num w:numId="19">
    <w:abstractNumId w:val="9"/>
  </w:num>
  <w:num w:numId="20">
    <w:abstractNumId w:val="39"/>
  </w:num>
  <w:num w:numId="21">
    <w:abstractNumId w:val="27"/>
  </w:num>
  <w:num w:numId="22">
    <w:abstractNumId w:val="2"/>
  </w:num>
  <w:num w:numId="23">
    <w:abstractNumId w:val="14"/>
  </w:num>
  <w:num w:numId="24">
    <w:abstractNumId w:val="24"/>
  </w:num>
  <w:num w:numId="25">
    <w:abstractNumId w:val="1"/>
  </w:num>
  <w:num w:numId="26">
    <w:abstractNumId w:val="25"/>
  </w:num>
  <w:num w:numId="27">
    <w:abstractNumId w:val="34"/>
  </w:num>
  <w:num w:numId="28">
    <w:abstractNumId w:val="38"/>
  </w:num>
  <w:num w:numId="29">
    <w:abstractNumId w:val="37"/>
  </w:num>
  <w:num w:numId="30">
    <w:abstractNumId w:val="48"/>
  </w:num>
  <w:num w:numId="31">
    <w:abstractNumId w:val="21"/>
  </w:num>
  <w:num w:numId="32">
    <w:abstractNumId w:val="30"/>
  </w:num>
  <w:num w:numId="33">
    <w:abstractNumId w:val="36"/>
  </w:num>
  <w:num w:numId="34">
    <w:abstractNumId w:val="28"/>
  </w:num>
  <w:num w:numId="35">
    <w:abstractNumId w:val="23"/>
  </w:num>
  <w:num w:numId="36">
    <w:abstractNumId w:val="11"/>
  </w:num>
  <w:num w:numId="37">
    <w:abstractNumId w:val="6"/>
  </w:num>
  <w:num w:numId="38">
    <w:abstractNumId w:val="40"/>
  </w:num>
  <w:num w:numId="39">
    <w:abstractNumId w:val="43"/>
  </w:num>
  <w:num w:numId="40">
    <w:abstractNumId w:val="12"/>
  </w:num>
  <w:num w:numId="41">
    <w:abstractNumId w:val="3"/>
  </w:num>
  <w:num w:numId="42">
    <w:abstractNumId w:val="29"/>
  </w:num>
  <w:num w:numId="43">
    <w:abstractNumId w:val="46"/>
  </w:num>
  <w:num w:numId="44">
    <w:abstractNumId w:val="16"/>
  </w:num>
  <w:num w:numId="45">
    <w:abstractNumId w:val="15"/>
  </w:num>
  <w:num w:numId="46">
    <w:abstractNumId w:val="45"/>
  </w:num>
  <w:num w:numId="47">
    <w:abstractNumId w:val="7"/>
  </w:num>
  <w:num w:numId="48">
    <w:abstractNumId w:val="35"/>
  </w:num>
  <w:num w:numId="49">
    <w:abstractNumId w:val="22"/>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57B4B"/>
    <w:rsid w:val="001A7CFD"/>
    <w:rsid w:val="00457B4B"/>
    <w:rsid w:val="00495E42"/>
    <w:rsid w:val="004C0187"/>
    <w:rsid w:val="00666C63"/>
    <w:rsid w:val="007A1C7A"/>
    <w:rsid w:val="00970586"/>
    <w:rsid w:val="00AD497C"/>
    <w:rsid w:val="00B11128"/>
    <w:rsid w:val="00B53C5F"/>
    <w:rsid w:val="00B579E1"/>
    <w:rsid w:val="00EC7C26"/>
    <w:rsid w:val="00F72273"/>
    <w:rsid w:val="00FB7784"/>
    <w:rsid w:val="018C8F3F"/>
    <w:rsid w:val="01C2EC39"/>
    <w:rsid w:val="01F64E29"/>
    <w:rsid w:val="031EE0B7"/>
    <w:rsid w:val="04B6671D"/>
    <w:rsid w:val="056664F7"/>
    <w:rsid w:val="05EE4FEE"/>
    <w:rsid w:val="08E09088"/>
    <w:rsid w:val="08E64F62"/>
    <w:rsid w:val="09AE3556"/>
    <w:rsid w:val="09CD24DD"/>
    <w:rsid w:val="0AC1C111"/>
    <w:rsid w:val="0AD43570"/>
    <w:rsid w:val="0B178C71"/>
    <w:rsid w:val="0B1FFAB7"/>
    <w:rsid w:val="0B68F53E"/>
    <w:rsid w:val="0C18314A"/>
    <w:rsid w:val="0D8D2EDE"/>
    <w:rsid w:val="0E29DC32"/>
    <w:rsid w:val="0E51FAF7"/>
    <w:rsid w:val="0EA09600"/>
    <w:rsid w:val="0EE75FBB"/>
    <w:rsid w:val="0F3DBE9E"/>
    <w:rsid w:val="0FC56786"/>
    <w:rsid w:val="0FE302D5"/>
    <w:rsid w:val="103C6661"/>
    <w:rsid w:val="10E41F1B"/>
    <w:rsid w:val="134AAD9B"/>
    <w:rsid w:val="1382D4C9"/>
    <w:rsid w:val="146F07C5"/>
    <w:rsid w:val="15103C82"/>
    <w:rsid w:val="182E4FE9"/>
    <w:rsid w:val="18682887"/>
    <w:rsid w:val="199C597A"/>
    <w:rsid w:val="1BFAA117"/>
    <w:rsid w:val="1C2E16E2"/>
    <w:rsid w:val="1CA2FA96"/>
    <w:rsid w:val="1CDCF4D3"/>
    <w:rsid w:val="1D19DC08"/>
    <w:rsid w:val="1D2A0B83"/>
    <w:rsid w:val="1D91C43C"/>
    <w:rsid w:val="1F9A182F"/>
    <w:rsid w:val="2292AEF6"/>
    <w:rsid w:val="233E10C1"/>
    <w:rsid w:val="24794415"/>
    <w:rsid w:val="2630649A"/>
    <w:rsid w:val="26D0E7D3"/>
    <w:rsid w:val="27A52D0C"/>
    <w:rsid w:val="280FC7D8"/>
    <w:rsid w:val="29F9D118"/>
    <w:rsid w:val="2C416CB1"/>
    <w:rsid w:val="2C6FD768"/>
    <w:rsid w:val="2D1526A1"/>
    <w:rsid w:val="2D80F09D"/>
    <w:rsid w:val="2E47D080"/>
    <w:rsid w:val="2EF056A3"/>
    <w:rsid w:val="2FAB762A"/>
    <w:rsid w:val="347DCB8E"/>
    <w:rsid w:val="35C413BD"/>
    <w:rsid w:val="35CC4466"/>
    <w:rsid w:val="3673C843"/>
    <w:rsid w:val="3674E617"/>
    <w:rsid w:val="36A7EC58"/>
    <w:rsid w:val="3797E6A4"/>
    <w:rsid w:val="3911E3CA"/>
    <w:rsid w:val="3955E254"/>
    <w:rsid w:val="3BB27C4A"/>
    <w:rsid w:val="3BC3565C"/>
    <w:rsid w:val="3BDD1158"/>
    <w:rsid w:val="3C2ECE16"/>
    <w:rsid w:val="3E562A84"/>
    <w:rsid w:val="41682C41"/>
    <w:rsid w:val="4183B743"/>
    <w:rsid w:val="43050B91"/>
    <w:rsid w:val="4498FA9D"/>
    <w:rsid w:val="456120D4"/>
    <w:rsid w:val="45A7D064"/>
    <w:rsid w:val="465B8C91"/>
    <w:rsid w:val="46C35B5B"/>
    <w:rsid w:val="49755B46"/>
    <w:rsid w:val="4AEF13C4"/>
    <w:rsid w:val="4B3BA28A"/>
    <w:rsid w:val="4BB0AE36"/>
    <w:rsid w:val="4CA041A2"/>
    <w:rsid w:val="4D13B21F"/>
    <w:rsid w:val="4FACDA2C"/>
    <w:rsid w:val="4FC732E0"/>
    <w:rsid w:val="50127D94"/>
    <w:rsid w:val="5079AE79"/>
    <w:rsid w:val="51C5225E"/>
    <w:rsid w:val="52422422"/>
    <w:rsid w:val="5262E154"/>
    <w:rsid w:val="5513FB4E"/>
    <w:rsid w:val="558F3E6E"/>
    <w:rsid w:val="55FA5445"/>
    <w:rsid w:val="55FE0950"/>
    <w:rsid w:val="56F1BE38"/>
    <w:rsid w:val="56F57A3C"/>
    <w:rsid w:val="57041EC7"/>
    <w:rsid w:val="58C9A62D"/>
    <w:rsid w:val="5A9F8648"/>
    <w:rsid w:val="6040207F"/>
    <w:rsid w:val="615AFC01"/>
    <w:rsid w:val="61D859DA"/>
    <w:rsid w:val="631F6597"/>
    <w:rsid w:val="63A6C756"/>
    <w:rsid w:val="658FE39E"/>
    <w:rsid w:val="65E9E2C1"/>
    <w:rsid w:val="662284C1"/>
    <w:rsid w:val="663504CF"/>
    <w:rsid w:val="66570659"/>
    <w:rsid w:val="665D1116"/>
    <w:rsid w:val="673DD064"/>
    <w:rsid w:val="6766DE0B"/>
    <w:rsid w:val="68756329"/>
    <w:rsid w:val="68F04ADC"/>
    <w:rsid w:val="69CB407C"/>
    <w:rsid w:val="6B6779BF"/>
    <w:rsid w:val="6BDF54C1"/>
    <w:rsid w:val="6BF302BC"/>
    <w:rsid w:val="6CF2E31F"/>
    <w:rsid w:val="709B64BF"/>
    <w:rsid w:val="71C92624"/>
    <w:rsid w:val="7212EB0A"/>
    <w:rsid w:val="733B060E"/>
    <w:rsid w:val="74346E3C"/>
    <w:rsid w:val="763CCBD5"/>
    <w:rsid w:val="76F3E3FC"/>
    <w:rsid w:val="776C0EFE"/>
    <w:rsid w:val="7835324F"/>
    <w:rsid w:val="7880723F"/>
    <w:rsid w:val="7972D7E1"/>
    <w:rsid w:val="7A403C68"/>
    <w:rsid w:val="7DB15E2A"/>
    <w:rsid w:val="7ED7A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F49C"/>
  <w15:chartTrackingRefBased/>
  <w15:docId w15:val="{6006CFAC-DE06-418C-9176-EDA67E38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ambria-Normal"/>
    <w:qFormat/>
    <w:rsid w:val="00457B4B"/>
    <w:pPr>
      <w:spacing w:after="160" w:line="259" w:lineRule="auto"/>
    </w:pPr>
  </w:style>
  <w:style w:type="paragraph" w:styleId="Heading1">
    <w:name w:val="heading 1"/>
    <w:basedOn w:val="Normal"/>
    <w:next w:val="Normal"/>
    <w:link w:val="Heading1Char"/>
    <w:qFormat/>
    <w:rsid w:val="00457B4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57B4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457B4B"/>
    <w:pPr>
      <w:keepNext/>
      <w:keepLines/>
      <w:spacing w:before="240" w:after="0" w:line="480" w:lineRule="auto"/>
      <w:outlineLvl w:val="2"/>
    </w:pPr>
    <w:rPr>
      <w:rFonts w:ascii="Times New Roman" w:eastAsiaTheme="majorEastAsia" w:hAnsi="Times New Roman" w:cs="Times New Roman"/>
      <w:color w:val="243F60" w:themeColor="accent1" w:themeShade="7F"/>
      <w:sz w:val="24"/>
      <w:szCs w:val="24"/>
    </w:rPr>
  </w:style>
  <w:style w:type="paragraph" w:styleId="Heading4">
    <w:name w:val="heading 4"/>
    <w:basedOn w:val="Normal"/>
    <w:next w:val="Normal"/>
    <w:link w:val="Heading4Char"/>
    <w:uiPriority w:val="9"/>
    <w:unhideWhenUsed/>
    <w:qFormat/>
    <w:rsid w:val="00457B4B"/>
    <w:pPr>
      <w:keepNext/>
      <w:keepLines/>
      <w:spacing w:before="240" w:after="0" w:line="480" w:lineRule="auto"/>
      <w:outlineLvl w:val="3"/>
    </w:pPr>
    <w:rPr>
      <w:rFonts w:ascii="Times New Roman" w:eastAsiaTheme="majorEastAsia" w:hAnsi="Times New Roman" w:cs="Times New Roman"/>
      <w:i/>
      <w:iCs/>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qFormat/>
    <w:rsid w:val="00457B4B"/>
    <w:pPr>
      <w:spacing w:after="0" w:line="240" w:lineRule="auto"/>
      <w:contextualSpacing/>
    </w:pPr>
    <w:rPr>
      <w:rFonts w:ascii="Arial" w:hAnsi="Arial"/>
      <w:sz w:val="24"/>
      <w:szCs w:val="20"/>
    </w:rPr>
  </w:style>
  <w:style w:type="character" w:customStyle="1" w:styleId="CommentTextChar">
    <w:name w:val="Comment Text Char"/>
    <w:basedOn w:val="DefaultParagraphFont"/>
    <w:link w:val="CommentText"/>
    <w:uiPriority w:val="99"/>
    <w:rsid w:val="00457B4B"/>
    <w:rPr>
      <w:rFonts w:ascii="Arial" w:hAnsi="Arial"/>
      <w:sz w:val="24"/>
      <w:szCs w:val="20"/>
    </w:rPr>
  </w:style>
  <w:style w:type="character" w:customStyle="1" w:styleId="Heading1Char">
    <w:name w:val="Heading 1 Char"/>
    <w:basedOn w:val="DefaultParagraphFont"/>
    <w:link w:val="Heading1"/>
    <w:uiPriority w:val="9"/>
    <w:rsid w:val="00457B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57B4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57B4B"/>
    <w:rPr>
      <w:rFonts w:ascii="Times New Roman" w:eastAsiaTheme="majorEastAsia" w:hAnsi="Times New Roman" w:cs="Times New Roman"/>
      <w:color w:val="243F60" w:themeColor="accent1" w:themeShade="7F"/>
      <w:sz w:val="24"/>
      <w:szCs w:val="24"/>
    </w:rPr>
  </w:style>
  <w:style w:type="character" w:customStyle="1" w:styleId="Heading4Char">
    <w:name w:val="Heading 4 Char"/>
    <w:basedOn w:val="DefaultParagraphFont"/>
    <w:link w:val="Heading4"/>
    <w:uiPriority w:val="9"/>
    <w:rsid w:val="00457B4B"/>
    <w:rPr>
      <w:rFonts w:ascii="Times New Roman" w:eastAsiaTheme="majorEastAsia" w:hAnsi="Times New Roman" w:cs="Times New Roman"/>
      <w:i/>
      <w:iCs/>
      <w:color w:val="365F91" w:themeColor="accent1" w:themeShade="BF"/>
      <w:sz w:val="24"/>
      <w:szCs w:val="24"/>
    </w:rPr>
  </w:style>
  <w:style w:type="paragraph" w:styleId="ListParagraph">
    <w:name w:val="List Paragraph"/>
    <w:basedOn w:val="Normal"/>
    <w:uiPriority w:val="34"/>
    <w:qFormat/>
    <w:rsid w:val="00457B4B"/>
    <w:pPr>
      <w:ind w:left="720"/>
      <w:contextualSpacing/>
    </w:pPr>
  </w:style>
  <w:style w:type="paragraph" w:customStyle="1" w:styleId="EndNoteBibliographyTitle">
    <w:name w:val="EndNote Bibliography Title"/>
    <w:basedOn w:val="Normal"/>
    <w:link w:val="EndNoteBibliographyTitleChar"/>
    <w:rsid w:val="00457B4B"/>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457B4B"/>
    <w:rPr>
      <w:rFonts w:ascii="Times New Roman" w:hAnsi="Times New Roman" w:cs="Times New Roman"/>
      <w:noProof/>
      <w:sz w:val="24"/>
    </w:rPr>
  </w:style>
  <w:style w:type="paragraph" w:customStyle="1" w:styleId="EndNoteBibliography">
    <w:name w:val="EndNote Bibliography"/>
    <w:basedOn w:val="Normal"/>
    <w:link w:val="EndNoteBibliographyChar"/>
    <w:rsid w:val="00457B4B"/>
    <w:pPr>
      <w:spacing w:line="36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457B4B"/>
    <w:rPr>
      <w:rFonts w:ascii="Times New Roman" w:hAnsi="Times New Roman" w:cs="Times New Roman"/>
      <w:noProof/>
      <w:sz w:val="24"/>
    </w:rPr>
  </w:style>
  <w:style w:type="table" w:styleId="TableGrid">
    <w:name w:val="Table Grid"/>
    <w:basedOn w:val="TableNormal"/>
    <w:uiPriority w:val="39"/>
    <w:rsid w:val="00457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57B4B"/>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57B4B"/>
    <w:rPr>
      <w:color w:val="0000FF" w:themeColor="hyperlink"/>
      <w:u w:val="single"/>
    </w:rPr>
  </w:style>
  <w:style w:type="paragraph" w:styleId="Header">
    <w:name w:val="header"/>
    <w:basedOn w:val="Normal"/>
    <w:link w:val="HeaderChar"/>
    <w:uiPriority w:val="99"/>
    <w:unhideWhenUsed/>
    <w:rsid w:val="00457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B4B"/>
  </w:style>
  <w:style w:type="paragraph" w:styleId="Footer">
    <w:name w:val="footer"/>
    <w:basedOn w:val="Normal"/>
    <w:link w:val="FooterChar"/>
    <w:uiPriority w:val="99"/>
    <w:unhideWhenUsed/>
    <w:rsid w:val="00457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B4B"/>
  </w:style>
  <w:style w:type="paragraph" w:styleId="BalloonText">
    <w:name w:val="Balloon Text"/>
    <w:basedOn w:val="Normal"/>
    <w:link w:val="BalloonTextChar"/>
    <w:uiPriority w:val="99"/>
    <w:semiHidden/>
    <w:unhideWhenUsed/>
    <w:rsid w:val="00457B4B"/>
    <w:pPr>
      <w:spacing w:after="0" w:line="240" w:lineRule="auto"/>
      <w:contextualSpacing/>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B4B"/>
    <w:rPr>
      <w:rFonts w:ascii="Segoe UI" w:hAnsi="Segoe UI" w:cs="Segoe UI"/>
      <w:sz w:val="18"/>
      <w:szCs w:val="18"/>
    </w:rPr>
  </w:style>
  <w:style w:type="table" w:customStyle="1" w:styleId="TableGrid1">
    <w:name w:val="Table Grid1"/>
    <w:basedOn w:val="TableNormal"/>
    <w:next w:val="TableGrid"/>
    <w:uiPriority w:val="39"/>
    <w:rsid w:val="00457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7B4B"/>
    <w:rPr>
      <w:sz w:val="16"/>
      <w:szCs w:val="16"/>
    </w:rPr>
  </w:style>
  <w:style w:type="paragraph" w:styleId="CommentSubject">
    <w:name w:val="annotation subject"/>
    <w:basedOn w:val="CommentText"/>
    <w:next w:val="CommentText"/>
    <w:link w:val="CommentSubjectChar"/>
    <w:uiPriority w:val="99"/>
    <w:semiHidden/>
    <w:unhideWhenUsed/>
    <w:rsid w:val="00457B4B"/>
    <w:rPr>
      <w:b/>
      <w:bCs/>
    </w:rPr>
  </w:style>
  <w:style w:type="character" w:customStyle="1" w:styleId="CommentSubjectChar">
    <w:name w:val="Comment Subject Char"/>
    <w:basedOn w:val="CommentTextChar"/>
    <w:link w:val="CommentSubject"/>
    <w:uiPriority w:val="99"/>
    <w:semiHidden/>
    <w:rsid w:val="00457B4B"/>
    <w:rPr>
      <w:rFonts w:ascii="Arial" w:hAnsi="Arial"/>
      <w:b/>
      <w:bCs/>
      <w:sz w:val="24"/>
      <w:szCs w:val="20"/>
    </w:rPr>
  </w:style>
  <w:style w:type="paragraph" w:styleId="Revision">
    <w:name w:val="Revision"/>
    <w:hidden/>
    <w:uiPriority w:val="99"/>
    <w:semiHidden/>
    <w:rsid w:val="00457B4B"/>
    <w:pPr>
      <w:spacing w:after="0" w:line="240" w:lineRule="auto"/>
    </w:pPr>
  </w:style>
  <w:style w:type="character" w:styleId="FollowedHyperlink">
    <w:name w:val="FollowedHyperlink"/>
    <w:basedOn w:val="DefaultParagraphFont"/>
    <w:uiPriority w:val="99"/>
    <w:semiHidden/>
    <w:unhideWhenUsed/>
    <w:rsid w:val="00457B4B"/>
    <w:rPr>
      <w:color w:val="800080" w:themeColor="followedHyperlink"/>
      <w:u w:val="single"/>
    </w:rPr>
  </w:style>
  <w:style w:type="character" w:styleId="PlaceholderText">
    <w:name w:val="Placeholder Text"/>
    <w:basedOn w:val="DefaultParagraphFont"/>
    <w:uiPriority w:val="99"/>
    <w:semiHidden/>
    <w:rsid w:val="00457B4B"/>
    <w:rPr>
      <w:color w:val="808080"/>
    </w:rPr>
  </w:style>
  <w:style w:type="character" w:styleId="LineNumber">
    <w:name w:val="line number"/>
    <w:basedOn w:val="DefaultParagraphFont"/>
    <w:uiPriority w:val="99"/>
    <w:semiHidden/>
    <w:unhideWhenUsed/>
    <w:rsid w:val="00457B4B"/>
  </w:style>
  <w:style w:type="character" w:customStyle="1" w:styleId="UnresolvedMention">
    <w:name w:val="Unresolved Mention"/>
    <w:basedOn w:val="DefaultParagraphFont"/>
    <w:uiPriority w:val="99"/>
    <w:semiHidden/>
    <w:unhideWhenUsed/>
    <w:rsid w:val="0045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65d7416158444d9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3E439D"/>
    <w:rsid w:val="003E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C35FDF5D8FDD468504122D991B1AB0" ma:contentTypeVersion="6" ma:contentTypeDescription="Create a new document." ma:contentTypeScope="" ma:versionID="6d5130e240b401a594977936b8c1da6f">
  <xsd:schema xmlns:xsd="http://www.w3.org/2001/XMLSchema" xmlns:xs="http://www.w3.org/2001/XMLSchema" xmlns:p="http://schemas.microsoft.com/office/2006/metadata/properties" xmlns:ns2="347c904b-2669-4054-8e34-cee72aa2c0cf" xmlns:ns3="8518e76c-525f-40ba-b4e6-a1877b4c8228" targetNamespace="http://schemas.microsoft.com/office/2006/metadata/properties" ma:root="true" ma:fieldsID="facaacd0d2ae5465adb736127db8ce2b" ns2:_="" ns3:_="">
    <xsd:import namespace="347c904b-2669-4054-8e34-cee72aa2c0cf"/>
    <xsd:import namespace="8518e76c-525f-40ba-b4e6-a1877b4c82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c904b-2669-4054-8e34-cee72aa2c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18e76c-525f-40ba-b4e6-a1877b4c82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3DE23E-9E9C-45F4-A838-48C00009694B}">
  <ds:schemaRefs>
    <ds:schemaRef ds:uri="http://schemas.microsoft.com/sharepoint/v3/contenttype/forms"/>
  </ds:schemaRefs>
</ds:datastoreItem>
</file>

<file path=customXml/itemProps2.xml><?xml version="1.0" encoding="utf-8"?>
<ds:datastoreItem xmlns:ds="http://schemas.openxmlformats.org/officeDocument/2006/customXml" ds:itemID="{4FF12583-9D1A-4B9C-BAB9-E9D8BD340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c904b-2669-4054-8e34-cee72aa2c0cf"/>
    <ds:schemaRef ds:uri="8518e76c-525f-40ba-b4e6-a1877b4c8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D3720-DEFA-4A43-9681-EA6827754E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5510</Words>
  <Characters>31410</Characters>
  <Application>Microsoft Office Word</Application>
  <DocSecurity>0</DocSecurity>
  <Lines>261</Lines>
  <Paragraphs>73</Paragraphs>
  <ScaleCrop>false</ScaleCrop>
  <Company/>
  <LinksUpToDate>false</LinksUpToDate>
  <CharactersWithSpaces>36847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Blackman, Nicole</cp:lastModifiedBy>
  <cp:revision>12</cp:revision>
  <dcterms:created xsi:type="dcterms:W3CDTF">2020-11-11T01:03:00Z</dcterms:created>
  <dcterms:modified xsi:type="dcterms:W3CDTF">2021-03-26T19:18:00Z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0x010100E9C35FDF5D8FDD468504122D991B1AB0</vt:lpwstr>
  </property>
</Properties>
</file>