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A981A" w14:textId="0404C79D" w:rsidR="000255E9" w:rsidRPr="00432F44" w:rsidRDefault="007E614D" w:rsidP="007B46AE">
      <w:pPr>
        <w:spacing w:line="480" w:lineRule="auto"/>
        <w:jc w:val="center"/>
        <w:rPr>
          <w:rFonts w:ascii="Calibri" w:hAnsi="Calibri" w:cs="Calibri"/>
          <w:b/>
          <w:sz w:val="36"/>
          <w:szCs w:val="36"/>
        </w:rPr>
      </w:pPr>
      <w:r w:rsidRPr="00432F44">
        <w:rPr>
          <w:rFonts w:ascii="Calibri" w:hAnsi="Calibri" w:cs="Calibri"/>
          <w:b/>
          <w:sz w:val="36"/>
          <w:szCs w:val="36"/>
        </w:rPr>
        <w:t>Supplement</w:t>
      </w:r>
      <w:r w:rsidR="00A72102">
        <w:rPr>
          <w:rFonts w:ascii="Calibri" w:hAnsi="Calibri" w:cs="Calibri"/>
          <w:b/>
          <w:sz w:val="36"/>
          <w:szCs w:val="36"/>
        </w:rPr>
        <w:t>ary Material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2"/>
        <w:gridCol w:w="1294"/>
      </w:tblGrid>
      <w:tr w:rsidR="0010280F" w:rsidRPr="00432F44" w14:paraId="55BEADEE" w14:textId="77777777" w:rsidTr="008D442A">
        <w:tc>
          <w:tcPr>
            <w:tcW w:w="7732" w:type="dxa"/>
          </w:tcPr>
          <w:p w14:paraId="4F2A03CC" w14:textId="20322897" w:rsidR="0010280F" w:rsidRPr="00432F44" w:rsidRDefault="0010280F" w:rsidP="00936406">
            <w:pPr>
              <w:tabs>
                <w:tab w:val="left" w:pos="2535"/>
              </w:tabs>
              <w:spacing w:line="480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432F44">
              <w:rPr>
                <w:rFonts w:ascii="Calibri" w:hAnsi="Calibri" w:cs="Calibri"/>
                <w:b/>
                <w:sz w:val="24"/>
                <w:szCs w:val="24"/>
              </w:rPr>
              <w:t>Supplementary Fig</w:t>
            </w:r>
            <w:r w:rsidR="003B633C" w:rsidRPr="00432F44">
              <w:rPr>
                <w:rFonts w:ascii="Calibri" w:hAnsi="Calibri" w:cs="Calibri"/>
                <w:b/>
                <w:sz w:val="24"/>
                <w:szCs w:val="24"/>
              </w:rPr>
              <w:t>ure</w:t>
            </w:r>
            <w:r w:rsidRPr="00432F44">
              <w:rPr>
                <w:rFonts w:ascii="Calibri" w:hAnsi="Calibri" w:cs="Calibri"/>
                <w:b/>
                <w:sz w:val="24"/>
                <w:szCs w:val="24"/>
              </w:rPr>
              <w:t xml:space="preserve"> S1</w:t>
            </w:r>
            <w:r w:rsidR="00953D65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Pr="00432F4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E5299" w:rsidRPr="007E5299">
              <w:rPr>
                <w:rFonts w:ascii="Calibri" w:hAnsi="Calibri" w:cs="Calibri"/>
                <w:bCs/>
                <w:sz w:val="24"/>
                <w:szCs w:val="24"/>
              </w:rPr>
              <w:t>Flow diagram</w:t>
            </w:r>
            <w:r w:rsidR="00BE2AC1" w:rsidRPr="00BE2AC1">
              <w:rPr>
                <w:rFonts w:ascii="Calibri" w:hAnsi="Calibri" w:cs="Calibri" w:hint="eastAsia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19E08799" w14:textId="77777777" w:rsidR="0010280F" w:rsidRPr="00432F44" w:rsidRDefault="00A3654C" w:rsidP="007B46AE">
            <w:pPr>
              <w:spacing w:line="48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32F44">
              <w:rPr>
                <w:rFonts w:ascii="Calibri" w:hAnsi="Calibri" w:cs="Calibri"/>
                <w:b/>
                <w:sz w:val="24"/>
                <w:szCs w:val="24"/>
              </w:rPr>
              <w:t>p. 2</w:t>
            </w:r>
          </w:p>
        </w:tc>
      </w:tr>
      <w:tr w:rsidR="00BE2AC1" w:rsidRPr="00432F44" w14:paraId="502324F6" w14:textId="77777777" w:rsidTr="008D442A">
        <w:tc>
          <w:tcPr>
            <w:tcW w:w="7732" w:type="dxa"/>
          </w:tcPr>
          <w:p w14:paraId="0F2369E4" w14:textId="41CEC2AD" w:rsidR="00BE2AC1" w:rsidRPr="00432F44" w:rsidRDefault="00BE2AC1" w:rsidP="00936406">
            <w:pPr>
              <w:tabs>
                <w:tab w:val="left" w:pos="2535"/>
              </w:tabs>
              <w:spacing w:line="480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432F44">
              <w:rPr>
                <w:rFonts w:ascii="Calibri" w:hAnsi="Calibri" w:cs="Calibri"/>
                <w:b/>
                <w:sz w:val="24"/>
                <w:szCs w:val="24"/>
              </w:rPr>
              <w:t>Supplementary Figure S</w:t>
            </w:r>
            <w:r w:rsidR="002F075B">
              <w:rPr>
                <w:rFonts w:ascii="Calibri" w:hAnsi="Calibri" w:cs="Calibri" w:hint="eastAsia"/>
                <w:b/>
                <w:sz w:val="24"/>
                <w:szCs w:val="24"/>
              </w:rPr>
              <w:t>2</w:t>
            </w:r>
            <w:r w:rsidR="00953D65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Pr="00432F4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D71E06" w:rsidRPr="00D71E06">
              <w:rPr>
                <w:rFonts w:ascii="Calibri" w:hAnsi="Calibri" w:cs="Calibri"/>
                <w:bCs/>
                <w:sz w:val="24"/>
                <w:szCs w:val="24"/>
              </w:rPr>
              <w:t>Cumulative incidence of primary outcomes (entire</w:t>
            </w:r>
            <w:r w:rsidR="00D71E06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D71E06" w:rsidRPr="00D71E06">
              <w:rPr>
                <w:rFonts w:ascii="Calibri" w:hAnsi="Calibri" w:cs="Calibri"/>
                <w:bCs/>
                <w:sz w:val="24"/>
                <w:szCs w:val="24"/>
              </w:rPr>
              <w:t>cohort)</w:t>
            </w:r>
            <w:r w:rsidR="00D71E0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</w:tcPr>
          <w:p w14:paraId="5CA20EEB" w14:textId="4A7EBE03" w:rsidR="00BE2AC1" w:rsidRPr="00432F44" w:rsidRDefault="00BE2AC1" w:rsidP="00834645">
            <w:pPr>
              <w:spacing w:line="48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32F44">
              <w:rPr>
                <w:rFonts w:ascii="Calibri" w:hAnsi="Calibri" w:cs="Calibri"/>
                <w:b/>
                <w:sz w:val="24"/>
                <w:szCs w:val="24"/>
              </w:rPr>
              <w:t xml:space="preserve">p. </w:t>
            </w:r>
            <w:r w:rsidR="00A72102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10744D" w:rsidRPr="00432F44" w14:paraId="0D09882B" w14:textId="77777777" w:rsidTr="008D442A">
        <w:tc>
          <w:tcPr>
            <w:tcW w:w="7732" w:type="dxa"/>
          </w:tcPr>
          <w:p w14:paraId="7CB7AE95" w14:textId="2F1B4A8A" w:rsidR="0010744D" w:rsidRPr="00432F44" w:rsidRDefault="0010744D" w:rsidP="00936406">
            <w:pPr>
              <w:tabs>
                <w:tab w:val="left" w:pos="2535"/>
              </w:tabs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DB17CB2" w14:textId="450758BD" w:rsidR="0010744D" w:rsidRPr="00432F44" w:rsidRDefault="0010744D" w:rsidP="007B46AE">
            <w:pPr>
              <w:spacing w:line="48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0744D" w:rsidRPr="00432F44" w14:paraId="5132149F" w14:textId="77777777" w:rsidTr="008D442A">
        <w:tc>
          <w:tcPr>
            <w:tcW w:w="7732" w:type="dxa"/>
          </w:tcPr>
          <w:p w14:paraId="393EF200" w14:textId="0F503637" w:rsidR="0010744D" w:rsidRPr="00432F44" w:rsidRDefault="0010744D" w:rsidP="00953D65">
            <w:pPr>
              <w:tabs>
                <w:tab w:val="left" w:pos="2535"/>
              </w:tabs>
              <w:spacing w:line="48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ED6CAE2" w14:textId="3DB6FF37" w:rsidR="0010744D" w:rsidRPr="00432F44" w:rsidRDefault="0010744D" w:rsidP="007B46AE">
            <w:pPr>
              <w:spacing w:line="48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0744D" w:rsidRPr="00432F44" w14:paraId="55640677" w14:textId="77777777" w:rsidTr="008D442A">
        <w:tc>
          <w:tcPr>
            <w:tcW w:w="7732" w:type="dxa"/>
          </w:tcPr>
          <w:p w14:paraId="37E7FBCB" w14:textId="40CE1A37" w:rsidR="0010744D" w:rsidRDefault="0010744D" w:rsidP="00953D65">
            <w:pPr>
              <w:tabs>
                <w:tab w:val="left" w:pos="2535"/>
              </w:tabs>
              <w:spacing w:line="48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59B37A34" w14:textId="77777777" w:rsidR="0010744D" w:rsidRDefault="0010744D" w:rsidP="007B46AE">
            <w:pPr>
              <w:spacing w:line="48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502B818" w14:textId="687B0329" w:rsidR="00834645" w:rsidRDefault="00834645" w:rsidP="007B46AE">
      <w:pPr>
        <w:spacing w:line="480" w:lineRule="auto"/>
        <w:rPr>
          <w:rFonts w:ascii="Calibri" w:hAnsi="Calibri" w:cs="Calibri"/>
          <w:b/>
          <w:sz w:val="36"/>
          <w:szCs w:val="36"/>
        </w:rPr>
      </w:pPr>
    </w:p>
    <w:p w14:paraId="32403488" w14:textId="77777777" w:rsidR="006B57D2" w:rsidRDefault="006B57D2">
      <w:pPr>
        <w:widowControl/>
        <w:wordWrap/>
        <w:autoSpaceDE/>
        <w:autoSpaceDN/>
        <w:rPr>
          <w:rFonts w:ascii="Calibri" w:hAnsi="Calibri" w:cs="Calibri"/>
          <w:b/>
          <w:sz w:val="36"/>
          <w:szCs w:val="36"/>
        </w:rPr>
      </w:pPr>
    </w:p>
    <w:p w14:paraId="093C4225" w14:textId="77777777" w:rsidR="006B57D2" w:rsidRDefault="006B57D2">
      <w:pPr>
        <w:widowControl/>
        <w:wordWrap/>
        <w:autoSpaceDE/>
        <w:autoSpaceDN/>
        <w:rPr>
          <w:rFonts w:ascii="Calibri" w:hAnsi="Calibri" w:cs="Calibri"/>
          <w:b/>
          <w:sz w:val="36"/>
          <w:szCs w:val="36"/>
        </w:rPr>
      </w:pPr>
    </w:p>
    <w:p w14:paraId="1F7ED306" w14:textId="77777777" w:rsidR="006B57D2" w:rsidRDefault="006B57D2">
      <w:pPr>
        <w:widowControl/>
        <w:wordWrap/>
        <w:autoSpaceDE/>
        <w:autoSpaceDN/>
        <w:rPr>
          <w:rFonts w:ascii="Calibri" w:hAnsi="Calibri" w:cs="Calibri"/>
          <w:b/>
          <w:sz w:val="36"/>
          <w:szCs w:val="36"/>
        </w:rPr>
      </w:pPr>
    </w:p>
    <w:p w14:paraId="3CB16402" w14:textId="77777777" w:rsidR="006B57D2" w:rsidRDefault="006B57D2">
      <w:pPr>
        <w:widowControl/>
        <w:wordWrap/>
        <w:autoSpaceDE/>
        <w:autoSpaceDN/>
        <w:rPr>
          <w:rFonts w:ascii="Calibri" w:hAnsi="Calibri" w:cs="Calibri"/>
          <w:b/>
          <w:sz w:val="36"/>
          <w:szCs w:val="36"/>
        </w:rPr>
      </w:pPr>
    </w:p>
    <w:p w14:paraId="192AE692" w14:textId="77777777" w:rsidR="006B57D2" w:rsidRDefault="006B57D2">
      <w:pPr>
        <w:widowControl/>
        <w:wordWrap/>
        <w:autoSpaceDE/>
        <w:autoSpaceDN/>
        <w:rPr>
          <w:rFonts w:ascii="Calibri" w:hAnsi="Calibri" w:cs="Calibri"/>
          <w:b/>
          <w:sz w:val="36"/>
          <w:szCs w:val="36"/>
        </w:rPr>
      </w:pPr>
    </w:p>
    <w:p w14:paraId="236F593F" w14:textId="77777777" w:rsidR="006B57D2" w:rsidRDefault="006B57D2">
      <w:pPr>
        <w:widowControl/>
        <w:wordWrap/>
        <w:autoSpaceDE/>
        <w:autoSpaceDN/>
        <w:rPr>
          <w:rFonts w:ascii="Calibri" w:hAnsi="Calibri" w:cs="Calibri"/>
          <w:b/>
          <w:sz w:val="36"/>
          <w:szCs w:val="36"/>
        </w:rPr>
      </w:pPr>
    </w:p>
    <w:p w14:paraId="2A0CF18B" w14:textId="77777777" w:rsidR="006B57D2" w:rsidRDefault="006B57D2">
      <w:pPr>
        <w:widowControl/>
        <w:wordWrap/>
        <w:autoSpaceDE/>
        <w:autoSpaceDN/>
        <w:rPr>
          <w:rFonts w:ascii="Calibri" w:hAnsi="Calibri" w:cs="Calibri"/>
          <w:b/>
          <w:sz w:val="36"/>
          <w:szCs w:val="36"/>
        </w:rPr>
      </w:pPr>
    </w:p>
    <w:p w14:paraId="56B64120" w14:textId="77777777" w:rsidR="006B57D2" w:rsidRDefault="006B57D2">
      <w:pPr>
        <w:widowControl/>
        <w:wordWrap/>
        <w:autoSpaceDE/>
        <w:autoSpaceDN/>
        <w:rPr>
          <w:rFonts w:ascii="Calibri" w:hAnsi="Calibri" w:cs="Calibri"/>
          <w:b/>
          <w:sz w:val="36"/>
          <w:szCs w:val="36"/>
        </w:rPr>
      </w:pPr>
    </w:p>
    <w:p w14:paraId="309486FB" w14:textId="77777777" w:rsidR="006B57D2" w:rsidRDefault="006B57D2">
      <w:pPr>
        <w:widowControl/>
        <w:wordWrap/>
        <w:autoSpaceDE/>
        <w:autoSpaceDN/>
        <w:rPr>
          <w:rFonts w:ascii="Calibri" w:hAnsi="Calibri" w:cs="Calibri"/>
          <w:b/>
          <w:sz w:val="36"/>
          <w:szCs w:val="36"/>
        </w:rPr>
      </w:pPr>
    </w:p>
    <w:p w14:paraId="5173F79E" w14:textId="302D66D7" w:rsidR="00AA70C0" w:rsidRDefault="00AA70C0" w:rsidP="00AA70C0">
      <w:pPr>
        <w:widowControl/>
        <w:wordWrap/>
        <w:autoSpaceDE/>
        <w:autoSpaceDN/>
        <w:spacing w:line="48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5E24981" w14:textId="77777777" w:rsidR="000A2B3E" w:rsidRDefault="000A2B3E" w:rsidP="00D71E06">
      <w:pPr>
        <w:widowControl/>
        <w:wordWrap/>
        <w:autoSpaceDE/>
        <w:autoSpaceDN/>
        <w:spacing w:line="480" w:lineRule="auto"/>
        <w:rPr>
          <w:noProof/>
        </w:rPr>
      </w:pPr>
      <w:r>
        <w:rPr>
          <w:noProof/>
        </w:rPr>
        <w:br w:type="page"/>
      </w:r>
    </w:p>
    <w:p w14:paraId="68EF3AD1" w14:textId="463027E8" w:rsidR="00AA70C0" w:rsidRPr="00D71E06" w:rsidRDefault="00A72102" w:rsidP="00D71E06">
      <w:pPr>
        <w:widowControl/>
        <w:wordWrap/>
        <w:autoSpaceDE/>
        <w:autoSpaceDN/>
        <w:spacing w:line="48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84E5E9" wp14:editId="5383CEC2">
            <wp:extent cx="5731510" cy="7115810"/>
            <wp:effectExtent l="0" t="0" r="254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0C0" w:rsidRPr="00793452">
        <w:rPr>
          <w:rFonts w:ascii="Calibri" w:hAnsi="Calibri" w:cs="Calibri"/>
          <w:b/>
          <w:sz w:val="24"/>
          <w:szCs w:val="24"/>
        </w:rPr>
        <w:t>Supplementary Figure S1</w:t>
      </w:r>
      <w:r w:rsidR="00AA70C0">
        <w:rPr>
          <w:rFonts w:ascii="Calibri" w:hAnsi="Calibri" w:cs="Calibri" w:hint="eastAsia"/>
          <w:b/>
          <w:sz w:val="24"/>
          <w:szCs w:val="24"/>
        </w:rPr>
        <w:t>:</w:t>
      </w:r>
      <w:r w:rsidR="00AA70C0" w:rsidRPr="00793452">
        <w:rPr>
          <w:rFonts w:ascii="Calibri" w:hAnsi="Calibri" w:cs="Calibri"/>
          <w:b/>
          <w:sz w:val="24"/>
          <w:szCs w:val="24"/>
        </w:rPr>
        <w:t xml:space="preserve"> </w:t>
      </w:r>
      <w:r w:rsidR="00AA70C0">
        <w:rPr>
          <w:rFonts w:ascii="Calibri" w:hAnsi="Calibri" w:cs="Calibri"/>
          <w:b/>
          <w:sz w:val="24"/>
          <w:szCs w:val="24"/>
        </w:rPr>
        <w:t>Flow diagram</w:t>
      </w:r>
      <w:r w:rsidR="00AA70C0" w:rsidRPr="007E5299">
        <w:rPr>
          <w:rFonts w:ascii="Calibri" w:hAnsi="Calibri" w:cs="Calibri"/>
          <w:b/>
          <w:sz w:val="24"/>
          <w:szCs w:val="24"/>
        </w:rPr>
        <w:t xml:space="preserve">. </w:t>
      </w:r>
      <w:r w:rsidR="00D71E06" w:rsidRPr="00D71E06">
        <w:rPr>
          <w:rFonts w:ascii="Calibri" w:hAnsi="Calibri" w:cs="Calibri"/>
          <w:sz w:val="24"/>
          <w:szCs w:val="24"/>
          <w:lang w:val="en-GB"/>
        </w:rPr>
        <w:t>A total of 920 advanced HCC patients were identified and 366 patients were excluded. A total of 554 patients were classified into two groups according to first-line treatment (the sorafenib-first group and the TACE-first group). After propensity score matching, 170 patients were analysed for the outcomes.</w:t>
      </w:r>
    </w:p>
    <w:p w14:paraId="3CB05CA3" w14:textId="30F592D7" w:rsidR="00AA70C0" w:rsidRPr="007E5299" w:rsidRDefault="00AA70C0" w:rsidP="00AA70C0">
      <w:pPr>
        <w:widowControl/>
        <w:wordWrap/>
        <w:autoSpaceDE/>
        <w:autoSpaceDN/>
        <w:spacing w:line="480" w:lineRule="auto"/>
        <w:rPr>
          <w:rFonts w:ascii="Calibri" w:hAnsi="Calibri" w:cs="Calibri"/>
          <w:b/>
          <w:sz w:val="24"/>
          <w:szCs w:val="24"/>
        </w:rPr>
      </w:pPr>
      <w:r w:rsidRPr="007E5299">
        <w:rPr>
          <w:rFonts w:ascii="Calibri" w:hAnsi="Calibri" w:cs="Calibri"/>
          <w:sz w:val="24"/>
          <w:szCs w:val="24"/>
        </w:rPr>
        <w:lastRenderedPageBreak/>
        <w:t xml:space="preserve">Abbreviations: </w:t>
      </w:r>
      <w:r>
        <w:rPr>
          <w:rFonts w:ascii="Calibri" w:hAnsi="Calibri" w:cs="Calibri"/>
          <w:sz w:val="24"/>
          <w:szCs w:val="24"/>
        </w:rPr>
        <w:t xml:space="preserve">COPD, chronic obstructive pulmonary disease; ESRD, end-stage renal disease; </w:t>
      </w:r>
      <w:r w:rsidRPr="007E5299">
        <w:rPr>
          <w:rFonts w:ascii="Calibri" w:hAnsi="Calibri" w:cs="Calibri"/>
          <w:sz w:val="24"/>
          <w:szCs w:val="24"/>
        </w:rPr>
        <w:t xml:space="preserve">HCC, hepatocellular carcinoma; TACE, </w:t>
      </w:r>
      <w:proofErr w:type="spellStart"/>
      <w:r w:rsidRPr="007E5299">
        <w:rPr>
          <w:rFonts w:ascii="Calibri" w:hAnsi="Calibri" w:cs="Calibri"/>
          <w:sz w:val="24"/>
          <w:szCs w:val="24"/>
        </w:rPr>
        <w:t>transarterial</w:t>
      </w:r>
      <w:proofErr w:type="spellEnd"/>
      <w:r w:rsidRPr="007E5299">
        <w:rPr>
          <w:rFonts w:ascii="Calibri" w:hAnsi="Calibri" w:cs="Calibri"/>
          <w:sz w:val="24"/>
          <w:szCs w:val="24"/>
        </w:rPr>
        <w:t xml:space="preserve"> chemoembolization</w:t>
      </w:r>
      <w:r>
        <w:rPr>
          <w:rFonts w:ascii="Calibri" w:hAnsi="Calibri" w:cs="Calibri"/>
          <w:sz w:val="24"/>
          <w:szCs w:val="24"/>
        </w:rPr>
        <w:t>; TKI, tyrosine kinase inhibitor.</w:t>
      </w:r>
    </w:p>
    <w:p w14:paraId="7C5D2AB7" w14:textId="72063418" w:rsidR="00AA70C0" w:rsidRDefault="00AB342D" w:rsidP="00AA70C0">
      <w:pPr>
        <w:widowControl/>
        <w:wordWrap/>
        <w:autoSpaceDE/>
        <w:autoSpaceDN/>
        <w:spacing w:line="48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t xml:space="preserve"> </w:t>
      </w:r>
      <w:r w:rsidR="00936406" w:rsidRPr="00936406">
        <w:rPr>
          <w:noProof/>
        </w:rPr>
        <w:t xml:space="preserve"> </w:t>
      </w:r>
      <w:r w:rsidR="00700BAF" w:rsidRPr="00CE432D">
        <w:rPr>
          <w:rFonts w:ascii="Calibri" w:hAnsi="Calibri" w:cs="Calibri"/>
          <w:b/>
          <w:noProof/>
          <w:sz w:val="24"/>
          <w:szCs w:val="24"/>
        </w:rPr>
        <w:t xml:space="preserve"> </w:t>
      </w:r>
    </w:p>
    <w:p w14:paraId="374297DB" w14:textId="77777777" w:rsidR="00A72102" w:rsidRDefault="00A72102">
      <w:pPr>
        <w:widowControl/>
        <w:wordWrap/>
        <w:autoSpaceDE/>
        <w:autoSpaceDN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6F8F5055" w14:textId="7C565BA6" w:rsidR="00D71E06" w:rsidRPr="00D71E06" w:rsidRDefault="00A72102" w:rsidP="00D71E06">
      <w:pPr>
        <w:spacing w:line="480" w:lineRule="auto"/>
        <w:rPr>
          <w:rFonts w:ascii="Calibri" w:hAnsi="Calibri" w:cs="Calibri"/>
          <w:sz w:val="24"/>
          <w:szCs w:val="24"/>
          <w:lang w:val="en-GB"/>
        </w:rPr>
      </w:pPr>
      <w:r>
        <w:rPr>
          <w:noProof/>
        </w:rPr>
        <w:lastRenderedPageBreak/>
        <w:drawing>
          <wp:inline distT="0" distB="0" distL="0" distR="0" wp14:anchorId="6DBA94A5" wp14:editId="7EF4F079">
            <wp:extent cx="5731510" cy="3308985"/>
            <wp:effectExtent l="0" t="0" r="2540" b="571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7912CD" wp14:editId="493CFC6B">
            <wp:extent cx="5731510" cy="3366770"/>
            <wp:effectExtent l="0" t="0" r="2540" b="508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0C0" w:rsidRPr="00D71E06">
        <w:rPr>
          <w:rFonts w:ascii="Calibri" w:hAnsi="Calibri" w:cs="Calibri"/>
          <w:b/>
          <w:sz w:val="24"/>
          <w:szCs w:val="24"/>
        </w:rPr>
        <w:t xml:space="preserve">Supplementary Figure S2: </w:t>
      </w:r>
      <w:r w:rsidR="00D71E06" w:rsidRPr="00D71E06">
        <w:rPr>
          <w:rFonts w:ascii="Calibri" w:hAnsi="Calibri" w:cs="Calibri"/>
          <w:b/>
          <w:sz w:val="24"/>
          <w:szCs w:val="24"/>
        </w:rPr>
        <w:t>Cumulative incidence of primary outcomes (entire</w:t>
      </w:r>
      <w:r w:rsidR="00D71E06">
        <w:rPr>
          <w:rFonts w:ascii="Calibri" w:hAnsi="Calibri" w:cs="Calibri"/>
          <w:b/>
          <w:sz w:val="24"/>
          <w:szCs w:val="24"/>
        </w:rPr>
        <w:t xml:space="preserve"> </w:t>
      </w:r>
      <w:r w:rsidR="00D71E06" w:rsidRPr="00D71E06">
        <w:rPr>
          <w:rFonts w:ascii="Calibri" w:hAnsi="Calibri" w:cs="Calibri"/>
          <w:b/>
          <w:sz w:val="24"/>
          <w:szCs w:val="24"/>
        </w:rPr>
        <w:t xml:space="preserve">cohort) </w:t>
      </w:r>
      <w:r w:rsidR="00D71E06" w:rsidRPr="00D71E06">
        <w:rPr>
          <w:rFonts w:ascii="Calibri" w:hAnsi="Calibri" w:cs="Calibri"/>
          <w:sz w:val="24"/>
          <w:szCs w:val="24"/>
          <w:lang w:val="en-GB"/>
        </w:rPr>
        <w:t>(A) Overall survival. (B) Time to progression. Survival curves were compared using the log-rank test. Time to progression was evaluated only in patients with follow-up images.</w:t>
      </w:r>
    </w:p>
    <w:p w14:paraId="5785DAE1" w14:textId="4D90BDEE" w:rsidR="00936406" w:rsidRDefault="00700BAF" w:rsidP="00D71E06">
      <w:pPr>
        <w:widowControl/>
        <w:wordWrap/>
        <w:autoSpaceDE/>
        <w:autoSpaceDN/>
        <w:spacing w:line="480" w:lineRule="auto"/>
        <w:rPr>
          <w:rFonts w:ascii="Calibri" w:hAnsi="Calibri" w:cs="Calibri"/>
          <w:b/>
          <w:sz w:val="24"/>
          <w:szCs w:val="24"/>
        </w:rPr>
      </w:pPr>
      <w:r w:rsidRPr="00D71E06">
        <w:rPr>
          <w:rFonts w:ascii="Calibri" w:hAnsi="Calibri" w:cs="Calibri"/>
          <w:sz w:val="24"/>
          <w:szCs w:val="24"/>
        </w:rPr>
        <w:lastRenderedPageBreak/>
        <w:t xml:space="preserve">Abbreviations: CI, confidence interval; HR, hazard ratio; TACE, </w:t>
      </w:r>
      <w:proofErr w:type="spellStart"/>
      <w:r w:rsidRPr="00D71E06">
        <w:rPr>
          <w:rFonts w:ascii="Calibri" w:hAnsi="Calibri" w:cs="Calibri"/>
          <w:sz w:val="24"/>
          <w:szCs w:val="24"/>
        </w:rPr>
        <w:t>transarterial</w:t>
      </w:r>
      <w:proofErr w:type="spellEnd"/>
      <w:r w:rsidRPr="00D71E06">
        <w:rPr>
          <w:rFonts w:ascii="Calibri" w:hAnsi="Calibri" w:cs="Calibri"/>
          <w:sz w:val="24"/>
          <w:szCs w:val="24"/>
        </w:rPr>
        <w:t xml:space="preserve"> chemoembolization.</w:t>
      </w:r>
    </w:p>
    <w:sectPr w:rsidR="00936406" w:rsidSect="00AA70C0">
      <w:footerReference w:type="even" r:id="rId11"/>
      <w:footerReference w:type="default" r:id="rId12"/>
      <w:endnotePr>
        <w:numFmt w:val="decimal"/>
      </w:endnotePr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AC6A0" w14:textId="77777777" w:rsidR="00AF27B8" w:rsidRDefault="00AF27B8" w:rsidP="00397D50">
      <w:r>
        <w:separator/>
      </w:r>
    </w:p>
  </w:endnote>
  <w:endnote w:type="continuationSeparator" w:id="0">
    <w:p w14:paraId="62B289AE" w14:textId="77777777" w:rsidR="00AF27B8" w:rsidRDefault="00AF27B8" w:rsidP="0039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C5775" w14:textId="77777777" w:rsidR="007B799E" w:rsidRDefault="007B799E" w:rsidP="0083464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B4013C" w14:textId="77777777" w:rsidR="007B799E" w:rsidRDefault="007B799E" w:rsidP="0083464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5F16F" w14:textId="77777777" w:rsidR="007B799E" w:rsidRDefault="007B799E" w:rsidP="0083464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7EABF89A" w14:textId="77777777" w:rsidR="007B799E" w:rsidRDefault="007B799E" w:rsidP="0083464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3E8E0" w14:textId="77777777" w:rsidR="00AF27B8" w:rsidRDefault="00AF27B8" w:rsidP="00397D50">
      <w:r>
        <w:separator/>
      </w:r>
    </w:p>
  </w:footnote>
  <w:footnote w:type="continuationSeparator" w:id="0">
    <w:p w14:paraId="440E6047" w14:textId="77777777" w:rsidR="00AF27B8" w:rsidRDefault="00AF27B8" w:rsidP="0039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40ED6"/>
    <w:multiLevelType w:val="hybridMultilevel"/>
    <w:tmpl w:val="B17ED058"/>
    <w:lvl w:ilvl="0" w:tplc="46E8C394">
      <w:numFmt w:val="bullet"/>
      <w:lvlText w:val="*"/>
      <w:lvlJc w:val="left"/>
      <w:pPr>
        <w:ind w:left="720" w:hanging="360"/>
      </w:pPr>
      <w:rPr>
        <w:rFonts w:ascii="Calibri" w:eastAsiaTheme="minorEastAsia" w:hAnsi="Calibri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4D"/>
    <w:rsid w:val="000255E9"/>
    <w:rsid w:val="00042F10"/>
    <w:rsid w:val="00044AE9"/>
    <w:rsid w:val="00045FE4"/>
    <w:rsid w:val="000472DA"/>
    <w:rsid w:val="0005146F"/>
    <w:rsid w:val="00067C74"/>
    <w:rsid w:val="00092EEA"/>
    <w:rsid w:val="0009730E"/>
    <w:rsid w:val="000A2B3E"/>
    <w:rsid w:val="000A6226"/>
    <w:rsid w:val="000E639C"/>
    <w:rsid w:val="0010280F"/>
    <w:rsid w:val="0010744D"/>
    <w:rsid w:val="00134426"/>
    <w:rsid w:val="00193E4C"/>
    <w:rsid w:val="001B5B1B"/>
    <w:rsid w:val="001C2946"/>
    <w:rsid w:val="001D74F9"/>
    <w:rsid w:val="002148D5"/>
    <w:rsid w:val="00231D9F"/>
    <w:rsid w:val="0026321B"/>
    <w:rsid w:val="002641DC"/>
    <w:rsid w:val="00275A12"/>
    <w:rsid w:val="00281196"/>
    <w:rsid w:val="002A2B62"/>
    <w:rsid w:val="002B56E3"/>
    <w:rsid w:val="002B5BDD"/>
    <w:rsid w:val="002F075B"/>
    <w:rsid w:val="0033084E"/>
    <w:rsid w:val="00351B61"/>
    <w:rsid w:val="00397D50"/>
    <w:rsid w:val="003A64CC"/>
    <w:rsid w:val="003B633C"/>
    <w:rsid w:val="003E73E2"/>
    <w:rsid w:val="003F4172"/>
    <w:rsid w:val="003F44D8"/>
    <w:rsid w:val="004024AE"/>
    <w:rsid w:val="00406B9E"/>
    <w:rsid w:val="00423B76"/>
    <w:rsid w:val="00432F44"/>
    <w:rsid w:val="00440D93"/>
    <w:rsid w:val="00446576"/>
    <w:rsid w:val="00472981"/>
    <w:rsid w:val="0047626D"/>
    <w:rsid w:val="00477717"/>
    <w:rsid w:val="004F0E11"/>
    <w:rsid w:val="005148B8"/>
    <w:rsid w:val="005672C0"/>
    <w:rsid w:val="0058424E"/>
    <w:rsid w:val="005B2667"/>
    <w:rsid w:val="005C7CF7"/>
    <w:rsid w:val="00601B63"/>
    <w:rsid w:val="0063498E"/>
    <w:rsid w:val="006B57D2"/>
    <w:rsid w:val="006C470E"/>
    <w:rsid w:val="006E1C0F"/>
    <w:rsid w:val="006F02D7"/>
    <w:rsid w:val="00700BAF"/>
    <w:rsid w:val="00711A3F"/>
    <w:rsid w:val="00752C32"/>
    <w:rsid w:val="00793452"/>
    <w:rsid w:val="007B46AE"/>
    <w:rsid w:val="007B799E"/>
    <w:rsid w:val="007C5525"/>
    <w:rsid w:val="007E5299"/>
    <w:rsid w:val="007E614D"/>
    <w:rsid w:val="00834645"/>
    <w:rsid w:val="00846845"/>
    <w:rsid w:val="0084758C"/>
    <w:rsid w:val="008D442A"/>
    <w:rsid w:val="008E5256"/>
    <w:rsid w:val="00936406"/>
    <w:rsid w:val="00953D65"/>
    <w:rsid w:val="00961672"/>
    <w:rsid w:val="0098746F"/>
    <w:rsid w:val="009E41FC"/>
    <w:rsid w:val="009F39BE"/>
    <w:rsid w:val="00A03532"/>
    <w:rsid w:val="00A3654C"/>
    <w:rsid w:val="00A42589"/>
    <w:rsid w:val="00A51676"/>
    <w:rsid w:val="00A72102"/>
    <w:rsid w:val="00A74138"/>
    <w:rsid w:val="00A749C1"/>
    <w:rsid w:val="00A76EAB"/>
    <w:rsid w:val="00A919F9"/>
    <w:rsid w:val="00AA6C3F"/>
    <w:rsid w:val="00AA70C0"/>
    <w:rsid w:val="00AB342D"/>
    <w:rsid w:val="00AF1B38"/>
    <w:rsid w:val="00AF27B8"/>
    <w:rsid w:val="00AF378D"/>
    <w:rsid w:val="00B61A6B"/>
    <w:rsid w:val="00B62F4C"/>
    <w:rsid w:val="00B75EF8"/>
    <w:rsid w:val="00BB4469"/>
    <w:rsid w:val="00BB45CE"/>
    <w:rsid w:val="00BD6CC2"/>
    <w:rsid w:val="00BE2AC1"/>
    <w:rsid w:val="00C648B3"/>
    <w:rsid w:val="00CA6E83"/>
    <w:rsid w:val="00CC3AC4"/>
    <w:rsid w:val="00CE432D"/>
    <w:rsid w:val="00D07E8B"/>
    <w:rsid w:val="00D14DA3"/>
    <w:rsid w:val="00D17C9E"/>
    <w:rsid w:val="00D21932"/>
    <w:rsid w:val="00D50C6F"/>
    <w:rsid w:val="00D71E06"/>
    <w:rsid w:val="00E1459D"/>
    <w:rsid w:val="00E15C74"/>
    <w:rsid w:val="00E51298"/>
    <w:rsid w:val="00F21686"/>
    <w:rsid w:val="00F33730"/>
    <w:rsid w:val="00F65D15"/>
    <w:rsid w:val="00FB0E6A"/>
    <w:rsid w:val="00FC596C"/>
    <w:rsid w:val="00FE4E8D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42D55"/>
  <w15:docId w15:val="{9836CB36-0E8A-4371-B8EF-56AB62C6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B6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B5B1B"/>
    <w:pPr>
      <w:keepNext/>
      <w:tabs>
        <w:tab w:val="left" w:pos="5400"/>
      </w:tabs>
      <w:jc w:val="left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A749C1"/>
    <w:pPr>
      <w:spacing w:after="160"/>
    </w:pPr>
    <w:rPr>
      <w:szCs w:val="20"/>
      <w:lang w:val="en-GB"/>
    </w:rPr>
  </w:style>
  <w:style w:type="character" w:customStyle="1" w:styleId="Char">
    <w:name w:val="메모 텍스트 Char"/>
    <w:basedOn w:val="a0"/>
    <w:link w:val="a3"/>
    <w:uiPriority w:val="99"/>
    <w:rsid w:val="00A749C1"/>
    <w:rPr>
      <w:szCs w:val="20"/>
      <w:lang w:val="en-GB"/>
    </w:rPr>
  </w:style>
  <w:style w:type="character" w:styleId="a4">
    <w:name w:val="annotation reference"/>
    <w:basedOn w:val="a0"/>
    <w:uiPriority w:val="99"/>
    <w:semiHidden/>
    <w:unhideWhenUsed/>
    <w:rsid w:val="00A749C1"/>
    <w:rPr>
      <w:sz w:val="16"/>
      <w:szCs w:val="16"/>
    </w:rPr>
  </w:style>
  <w:style w:type="paragraph" w:styleId="a5">
    <w:name w:val="Balloon Text"/>
    <w:basedOn w:val="a"/>
    <w:link w:val="Char0"/>
    <w:uiPriority w:val="99"/>
    <w:semiHidden/>
    <w:unhideWhenUsed/>
    <w:rsid w:val="00A74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A749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97D5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397D50"/>
  </w:style>
  <w:style w:type="paragraph" w:styleId="a7">
    <w:name w:val="footer"/>
    <w:basedOn w:val="a"/>
    <w:link w:val="Char2"/>
    <w:unhideWhenUsed/>
    <w:rsid w:val="00397D5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397D50"/>
  </w:style>
  <w:style w:type="table" w:styleId="a8">
    <w:name w:val="Table Grid"/>
    <w:basedOn w:val="a1"/>
    <w:uiPriority w:val="59"/>
    <w:rsid w:val="002A2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044AE9"/>
  </w:style>
  <w:style w:type="paragraph" w:customStyle="1" w:styleId="TableNote">
    <w:name w:val="TableNote"/>
    <w:basedOn w:val="a"/>
    <w:rsid w:val="00044AE9"/>
    <w:pPr>
      <w:widowControl/>
      <w:wordWrap/>
      <w:autoSpaceDE/>
      <w:autoSpaceDN/>
      <w:spacing w:line="300" w:lineRule="exact"/>
      <w:jc w:val="left"/>
    </w:pPr>
    <w:rPr>
      <w:rFonts w:ascii="Times New Roman" w:eastAsia="Malgun Gothic" w:hAnsi="Times New Roman" w:cs="Times New Roman"/>
      <w:kern w:val="0"/>
      <w:sz w:val="24"/>
      <w:szCs w:val="20"/>
      <w:lang w:val="en-GB" w:eastAsia="en-US"/>
    </w:rPr>
  </w:style>
  <w:style w:type="paragraph" w:customStyle="1" w:styleId="TableTitle">
    <w:name w:val="TableTitle"/>
    <w:basedOn w:val="a"/>
    <w:rsid w:val="00044AE9"/>
    <w:pPr>
      <w:widowControl/>
      <w:wordWrap/>
      <w:autoSpaceDE/>
      <w:autoSpaceDN/>
      <w:spacing w:line="300" w:lineRule="exact"/>
      <w:jc w:val="left"/>
    </w:pPr>
    <w:rPr>
      <w:rFonts w:ascii="Times New Roman" w:eastAsia="Malgun Gothic" w:hAnsi="Times New Roman" w:cs="Times New Roman"/>
      <w:kern w:val="0"/>
      <w:sz w:val="24"/>
      <w:szCs w:val="20"/>
      <w:lang w:val="en-GB" w:eastAsia="en-US"/>
    </w:rPr>
  </w:style>
  <w:style w:type="paragraph" w:customStyle="1" w:styleId="TableHeader">
    <w:name w:val="TableHeader"/>
    <w:basedOn w:val="a"/>
    <w:rsid w:val="00044AE9"/>
    <w:pPr>
      <w:widowControl/>
      <w:wordWrap/>
      <w:autoSpaceDE/>
      <w:autoSpaceDN/>
      <w:spacing w:before="120"/>
      <w:jc w:val="left"/>
    </w:pPr>
    <w:rPr>
      <w:rFonts w:ascii="Times New Roman" w:eastAsia="Malgun Gothic" w:hAnsi="Times New Roman" w:cs="Times New Roman"/>
      <w:b/>
      <w:kern w:val="0"/>
      <w:sz w:val="24"/>
      <w:szCs w:val="20"/>
      <w:lang w:val="en-GB" w:eastAsia="en-US"/>
    </w:rPr>
  </w:style>
  <w:style w:type="paragraph" w:customStyle="1" w:styleId="TableSubHead">
    <w:name w:val="TableSubHead"/>
    <w:basedOn w:val="TableHeader"/>
    <w:rsid w:val="00044AE9"/>
  </w:style>
  <w:style w:type="character" w:customStyle="1" w:styleId="1Char">
    <w:name w:val="제목 1 Char"/>
    <w:basedOn w:val="a0"/>
    <w:link w:val="1"/>
    <w:uiPriority w:val="9"/>
    <w:rsid w:val="001B5B1B"/>
    <w:rPr>
      <w:b/>
    </w:rPr>
  </w:style>
  <w:style w:type="paragraph" w:styleId="aa">
    <w:name w:val="List Paragraph"/>
    <w:basedOn w:val="a"/>
    <w:uiPriority w:val="34"/>
    <w:qFormat/>
    <w:rsid w:val="00AF378D"/>
    <w:pPr>
      <w:ind w:left="720"/>
      <w:contextualSpacing/>
    </w:pPr>
  </w:style>
  <w:style w:type="paragraph" w:styleId="ab">
    <w:name w:val="annotation subject"/>
    <w:basedOn w:val="a3"/>
    <w:next w:val="a3"/>
    <w:link w:val="Char3"/>
    <w:uiPriority w:val="99"/>
    <w:semiHidden/>
    <w:unhideWhenUsed/>
    <w:rsid w:val="005C7CF7"/>
    <w:pPr>
      <w:spacing w:after="200"/>
    </w:pPr>
    <w:rPr>
      <w:b/>
      <w:bCs/>
      <w:lang w:val="en-US"/>
    </w:rPr>
  </w:style>
  <w:style w:type="character" w:customStyle="1" w:styleId="Char3">
    <w:name w:val="메모 주제 Char"/>
    <w:basedOn w:val="Char"/>
    <w:link w:val="ab"/>
    <w:uiPriority w:val="99"/>
    <w:semiHidden/>
    <w:rsid w:val="005C7CF7"/>
    <w:rPr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7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29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320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518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62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814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8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2638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39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B1B01-848D-4C14-9E5D-793EBE92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chung sungwon</cp:lastModifiedBy>
  <cp:revision>3</cp:revision>
  <dcterms:created xsi:type="dcterms:W3CDTF">2021-03-02T23:00:00Z</dcterms:created>
  <dcterms:modified xsi:type="dcterms:W3CDTF">2021-03-02T23:00:00Z</dcterms:modified>
</cp:coreProperties>
</file>