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C46DD4" w14:textId="77777777" w:rsidR="008661AC" w:rsidRDefault="00DC0B6A">
      <w:pPr>
        <w:spacing w:line="480" w:lineRule="auto"/>
        <w:jc w:val="both"/>
        <w:rPr>
          <w:b/>
          <w:sz w:val="36"/>
          <w:szCs w:val="36"/>
        </w:rPr>
      </w:pPr>
      <w:r>
        <w:rPr>
          <w:sz w:val="20"/>
          <w:szCs w:val="20"/>
        </w:rPr>
        <w:t>ORIGINAL RESEARCH</w:t>
      </w:r>
    </w:p>
    <w:p w14:paraId="23B6536E" w14:textId="77777777" w:rsidR="008661AC" w:rsidRDefault="008661AC">
      <w:pPr>
        <w:pStyle w:val="Heading1"/>
        <w:spacing w:before="0" w:line="480" w:lineRule="auto"/>
      </w:pPr>
      <w:bookmarkStart w:id="0" w:name="_heading=h.gjdgxs" w:colFirst="0" w:colLast="0"/>
      <w:bookmarkEnd w:id="0"/>
    </w:p>
    <w:p w14:paraId="24AB6EB7" w14:textId="77777777" w:rsidR="008661AC" w:rsidRDefault="00DC0B6A">
      <w:pPr>
        <w:pStyle w:val="Heading1"/>
        <w:spacing w:before="0" w:line="480" w:lineRule="auto"/>
        <w:jc w:val="center"/>
        <w:rPr>
          <w:b w:val="0"/>
        </w:rPr>
      </w:pPr>
      <w:r>
        <w:rPr>
          <w:b w:val="0"/>
        </w:rPr>
        <w:t>Supporting Information</w:t>
      </w:r>
    </w:p>
    <w:p w14:paraId="5FC32E75" w14:textId="77777777" w:rsidR="008661AC" w:rsidRDefault="008661AC"/>
    <w:p w14:paraId="5DDA1F62" w14:textId="77777777" w:rsidR="008661AC" w:rsidRDefault="00DC0B6A">
      <w:pPr>
        <w:pStyle w:val="Heading1"/>
        <w:spacing w:before="0" w:line="480" w:lineRule="auto"/>
      </w:pPr>
      <w:r>
        <w:t xml:space="preserve">Enzyme-functionalized mesoporous silica nanoparticles to target </w:t>
      </w:r>
      <w:r>
        <w:rPr>
          <w:i/>
        </w:rPr>
        <w:t>Staphylococcus aureus</w:t>
      </w:r>
      <w:r>
        <w:t xml:space="preserve"> and disperse biofilms</w:t>
      </w:r>
    </w:p>
    <w:p w14:paraId="13F2ED7D" w14:textId="77777777" w:rsidR="008661AC" w:rsidRDefault="008661AC">
      <w:pPr>
        <w:spacing w:line="480" w:lineRule="auto"/>
      </w:pPr>
    </w:p>
    <w:p w14:paraId="698D83B0" w14:textId="77777777" w:rsidR="008661AC" w:rsidRDefault="00DC0B6A">
      <w:pPr>
        <w:spacing w:line="480" w:lineRule="auto"/>
        <w:rPr>
          <w:sz w:val="20"/>
          <w:szCs w:val="20"/>
          <w:vertAlign w:val="superscript"/>
        </w:rPr>
      </w:pPr>
      <w:r>
        <w:rPr>
          <w:sz w:val="20"/>
          <w:szCs w:val="20"/>
        </w:rPr>
        <w:t>Henry Devlin</w:t>
      </w:r>
      <w:r>
        <w:rPr>
          <w:sz w:val="20"/>
          <w:szCs w:val="20"/>
          <w:vertAlign w:val="superscript"/>
        </w:rPr>
        <w:t>1, *</w:t>
      </w:r>
      <w:r>
        <w:rPr>
          <w:sz w:val="20"/>
          <w:szCs w:val="20"/>
        </w:rPr>
        <w:t>, Stephanie Fulaz</w:t>
      </w:r>
      <w:r>
        <w:rPr>
          <w:sz w:val="20"/>
          <w:szCs w:val="20"/>
          <w:vertAlign w:val="superscript"/>
        </w:rPr>
        <w:t>1, *</w:t>
      </w:r>
      <w:r>
        <w:rPr>
          <w:sz w:val="20"/>
          <w:szCs w:val="20"/>
        </w:rPr>
        <w:t>, Dishon Hiebner</w:t>
      </w:r>
      <w:r>
        <w:rPr>
          <w:sz w:val="20"/>
          <w:szCs w:val="20"/>
          <w:vertAlign w:val="superscript"/>
        </w:rPr>
        <w:t>1</w:t>
      </w:r>
      <w:r>
        <w:rPr>
          <w:sz w:val="20"/>
          <w:szCs w:val="20"/>
        </w:rPr>
        <w:t>, James P O'Gara</w:t>
      </w:r>
      <w:r>
        <w:rPr>
          <w:sz w:val="20"/>
          <w:szCs w:val="20"/>
          <w:vertAlign w:val="superscript"/>
        </w:rPr>
        <w:t>2</w:t>
      </w:r>
      <w:r>
        <w:rPr>
          <w:sz w:val="20"/>
          <w:szCs w:val="20"/>
        </w:rPr>
        <w:t>, Eoin Casey</w:t>
      </w:r>
      <w:r>
        <w:rPr>
          <w:sz w:val="20"/>
          <w:szCs w:val="20"/>
          <w:vertAlign w:val="superscript"/>
        </w:rPr>
        <w:t>1</w:t>
      </w:r>
    </w:p>
    <w:p w14:paraId="7501E860" w14:textId="77777777" w:rsidR="008661AC" w:rsidRDefault="008661AC">
      <w:pPr>
        <w:spacing w:line="480" w:lineRule="auto"/>
        <w:rPr>
          <w:sz w:val="20"/>
          <w:szCs w:val="20"/>
        </w:rPr>
      </w:pPr>
    </w:p>
    <w:p w14:paraId="653CAB3A" w14:textId="77777777" w:rsidR="008661AC" w:rsidRDefault="00DC0B6A">
      <w:pPr>
        <w:spacing w:line="480" w:lineRule="auto"/>
        <w:rPr>
          <w:sz w:val="20"/>
          <w:szCs w:val="20"/>
        </w:rPr>
      </w:pPr>
      <w:r>
        <w:rPr>
          <w:sz w:val="20"/>
          <w:szCs w:val="20"/>
          <w:vertAlign w:val="superscript"/>
        </w:rPr>
        <w:t>1</w:t>
      </w:r>
      <w:r>
        <w:rPr>
          <w:sz w:val="20"/>
          <w:szCs w:val="20"/>
        </w:rPr>
        <w:t xml:space="preserve"> UCD School of Chemical and Bioprocess Engineering, University College Dublin, </w:t>
      </w:r>
      <w:proofErr w:type="gramStart"/>
      <w:r>
        <w:rPr>
          <w:sz w:val="20"/>
          <w:szCs w:val="20"/>
        </w:rPr>
        <w:t>Ireland;</w:t>
      </w:r>
      <w:proofErr w:type="gramEnd"/>
    </w:p>
    <w:p w14:paraId="6381AFC0" w14:textId="77777777" w:rsidR="008661AC" w:rsidRDefault="00DC0B6A">
      <w:pPr>
        <w:spacing w:line="480" w:lineRule="auto"/>
        <w:rPr>
          <w:sz w:val="20"/>
          <w:szCs w:val="20"/>
        </w:rPr>
      </w:pPr>
      <w:r>
        <w:rPr>
          <w:sz w:val="20"/>
          <w:szCs w:val="20"/>
          <w:vertAlign w:val="superscript"/>
        </w:rPr>
        <w:t>2</w:t>
      </w:r>
      <w:r>
        <w:rPr>
          <w:sz w:val="20"/>
          <w:szCs w:val="20"/>
        </w:rPr>
        <w:t xml:space="preserve"> Department of Microbiology, School of Natural Sciences, National University of Ireland, Galway, Ireland.</w:t>
      </w:r>
    </w:p>
    <w:p w14:paraId="0140573C" w14:textId="77777777" w:rsidR="008661AC" w:rsidRDefault="008661AC">
      <w:pPr>
        <w:spacing w:line="480" w:lineRule="auto"/>
        <w:rPr>
          <w:sz w:val="20"/>
          <w:szCs w:val="20"/>
        </w:rPr>
      </w:pPr>
    </w:p>
    <w:p w14:paraId="1C5F3D4A" w14:textId="77777777" w:rsidR="008661AC" w:rsidRDefault="008661AC">
      <w:pPr>
        <w:spacing w:line="480" w:lineRule="auto"/>
        <w:rPr>
          <w:sz w:val="20"/>
          <w:szCs w:val="20"/>
        </w:rPr>
      </w:pPr>
    </w:p>
    <w:p w14:paraId="0CBF04F9" w14:textId="77777777" w:rsidR="008661AC" w:rsidRDefault="00DC0B6A">
      <w:pPr>
        <w:spacing w:line="480" w:lineRule="auto"/>
        <w:rPr>
          <w:sz w:val="20"/>
          <w:szCs w:val="20"/>
        </w:rPr>
      </w:pPr>
      <w:r>
        <w:rPr>
          <w:sz w:val="20"/>
          <w:szCs w:val="20"/>
        </w:rPr>
        <w:t>*These authors contributed equally to this work.</w:t>
      </w:r>
    </w:p>
    <w:p w14:paraId="172E6F35" w14:textId="77777777" w:rsidR="008661AC" w:rsidRDefault="008661AC">
      <w:pPr>
        <w:spacing w:line="480" w:lineRule="auto"/>
        <w:rPr>
          <w:sz w:val="20"/>
          <w:szCs w:val="20"/>
        </w:rPr>
      </w:pPr>
    </w:p>
    <w:p w14:paraId="6B6CFC8F" w14:textId="77777777" w:rsidR="008661AC" w:rsidRDefault="008661AC">
      <w:pPr>
        <w:spacing w:line="480" w:lineRule="auto"/>
        <w:rPr>
          <w:sz w:val="20"/>
          <w:szCs w:val="20"/>
        </w:rPr>
      </w:pPr>
    </w:p>
    <w:p w14:paraId="4F21FA43" w14:textId="77777777" w:rsidR="008661AC" w:rsidRDefault="008661AC">
      <w:pPr>
        <w:spacing w:line="480" w:lineRule="auto"/>
        <w:rPr>
          <w:sz w:val="20"/>
          <w:szCs w:val="20"/>
        </w:rPr>
      </w:pPr>
    </w:p>
    <w:p w14:paraId="658ACBC2" w14:textId="77777777" w:rsidR="008661AC" w:rsidRDefault="008661AC">
      <w:pPr>
        <w:spacing w:line="480" w:lineRule="auto"/>
        <w:rPr>
          <w:sz w:val="20"/>
          <w:szCs w:val="20"/>
        </w:rPr>
      </w:pPr>
    </w:p>
    <w:p w14:paraId="18B7AF24" w14:textId="77777777" w:rsidR="008661AC" w:rsidRDefault="008661AC">
      <w:pPr>
        <w:spacing w:line="480" w:lineRule="auto"/>
        <w:rPr>
          <w:sz w:val="20"/>
          <w:szCs w:val="20"/>
        </w:rPr>
      </w:pPr>
    </w:p>
    <w:p w14:paraId="59C6AD80" w14:textId="77777777" w:rsidR="008661AC" w:rsidRDefault="008661AC">
      <w:pPr>
        <w:spacing w:line="480" w:lineRule="auto"/>
        <w:rPr>
          <w:sz w:val="20"/>
          <w:szCs w:val="20"/>
        </w:rPr>
      </w:pPr>
    </w:p>
    <w:p w14:paraId="35FAF4E5" w14:textId="77777777" w:rsidR="008661AC" w:rsidRDefault="00DC0B6A">
      <w:pPr>
        <w:spacing w:line="480" w:lineRule="auto"/>
        <w:rPr>
          <w:sz w:val="20"/>
          <w:szCs w:val="20"/>
        </w:rPr>
      </w:pPr>
      <w:r>
        <w:rPr>
          <w:sz w:val="20"/>
          <w:szCs w:val="20"/>
        </w:rPr>
        <w:t>Correspondence: Eoin Casey</w:t>
      </w:r>
    </w:p>
    <w:p w14:paraId="7791D685" w14:textId="77777777" w:rsidR="008661AC" w:rsidRDefault="00DC0B6A">
      <w:pPr>
        <w:spacing w:line="480" w:lineRule="auto"/>
        <w:rPr>
          <w:sz w:val="20"/>
          <w:szCs w:val="20"/>
        </w:rPr>
      </w:pPr>
      <w:r>
        <w:rPr>
          <w:sz w:val="20"/>
          <w:szCs w:val="20"/>
        </w:rPr>
        <w:t>UCD School of Chemical and Bioprocess Engineering, University College Dublin, Belfield, Dublin 4, Ireland</w:t>
      </w:r>
    </w:p>
    <w:p w14:paraId="30DFAAA6" w14:textId="77777777" w:rsidR="008661AC" w:rsidRDefault="00DC0B6A">
      <w:pPr>
        <w:spacing w:line="480" w:lineRule="auto"/>
        <w:rPr>
          <w:sz w:val="20"/>
          <w:szCs w:val="20"/>
        </w:rPr>
      </w:pPr>
      <w:r>
        <w:rPr>
          <w:sz w:val="20"/>
          <w:szCs w:val="20"/>
        </w:rPr>
        <w:t>Email eoin.casey@ucd.ie</w:t>
      </w:r>
    </w:p>
    <w:p w14:paraId="0FA25F60" w14:textId="77777777" w:rsidR="008661AC" w:rsidRDefault="00DC0B6A">
      <w:pPr>
        <w:spacing w:line="480" w:lineRule="auto"/>
        <w:jc w:val="both"/>
      </w:pPr>
      <w:r>
        <w:rPr>
          <w:noProof/>
        </w:rPr>
        <w:lastRenderedPageBreak/>
        <w:drawing>
          <wp:inline distT="0" distB="0" distL="0" distR="0" wp14:anchorId="75D871F4" wp14:editId="0B988A37">
            <wp:extent cx="5396230" cy="2078355"/>
            <wp:effectExtent l="0" t="0" r="0" b="0"/>
            <wp:docPr id="10" name="image2.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Chart, scatter chart&#10;&#10;Description automatically generated"/>
                    <pic:cNvPicPr preferRelativeResize="0"/>
                  </pic:nvPicPr>
                  <pic:blipFill>
                    <a:blip r:embed="rId5"/>
                    <a:srcRect/>
                    <a:stretch>
                      <a:fillRect/>
                    </a:stretch>
                  </pic:blipFill>
                  <pic:spPr>
                    <a:xfrm>
                      <a:off x="0" y="0"/>
                      <a:ext cx="5396230" cy="2078355"/>
                    </a:xfrm>
                    <a:prstGeom prst="rect">
                      <a:avLst/>
                    </a:prstGeom>
                    <a:ln/>
                  </pic:spPr>
                </pic:pic>
              </a:graphicData>
            </a:graphic>
          </wp:inline>
        </w:drawing>
      </w:r>
    </w:p>
    <w:p w14:paraId="63319AC6" w14:textId="77777777" w:rsidR="008661AC" w:rsidRDefault="00DC0B6A">
      <w:pPr>
        <w:spacing w:line="480" w:lineRule="auto"/>
        <w:jc w:val="both"/>
        <w:rPr>
          <w:sz w:val="20"/>
          <w:szCs w:val="20"/>
        </w:rPr>
      </w:pPr>
      <w:r>
        <w:rPr>
          <w:b/>
          <w:sz w:val="20"/>
          <w:szCs w:val="20"/>
        </w:rPr>
        <w:t xml:space="preserve">Figure S1. (a) </w:t>
      </w:r>
      <w:r>
        <w:rPr>
          <w:sz w:val="20"/>
          <w:szCs w:val="20"/>
        </w:rPr>
        <w:t>BET nitrogen adsorption-desorption isotherms and</w:t>
      </w:r>
      <w:r>
        <w:rPr>
          <w:b/>
          <w:sz w:val="20"/>
          <w:szCs w:val="20"/>
        </w:rPr>
        <w:t xml:space="preserve"> (b) </w:t>
      </w:r>
      <w:r>
        <w:rPr>
          <w:sz w:val="20"/>
          <w:szCs w:val="20"/>
        </w:rPr>
        <w:t>BJH pore size distribution of MSNs.</w:t>
      </w:r>
    </w:p>
    <w:p w14:paraId="010B80EA" w14:textId="77777777" w:rsidR="008661AC" w:rsidRDefault="00DC0B6A">
      <w:pPr>
        <w:spacing w:line="480" w:lineRule="auto"/>
        <w:jc w:val="center"/>
      </w:pPr>
      <w:r>
        <w:rPr>
          <w:noProof/>
        </w:rPr>
        <w:drawing>
          <wp:inline distT="0" distB="0" distL="0" distR="0" wp14:anchorId="75FB1B19" wp14:editId="3D4B73FC">
            <wp:extent cx="5396230" cy="4039870"/>
            <wp:effectExtent l="0" t="0" r="0" b="0"/>
            <wp:docPr id="12" name="image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Diagram&#10;&#10;Description automatically generated"/>
                    <pic:cNvPicPr preferRelativeResize="0"/>
                  </pic:nvPicPr>
                  <pic:blipFill>
                    <a:blip r:embed="rId6"/>
                    <a:srcRect/>
                    <a:stretch>
                      <a:fillRect/>
                    </a:stretch>
                  </pic:blipFill>
                  <pic:spPr>
                    <a:xfrm>
                      <a:off x="0" y="0"/>
                      <a:ext cx="5396230" cy="4039870"/>
                    </a:xfrm>
                    <a:prstGeom prst="rect">
                      <a:avLst/>
                    </a:prstGeom>
                    <a:ln/>
                  </pic:spPr>
                </pic:pic>
              </a:graphicData>
            </a:graphic>
          </wp:inline>
        </w:drawing>
      </w:r>
    </w:p>
    <w:p w14:paraId="315D4276" w14:textId="77777777" w:rsidR="008661AC" w:rsidRDefault="00DC0B6A">
      <w:pPr>
        <w:spacing w:line="480" w:lineRule="auto"/>
        <w:jc w:val="both"/>
      </w:pPr>
      <w:r>
        <w:rPr>
          <w:b/>
          <w:sz w:val="20"/>
          <w:szCs w:val="20"/>
        </w:rPr>
        <w:t xml:space="preserve">Figure S2. </w:t>
      </w:r>
      <w:r>
        <w:rPr>
          <w:sz w:val="20"/>
          <w:szCs w:val="20"/>
        </w:rPr>
        <w:t>FT-IR spectrum of Amine-functionalized MSNs.</w:t>
      </w:r>
    </w:p>
    <w:p w14:paraId="61CB7E36" w14:textId="77777777" w:rsidR="008661AC" w:rsidRDefault="00DC0B6A">
      <w:pPr>
        <w:spacing w:line="480" w:lineRule="auto"/>
        <w:jc w:val="center"/>
      </w:pPr>
      <w:r>
        <w:rPr>
          <w:noProof/>
        </w:rPr>
        <w:lastRenderedPageBreak/>
        <w:drawing>
          <wp:inline distT="0" distB="0" distL="0" distR="0" wp14:anchorId="12AD6596" wp14:editId="211EF992">
            <wp:extent cx="5396230" cy="3760470"/>
            <wp:effectExtent l="0" t="0" r="0" b="0"/>
            <wp:docPr id="11" name="image1.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Chart&#10;&#10;Description automatically generated"/>
                    <pic:cNvPicPr preferRelativeResize="0"/>
                  </pic:nvPicPr>
                  <pic:blipFill>
                    <a:blip r:embed="rId7"/>
                    <a:srcRect/>
                    <a:stretch>
                      <a:fillRect/>
                    </a:stretch>
                  </pic:blipFill>
                  <pic:spPr>
                    <a:xfrm>
                      <a:off x="0" y="0"/>
                      <a:ext cx="5396230" cy="3760470"/>
                    </a:xfrm>
                    <a:prstGeom prst="rect">
                      <a:avLst/>
                    </a:prstGeom>
                    <a:ln/>
                  </pic:spPr>
                </pic:pic>
              </a:graphicData>
            </a:graphic>
          </wp:inline>
        </w:drawing>
      </w:r>
    </w:p>
    <w:p w14:paraId="56B5BEB0" w14:textId="77777777" w:rsidR="008661AC" w:rsidRDefault="00DC0B6A">
      <w:pPr>
        <w:spacing w:line="480" w:lineRule="auto"/>
        <w:jc w:val="both"/>
        <w:rPr>
          <w:sz w:val="20"/>
          <w:szCs w:val="20"/>
        </w:rPr>
      </w:pPr>
      <w:r>
        <w:rPr>
          <w:b/>
          <w:sz w:val="20"/>
          <w:szCs w:val="20"/>
        </w:rPr>
        <w:t xml:space="preserve">Figure S3. </w:t>
      </w:r>
      <w:r>
        <w:rPr>
          <w:sz w:val="20"/>
          <w:szCs w:val="20"/>
          <w:vertAlign w:val="superscript"/>
        </w:rPr>
        <w:t>1</w:t>
      </w:r>
      <w:r>
        <w:rPr>
          <w:sz w:val="20"/>
          <w:szCs w:val="20"/>
        </w:rPr>
        <w:t>H NMR spectrum of Amine-functionalized MSNs.</w:t>
      </w:r>
    </w:p>
    <w:p w14:paraId="156138A9" w14:textId="77777777" w:rsidR="008661AC" w:rsidRDefault="008661AC">
      <w:pPr>
        <w:spacing w:line="480" w:lineRule="auto"/>
        <w:jc w:val="both"/>
        <w:rPr>
          <w:sz w:val="20"/>
          <w:szCs w:val="20"/>
        </w:rPr>
      </w:pPr>
    </w:p>
    <w:p w14:paraId="4DC77340" w14:textId="77777777" w:rsidR="008661AC" w:rsidRDefault="00DC0B6A">
      <w:pPr>
        <w:spacing w:line="480" w:lineRule="auto"/>
        <w:jc w:val="both"/>
        <w:rPr>
          <w:sz w:val="20"/>
          <w:szCs w:val="20"/>
        </w:rPr>
      </w:pPr>
      <w:r>
        <w:rPr>
          <w:b/>
          <w:sz w:val="20"/>
          <w:szCs w:val="20"/>
        </w:rPr>
        <w:t>Table S1.</w:t>
      </w:r>
      <w:r>
        <w:rPr>
          <w:sz w:val="20"/>
          <w:szCs w:val="20"/>
        </w:rPr>
        <w:t xml:space="preserve"> Antimicrobial effects of free Lysostaphin, </w:t>
      </w:r>
      <w:proofErr w:type="spellStart"/>
      <w:r>
        <w:rPr>
          <w:sz w:val="20"/>
          <w:szCs w:val="20"/>
        </w:rPr>
        <w:t>Serrapeptase</w:t>
      </w:r>
      <w:proofErr w:type="spellEnd"/>
      <w:r>
        <w:rPr>
          <w:sz w:val="20"/>
          <w:szCs w:val="20"/>
        </w:rPr>
        <w:t xml:space="preserve"> and DNase I and enzyme loaded MSNs against MRSA and MSSA planktonic bacteria determined by minimum inhibitory concentration (MIC) and minimum biofilm inhibitory concentration (MBIC). Values for MIC and MBIC in relation to the final concentration of enzyme used (µg </w:t>
      </w:r>
      <w:proofErr w:type="gramStart"/>
      <w:r>
        <w:rPr>
          <w:sz w:val="20"/>
          <w:szCs w:val="20"/>
        </w:rPr>
        <w:t>mL</w:t>
      </w:r>
      <w:r>
        <w:rPr>
          <w:sz w:val="20"/>
          <w:szCs w:val="20"/>
          <w:vertAlign w:val="superscript"/>
        </w:rPr>
        <w:t>-1</w:t>
      </w:r>
      <w:proofErr w:type="gramEnd"/>
      <w:r>
        <w:rPr>
          <w:sz w:val="20"/>
          <w:szCs w:val="20"/>
        </w:rPr>
        <w:t>).</w:t>
      </w:r>
    </w:p>
    <w:p w14:paraId="779D3F81" w14:textId="77777777" w:rsidR="008661AC" w:rsidRDefault="008661AC">
      <w:pPr>
        <w:rPr>
          <w:rFonts w:ascii="Times New Roman" w:eastAsia="Times New Roman" w:hAnsi="Times New Roman" w:cs="Times New Roman"/>
        </w:rPr>
      </w:pPr>
      <w:bookmarkStart w:id="1" w:name="_heading=h.30j0zll" w:colFirst="0" w:colLast="0"/>
      <w:bookmarkEnd w:id="1"/>
    </w:p>
    <w:tbl>
      <w:tblPr>
        <w:tblStyle w:val="a1"/>
        <w:tblW w:w="11496" w:type="dxa"/>
        <w:tblInd w:w="-1418" w:type="dxa"/>
        <w:tblLayout w:type="fixed"/>
        <w:tblLook w:val="0400" w:firstRow="0" w:lastRow="0" w:firstColumn="0" w:lastColumn="0" w:noHBand="0" w:noVBand="1"/>
      </w:tblPr>
      <w:tblGrid>
        <w:gridCol w:w="835"/>
        <w:gridCol w:w="696"/>
        <w:gridCol w:w="836"/>
        <w:gridCol w:w="610"/>
        <w:gridCol w:w="850"/>
        <w:gridCol w:w="600"/>
        <w:gridCol w:w="825"/>
        <w:gridCol w:w="708"/>
        <w:gridCol w:w="851"/>
        <w:gridCol w:w="709"/>
        <w:gridCol w:w="850"/>
        <w:gridCol w:w="615"/>
        <w:gridCol w:w="810"/>
        <w:gridCol w:w="850"/>
        <w:gridCol w:w="851"/>
      </w:tblGrid>
      <w:tr w:rsidR="008661AC" w14:paraId="52915C60" w14:textId="77777777">
        <w:trPr>
          <w:trHeight w:val="772"/>
        </w:trPr>
        <w:tc>
          <w:tcPr>
            <w:tcW w:w="835" w:type="dxa"/>
            <w:tcBorders>
              <w:top w:val="single" w:sz="8" w:space="0" w:color="7F7F7F"/>
              <w:bottom w:val="single" w:sz="8" w:space="0" w:color="7F7F7F"/>
            </w:tcBorders>
            <w:tcMar>
              <w:top w:w="100" w:type="dxa"/>
              <w:left w:w="100" w:type="dxa"/>
              <w:bottom w:w="100" w:type="dxa"/>
              <w:right w:w="100" w:type="dxa"/>
            </w:tcMar>
          </w:tcPr>
          <w:p w14:paraId="669A2F39" w14:textId="77777777" w:rsidR="008661AC" w:rsidRDefault="00DC0B6A">
            <w:pPr>
              <w:spacing w:line="480" w:lineRule="auto"/>
              <w:jc w:val="center"/>
              <w:rPr>
                <w:rFonts w:ascii="Times New Roman" w:eastAsia="Times New Roman" w:hAnsi="Times New Roman" w:cs="Times New Roman"/>
              </w:rPr>
            </w:pPr>
            <w:r>
              <w:rPr>
                <w:b/>
                <w:color w:val="000000"/>
                <w:sz w:val="20"/>
                <w:szCs w:val="20"/>
              </w:rPr>
              <w:t> </w:t>
            </w:r>
          </w:p>
        </w:tc>
        <w:tc>
          <w:tcPr>
            <w:tcW w:w="1532" w:type="dxa"/>
            <w:gridSpan w:val="2"/>
            <w:tcBorders>
              <w:top w:val="single" w:sz="8" w:space="0" w:color="7F7F7F"/>
              <w:bottom w:val="single" w:sz="8" w:space="0" w:color="7F7F7F"/>
            </w:tcBorders>
            <w:tcMar>
              <w:top w:w="100" w:type="dxa"/>
              <w:left w:w="100" w:type="dxa"/>
              <w:bottom w:w="100" w:type="dxa"/>
              <w:right w:w="100" w:type="dxa"/>
            </w:tcMar>
            <w:vAlign w:val="center"/>
          </w:tcPr>
          <w:p w14:paraId="4412852F" w14:textId="77777777" w:rsidR="008661AC" w:rsidRDefault="00DC0B6A">
            <w:pPr>
              <w:spacing w:line="480" w:lineRule="auto"/>
              <w:jc w:val="center"/>
              <w:rPr>
                <w:rFonts w:ascii="Times New Roman" w:eastAsia="Times New Roman" w:hAnsi="Times New Roman" w:cs="Times New Roman"/>
              </w:rPr>
            </w:pPr>
            <w:r>
              <w:rPr>
                <w:b/>
                <w:color w:val="000000"/>
                <w:sz w:val="20"/>
                <w:szCs w:val="20"/>
              </w:rPr>
              <w:t>Lys</w:t>
            </w:r>
          </w:p>
          <w:p w14:paraId="158C2FFF" w14:textId="77777777" w:rsidR="008661AC" w:rsidRDefault="00DC0B6A">
            <w:pPr>
              <w:spacing w:line="480" w:lineRule="auto"/>
              <w:jc w:val="center"/>
              <w:rPr>
                <w:rFonts w:ascii="Times New Roman" w:eastAsia="Times New Roman" w:hAnsi="Times New Roman" w:cs="Times New Roman"/>
              </w:rPr>
            </w:pPr>
            <w:r>
              <w:rPr>
                <w:b/>
                <w:color w:val="000000"/>
                <w:sz w:val="20"/>
                <w:szCs w:val="20"/>
              </w:rPr>
              <w:t xml:space="preserve">(µg </w:t>
            </w:r>
            <w:proofErr w:type="gramStart"/>
            <w:r>
              <w:rPr>
                <w:b/>
                <w:color w:val="000000"/>
                <w:sz w:val="20"/>
                <w:szCs w:val="20"/>
              </w:rPr>
              <w:t>mL</w:t>
            </w:r>
            <w:r>
              <w:rPr>
                <w:b/>
                <w:color w:val="000000"/>
                <w:sz w:val="12"/>
                <w:szCs w:val="12"/>
                <w:vertAlign w:val="superscript"/>
              </w:rPr>
              <w:t>-1</w:t>
            </w:r>
            <w:proofErr w:type="gramEnd"/>
            <w:r>
              <w:rPr>
                <w:b/>
                <w:color w:val="000000"/>
                <w:sz w:val="20"/>
                <w:szCs w:val="20"/>
              </w:rPr>
              <w:t>)</w:t>
            </w:r>
          </w:p>
        </w:tc>
        <w:tc>
          <w:tcPr>
            <w:tcW w:w="1460" w:type="dxa"/>
            <w:gridSpan w:val="2"/>
            <w:tcBorders>
              <w:top w:val="single" w:sz="8" w:space="0" w:color="7F7F7F"/>
              <w:bottom w:val="single" w:sz="8" w:space="0" w:color="7F7F7F"/>
            </w:tcBorders>
            <w:tcMar>
              <w:top w:w="100" w:type="dxa"/>
              <w:left w:w="100" w:type="dxa"/>
              <w:bottom w:w="100" w:type="dxa"/>
              <w:right w:w="100" w:type="dxa"/>
            </w:tcMar>
            <w:vAlign w:val="center"/>
          </w:tcPr>
          <w:p w14:paraId="3E1A0DE6" w14:textId="77777777" w:rsidR="008661AC" w:rsidRDefault="00DC0B6A">
            <w:pPr>
              <w:spacing w:line="480" w:lineRule="auto"/>
              <w:jc w:val="center"/>
              <w:rPr>
                <w:rFonts w:ascii="Times New Roman" w:eastAsia="Times New Roman" w:hAnsi="Times New Roman" w:cs="Times New Roman"/>
              </w:rPr>
            </w:pPr>
            <w:r>
              <w:rPr>
                <w:b/>
                <w:color w:val="000000"/>
                <w:sz w:val="20"/>
                <w:szCs w:val="20"/>
              </w:rPr>
              <w:t>Ser</w:t>
            </w:r>
          </w:p>
          <w:p w14:paraId="0893F63E" w14:textId="77777777" w:rsidR="008661AC" w:rsidRDefault="00DC0B6A">
            <w:pPr>
              <w:spacing w:line="480" w:lineRule="auto"/>
              <w:jc w:val="center"/>
              <w:rPr>
                <w:rFonts w:ascii="Times New Roman" w:eastAsia="Times New Roman" w:hAnsi="Times New Roman" w:cs="Times New Roman"/>
              </w:rPr>
            </w:pPr>
            <w:r>
              <w:rPr>
                <w:b/>
                <w:color w:val="000000"/>
                <w:sz w:val="20"/>
                <w:szCs w:val="20"/>
              </w:rPr>
              <w:t xml:space="preserve">(µg </w:t>
            </w:r>
            <w:proofErr w:type="gramStart"/>
            <w:r>
              <w:rPr>
                <w:b/>
                <w:color w:val="000000"/>
                <w:sz w:val="20"/>
                <w:szCs w:val="20"/>
              </w:rPr>
              <w:t>mL</w:t>
            </w:r>
            <w:r>
              <w:rPr>
                <w:b/>
                <w:color w:val="000000"/>
                <w:sz w:val="12"/>
                <w:szCs w:val="12"/>
                <w:vertAlign w:val="superscript"/>
              </w:rPr>
              <w:t>-1</w:t>
            </w:r>
            <w:proofErr w:type="gramEnd"/>
            <w:r>
              <w:rPr>
                <w:b/>
                <w:color w:val="000000"/>
                <w:sz w:val="20"/>
                <w:szCs w:val="20"/>
              </w:rPr>
              <w:t>)</w:t>
            </w:r>
          </w:p>
        </w:tc>
        <w:tc>
          <w:tcPr>
            <w:tcW w:w="1425" w:type="dxa"/>
            <w:gridSpan w:val="2"/>
            <w:tcBorders>
              <w:top w:val="single" w:sz="8" w:space="0" w:color="7F7F7F"/>
              <w:bottom w:val="single" w:sz="8" w:space="0" w:color="7F7F7F"/>
            </w:tcBorders>
            <w:tcMar>
              <w:top w:w="100" w:type="dxa"/>
              <w:left w:w="100" w:type="dxa"/>
              <w:bottom w:w="100" w:type="dxa"/>
              <w:right w:w="100" w:type="dxa"/>
            </w:tcMar>
            <w:vAlign w:val="center"/>
          </w:tcPr>
          <w:p w14:paraId="2F5A5927" w14:textId="77777777" w:rsidR="008661AC" w:rsidRDefault="00DC0B6A">
            <w:pPr>
              <w:spacing w:line="480" w:lineRule="auto"/>
              <w:jc w:val="center"/>
              <w:rPr>
                <w:rFonts w:ascii="Times New Roman" w:eastAsia="Times New Roman" w:hAnsi="Times New Roman" w:cs="Times New Roman"/>
              </w:rPr>
            </w:pPr>
            <w:r>
              <w:rPr>
                <w:b/>
                <w:color w:val="000000"/>
                <w:sz w:val="20"/>
                <w:szCs w:val="20"/>
              </w:rPr>
              <w:t>DNase I</w:t>
            </w:r>
          </w:p>
          <w:p w14:paraId="381B0296" w14:textId="77777777" w:rsidR="008661AC" w:rsidRDefault="00DC0B6A">
            <w:pPr>
              <w:spacing w:line="480" w:lineRule="auto"/>
              <w:jc w:val="center"/>
              <w:rPr>
                <w:rFonts w:ascii="Times New Roman" w:eastAsia="Times New Roman" w:hAnsi="Times New Roman" w:cs="Times New Roman"/>
              </w:rPr>
            </w:pPr>
            <w:r>
              <w:rPr>
                <w:b/>
                <w:color w:val="000000"/>
                <w:sz w:val="20"/>
                <w:szCs w:val="20"/>
              </w:rPr>
              <w:t xml:space="preserve">(µg </w:t>
            </w:r>
            <w:proofErr w:type="gramStart"/>
            <w:r>
              <w:rPr>
                <w:b/>
                <w:color w:val="000000"/>
                <w:sz w:val="20"/>
                <w:szCs w:val="20"/>
              </w:rPr>
              <w:t>mL</w:t>
            </w:r>
            <w:r>
              <w:rPr>
                <w:b/>
                <w:color w:val="000000"/>
                <w:sz w:val="12"/>
                <w:szCs w:val="12"/>
                <w:vertAlign w:val="superscript"/>
              </w:rPr>
              <w:t>-1</w:t>
            </w:r>
            <w:proofErr w:type="gramEnd"/>
            <w:r>
              <w:rPr>
                <w:b/>
                <w:color w:val="000000"/>
                <w:sz w:val="20"/>
                <w:szCs w:val="20"/>
              </w:rPr>
              <w:t>)</w:t>
            </w:r>
          </w:p>
        </w:tc>
        <w:tc>
          <w:tcPr>
            <w:tcW w:w="1559" w:type="dxa"/>
            <w:gridSpan w:val="2"/>
            <w:tcBorders>
              <w:top w:val="single" w:sz="8" w:space="0" w:color="7F7F7F"/>
              <w:bottom w:val="single" w:sz="8" w:space="0" w:color="7F7F7F"/>
            </w:tcBorders>
            <w:tcMar>
              <w:top w:w="100" w:type="dxa"/>
              <w:left w:w="100" w:type="dxa"/>
              <w:bottom w:w="100" w:type="dxa"/>
              <w:right w:w="100" w:type="dxa"/>
            </w:tcMar>
            <w:vAlign w:val="center"/>
          </w:tcPr>
          <w:p w14:paraId="7F3F1106" w14:textId="77777777" w:rsidR="008661AC" w:rsidRDefault="00DC0B6A">
            <w:pPr>
              <w:spacing w:line="480" w:lineRule="auto"/>
              <w:jc w:val="center"/>
              <w:rPr>
                <w:rFonts w:ascii="Times New Roman" w:eastAsia="Times New Roman" w:hAnsi="Times New Roman" w:cs="Times New Roman"/>
              </w:rPr>
            </w:pPr>
            <w:proofErr w:type="spellStart"/>
            <w:r>
              <w:rPr>
                <w:b/>
                <w:color w:val="000000"/>
                <w:sz w:val="20"/>
                <w:szCs w:val="20"/>
              </w:rPr>
              <w:t>Lys@MSN</w:t>
            </w:r>
            <w:proofErr w:type="spellEnd"/>
          </w:p>
          <w:p w14:paraId="317D1FE5" w14:textId="77777777" w:rsidR="008661AC" w:rsidRDefault="00DC0B6A">
            <w:pPr>
              <w:spacing w:line="480" w:lineRule="auto"/>
              <w:jc w:val="center"/>
              <w:rPr>
                <w:rFonts w:ascii="Times New Roman" w:eastAsia="Times New Roman" w:hAnsi="Times New Roman" w:cs="Times New Roman"/>
              </w:rPr>
            </w:pPr>
            <w:r>
              <w:rPr>
                <w:b/>
                <w:color w:val="000000"/>
                <w:sz w:val="20"/>
                <w:szCs w:val="20"/>
              </w:rPr>
              <w:t xml:space="preserve">(µg </w:t>
            </w:r>
            <w:proofErr w:type="gramStart"/>
            <w:r>
              <w:rPr>
                <w:b/>
                <w:color w:val="000000"/>
                <w:sz w:val="20"/>
                <w:szCs w:val="20"/>
              </w:rPr>
              <w:t>mL</w:t>
            </w:r>
            <w:r>
              <w:rPr>
                <w:b/>
                <w:color w:val="000000"/>
                <w:sz w:val="12"/>
                <w:szCs w:val="12"/>
                <w:vertAlign w:val="superscript"/>
              </w:rPr>
              <w:t>-1</w:t>
            </w:r>
            <w:proofErr w:type="gramEnd"/>
            <w:r>
              <w:rPr>
                <w:b/>
                <w:color w:val="000000"/>
                <w:sz w:val="20"/>
                <w:szCs w:val="20"/>
              </w:rPr>
              <w:t>)</w:t>
            </w:r>
          </w:p>
        </w:tc>
        <w:tc>
          <w:tcPr>
            <w:tcW w:w="1559" w:type="dxa"/>
            <w:gridSpan w:val="2"/>
            <w:tcBorders>
              <w:top w:val="single" w:sz="8" w:space="0" w:color="7F7F7F"/>
              <w:bottom w:val="single" w:sz="8" w:space="0" w:color="7F7F7F"/>
            </w:tcBorders>
            <w:tcMar>
              <w:top w:w="100" w:type="dxa"/>
              <w:left w:w="100" w:type="dxa"/>
              <w:bottom w:w="100" w:type="dxa"/>
              <w:right w:w="100" w:type="dxa"/>
            </w:tcMar>
            <w:vAlign w:val="center"/>
          </w:tcPr>
          <w:p w14:paraId="283D72D4" w14:textId="77777777" w:rsidR="008661AC" w:rsidRDefault="00DC0B6A">
            <w:pPr>
              <w:spacing w:line="480" w:lineRule="auto"/>
              <w:jc w:val="center"/>
              <w:rPr>
                <w:rFonts w:ascii="Times New Roman" w:eastAsia="Times New Roman" w:hAnsi="Times New Roman" w:cs="Times New Roman"/>
              </w:rPr>
            </w:pPr>
            <w:proofErr w:type="spellStart"/>
            <w:r>
              <w:rPr>
                <w:b/>
                <w:color w:val="000000"/>
                <w:sz w:val="20"/>
                <w:szCs w:val="20"/>
              </w:rPr>
              <w:t>Ser@MSN</w:t>
            </w:r>
            <w:proofErr w:type="spellEnd"/>
          </w:p>
          <w:p w14:paraId="586AF24D" w14:textId="77777777" w:rsidR="008661AC" w:rsidRDefault="00DC0B6A">
            <w:pPr>
              <w:spacing w:line="480" w:lineRule="auto"/>
              <w:jc w:val="center"/>
              <w:rPr>
                <w:rFonts w:ascii="Times New Roman" w:eastAsia="Times New Roman" w:hAnsi="Times New Roman" w:cs="Times New Roman"/>
              </w:rPr>
            </w:pPr>
            <w:r>
              <w:rPr>
                <w:b/>
                <w:color w:val="000000"/>
                <w:sz w:val="20"/>
                <w:szCs w:val="20"/>
              </w:rPr>
              <w:t xml:space="preserve">(µg </w:t>
            </w:r>
            <w:proofErr w:type="gramStart"/>
            <w:r>
              <w:rPr>
                <w:b/>
                <w:color w:val="000000"/>
                <w:sz w:val="20"/>
                <w:szCs w:val="20"/>
              </w:rPr>
              <w:t>mL</w:t>
            </w:r>
            <w:r>
              <w:rPr>
                <w:b/>
                <w:color w:val="000000"/>
                <w:sz w:val="12"/>
                <w:szCs w:val="12"/>
                <w:vertAlign w:val="superscript"/>
              </w:rPr>
              <w:t>-1</w:t>
            </w:r>
            <w:proofErr w:type="gramEnd"/>
            <w:r>
              <w:rPr>
                <w:b/>
                <w:color w:val="000000"/>
                <w:sz w:val="20"/>
                <w:szCs w:val="20"/>
              </w:rPr>
              <w:t>)</w:t>
            </w:r>
          </w:p>
        </w:tc>
        <w:tc>
          <w:tcPr>
            <w:tcW w:w="1425" w:type="dxa"/>
            <w:gridSpan w:val="2"/>
            <w:tcBorders>
              <w:top w:val="single" w:sz="8" w:space="0" w:color="7F7F7F"/>
              <w:bottom w:val="single" w:sz="8" w:space="0" w:color="7F7F7F"/>
            </w:tcBorders>
            <w:tcMar>
              <w:top w:w="100" w:type="dxa"/>
              <w:left w:w="100" w:type="dxa"/>
              <w:bottom w:w="100" w:type="dxa"/>
              <w:right w:w="100" w:type="dxa"/>
            </w:tcMar>
            <w:vAlign w:val="center"/>
          </w:tcPr>
          <w:p w14:paraId="19DE5229" w14:textId="77777777" w:rsidR="008661AC" w:rsidRDefault="00DC0B6A">
            <w:pPr>
              <w:spacing w:line="480" w:lineRule="auto"/>
              <w:jc w:val="center"/>
              <w:rPr>
                <w:rFonts w:ascii="Times New Roman" w:eastAsia="Times New Roman" w:hAnsi="Times New Roman" w:cs="Times New Roman"/>
              </w:rPr>
            </w:pPr>
            <w:r>
              <w:rPr>
                <w:b/>
                <w:color w:val="000000"/>
                <w:sz w:val="20"/>
                <w:szCs w:val="20"/>
              </w:rPr>
              <w:t>DN@MSN</w:t>
            </w:r>
          </w:p>
          <w:p w14:paraId="0102AEBD" w14:textId="77777777" w:rsidR="008661AC" w:rsidRDefault="00DC0B6A">
            <w:pPr>
              <w:spacing w:line="480" w:lineRule="auto"/>
              <w:jc w:val="center"/>
              <w:rPr>
                <w:rFonts w:ascii="Times New Roman" w:eastAsia="Times New Roman" w:hAnsi="Times New Roman" w:cs="Times New Roman"/>
              </w:rPr>
            </w:pPr>
            <w:r>
              <w:rPr>
                <w:b/>
                <w:color w:val="000000"/>
                <w:sz w:val="20"/>
                <w:szCs w:val="20"/>
              </w:rPr>
              <w:t xml:space="preserve">(µg </w:t>
            </w:r>
            <w:proofErr w:type="gramStart"/>
            <w:r>
              <w:rPr>
                <w:b/>
                <w:color w:val="000000"/>
                <w:sz w:val="20"/>
                <w:szCs w:val="20"/>
              </w:rPr>
              <w:t>mL</w:t>
            </w:r>
            <w:r>
              <w:rPr>
                <w:b/>
                <w:color w:val="000000"/>
                <w:sz w:val="12"/>
                <w:szCs w:val="12"/>
                <w:vertAlign w:val="superscript"/>
              </w:rPr>
              <w:t>-1</w:t>
            </w:r>
            <w:proofErr w:type="gramEnd"/>
            <w:r>
              <w:rPr>
                <w:b/>
                <w:color w:val="000000"/>
                <w:sz w:val="20"/>
                <w:szCs w:val="20"/>
              </w:rPr>
              <w:t>)</w:t>
            </w:r>
          </w:p>
        </w:tc>
        <w:tc>
          <w:tcPr>
            <w:tcW w:w="1701" w:type="dxa"/>
            <w:gridSpan w:val="2"/>
            <w:tcBorders>
              <w:top w:val="single" w:sz="8" w:space="0" w:color="7F7F7F"/>
              <w:bottom w:val="single" w:sz="8" w:space="0" w:color="7F7F7F"/>
            </w:tcBorders>
            <w:tcMar>
              <w:top w:w="100" w:type="dxa"/>
              <w:left w:w="100" w:type="dxa"/>
              <w:bottom w:w="100" w:type="dxa"/>
              <w:right w:w="100" w:type="dxa"/>
            </w:tcMar>
            <w:vAlign w:val="center"/>
          </w:tcPr>
          <w:p w14:paraId="5EF632D8" w14:textId="77777777" w:rsidR="008661AC" w:rsidRDefault="00DC0B6A">
            <w:pPr>
              <w:spacing w:line="480" w:lineRule="auto"/>
              <w:jc w:val="center"/>
              <w:rPr>
                <w:rFonts w:ascii="Times New Roman" w:eastAsia="Times New Roman" w:hAnsi="Times New Roman" w:cs="Times New Roman"/>
              </w:rPr>
            </w:pPr>
            <w:r>
              <w:rPr>
                <w:b/>
                <w:color w:val="000000"/>
                <w:sz w:val="20"/>
                <w:szCs w:val="20"/>
              </w:rPr>
              <w:t>MSN unloaded</w:t>
            </w:r>
          </w:p>
          <w:p w14:paraId="26096C6D" w14:textId="77777777" w:rsidR="008661AC" w:rsidRDefault="00DC0B6A">
            <w:pPr>
              <w:spacing w:line="480" w:lineRule="auto"/>
              <w:jc w:val="center"/>
              <w:rPr>
                <w:rFonts w:ascii="Times New Roman" w:eastAsia="Times New Roman" w:hAnsi="Times New Roman" w:cs="Times New Roman"/>
              </w:rPr>
            </w:pPr>
            <w:r>
              <w:rPr>
                <w:b/>
                <w:color w:val="000000"/>
                <w:sz w:val="20"/>
                <w:szCs w:val="20"/>
              </w:rPr>
              <w:t xml:space="preserve">(µg </w:t>
            </w:r>
            <w:proofErr w:type="gramStart"/>
            <w:r>
              <w:rPr>
                <w:b/>
                <w:color w:val="000000"/>
                <w:sz w:val="20"/>
                <w:szCs w:val="20"/>
              </w:rPr>
              <w:t>mL</w:t>
            </w:r>
            <w:r>
              <w:rPr>
                <w:b/>
                <w:color w:val="000000"/>
                <w:sz w:val="12"/>
                <w:szCs w:val="12"/>
                <w:vertAlign w:val="superscript"/>
              </w:rPr>
              <w:t>-1</w:t>
            </w:r>
            <w:proofErr w:type="gramEnd"/>
            <w:r>
              <w:rPr>
                <w:b/>
                <w:color w:val="000000"/>
                <w:sz w:val="20"/>
                <w:szCs w:val="20"/>
              </w:rPr>
              <w:t>)</w:t>
            </w:r>
          </w:p>
        </w:tc>
      </w:tr>
      <w:tr w:rsidR="008661AC" w14:paraId="253BDED7" w14:textId="77777777">
        <w:trPr>
          <w:trHeight w:val="482"/>
        </w:trPr>
        <w:tc>
          <w:tcPr>
            <w:tcW w:w="835" w:type="dxa"/>
            <w:tcBorders>
              <w:top w:val="single" w:sz="8" w:space="0" w:color="7F7F7F"/>
              <w:bottom w:val="single" w:sz="8" w:space="0" w:color="7F7F7F"/>
            </w:tcBorders>
            <w:tcMar>
              <w:top w:w="100" w:type="dxa"/>
              <w:left w:w="100" w:type="dxa"/>
              <w:bottom w:w="100" w:type="dxa"/>
              <w:right w:w="100" w:type="dxa"/>
            </w:tcMar>
          </w:tcPr>
          <w:p w14:paraId="2D91B35B" w14:textId="77777777" w:rsidR="008661AC" w:rsidRDefault="00DC0B6A">
            <w:pPr>
              <w:spacing w:line="480" w:lineRule="auto"/>
              <w:jc w:val="center"/>
              <w:rPr>
                <w:rFonts w:ascii="Times New Roman" w:eastAsia="Times New Roman" w:hAnsi="Times New Roman" w:cs="Times New Roman"/>
              </w:rPr>
            </w:pPr>
            <w:r>
              <w:rPr>
                <w:b/>
                <w:color w:val="000000"/>
                <w:sz w:val="20"/>
                <w:szCs w:val="20"/>
              </w:rPr>
              <w:t>Strain</w:t>
            </w:r>
          </w:p>
        </w:tc>
        <w:tc>
          <w:tcPr>
            <w:tcW w:w="696" w:type="dxa"/>
            <w:tcBorders>
              <w:top w:val="single" w:sz="8" w:space="0" w:color="7F7F7F"/>
              <w:bottom w:val="single" w:sz="8" w:space="0" w:color="7F7F7F"/>
            </w:tcBorders>
            <w:tcMar>
              <w:top w:w="100" w:type="dxa"/>
              <w:left w:w="100" w:type="dxa"/>
              <w:bottom w:w="100" w:type="dxa"/>
              <w:right w:w="100" w:type="dxa"/>
            </w:tcMar>
          </w:tcPr>
          <w:p w14:paraId="499A73CA" w14:textId="77777777" w:rsidR="008661AC" w:rsidRDefault="00DC0B6A">
            <w:pPr>
              <w:spacing w:line="480" w:lineRule="auto"/>
              <w:jc w:val="center"/>
              <w:rPr>
                <w:rFonts w:ascii="Times New Roman" w:eastAsia="Times New Roman" w:hAnsi="Times New Roman" w:cs="Times New Roman"/>
              </w:rPr>
            </w:pPr>
            <w:r>
              <w:rPr>
                <w:b/>
                <w:color w:val="000000"/>
                <w:sz w:val="20"/>
                <w:szCs w:val="20"/>
              </w:rPr>
              <w:t>MIC</w:t>
            </w:r>
          </w:p>
        </w:tc>
        <w:tc>
          <w:tcPr>
            <w:tcW w:w="836" w:type="dxa"/>
            <w:tcBorders>
              <w:top w:val="single" w:sz="8" w:space="0" w:color="7F7F7F"/>
              <w:bottom w:val="single" w:sz="8" w:space="0" w:color="7F7F7F"/>
            </w:tcBorders>
            <w:tcMar>
              <w:top w:w="100" w:type="dxa"/>
              <w:left w:w="100" w:type="dxa"/>
              <w:bottom w:w="100" w:type="dxa"/>
              <w:right w:w="100" w:type="dxa"/>
            </w:tcMar>
          </w:tcPr>
          <w:p w14:paraId="4558DC08" w14:textId="77777777" w:rsidR="008661AC" w:rsidRDefault="00DC0B6A">
            <w:pPr>
              <w:spacing w:line="480" w:lineRule="auto"/>
              <w:jc w:val="center"/>
              <w:rPr>
                <w:rFonts w:ascii="Times New Roman" w:eastAsia="Times New Roman" w:hAnsi="Times New Roman" w:cs="Times New Roman"/>
              </w:rPr>
            </w:pPr>
            <w:r>
              <w:rPr>
                <w:b/>
                <w:color w:val="000000"/>
                <w:sz w:val="20"/>
                <w:szCs w:val="20"/>
              </w:rPr>
              <w:t>MBIC</w:t>
            </w:r>
          </w:p>
        </w:tc>
        <w:tc>
          <w:tcPr>
            <w:tcW w:w="610" w:type="dxa"/>
            <w:tcBorders>
              <w:top w:val="single" w:sz="8" w:space="0" w:color="7F7F7F"/>
              <w:bottom w:val="single" w:sz="8" w:space="0" w:color="7F7F7F"/>
            </w:tcBorders>
            <w:tcMar>
              <w:top w:w="100" w:type="dxa"/>
              <w:left w:w="100" w:type="dxa"/>
              <w:bottom w:w="100" w:type="dxa"/>
              <w:right w:w="100" w:type="dxa"/>
            </w:tcMar>
          </w:tcPr>
          <w:p w14:paraId="7CFDFBF7" w14:textId="77777777" w:rsidR="008661AC" w:rsidRDefault="00DC0B6A">
            <w:pPr>
              <w:spacing w:line="480" w:lineRule="auto"/>
              <w:jc w:val="center"/>
              <w:rPr>
                <w:rFonts w:ascii="Times New Roman" w:eastAsia="Times New Roman" w:hAnsi="Times New Roman" w:cs="Times New Roman"/>
              </w:rPr>
            </w:pPr>
            <w:r>
              <w:rPr>
                <w:b/>
                <w:color w:val="000000"/>
                <w:sz w:val="20"/>
                <w:szCs w:val="20"/>
              </w:rPr>
              <w:t>MIC</w:t>
            </w:r>
          </w:p>
        </w:tc>
        <w:tc>
          <w:tcPr>
            <w:tcW w:w="850" w:type="dxa"/>
            <w:tcBorders>
              <w:top w:val="single" w:sz="8" w:space="0" w:color="7F7F7F"/>
              <w:bottom w:val="single" w:sz="8" w:space="0" w:color="7F7F7F"/>
            </w:tcBorders>
            <w:tcMar>
              <w:top w:w="100" w:type="dxa"/>
              <w:left w:w="100" w:type="dxa"/>
              <w:bottom w:w="100" w:type="dxa"/>
              <w:right w:w="100" w:type="dxa"/>
            </w:tcMar>
          </w:tcPr>
          <w:p w14:paraId="36B82380" w14:textId="77777777" w:rsidR="008661AC" w:rsidRDefault="00DC0B6A">
            <w:pPr>
              <w:spacing w:line="480" w:lineRule="auto"/>
              <w:jc w:val="center"/>
              <w:rPr>
                <w:rFonts w:ascii="Times New Roman" w:eastAsia="Times New Roman" w:hAnsi="Times New Roman" w:cs="Times New Roman"/>
              </w:rPr>
            </w:pPr>
            <w:r>
              <w:rPr>
                <w:b/>
                <w:color w:val="000000"/>
                <w:sz w:val="20"/>
                <w:szCs w:val="20"/>
              </w:rPr>
              <w:t>MBIC</w:t>
            </w:r>
          </w:p>
        </w:tc>
        <w:tc>
          <w:tcPr>
            <w:tcW w:w="600" w:type="dxa"/>
            <w:tcBorders>
              <w:top w:val="single" w:sz="8" w:space="0" w:color="7F7F7F"/>
              <w:bottom w:val="single" w:sz="8" w:space="0" w:color="7F7F7F"/>
            </w:tcBorders>
            <w:tcMar>
              <w:top w:w="100" w:type="dxa"/>
              <w:left w:w="100" w:type="dxa"/>
              <w:bottom w:w="100" w:type="dxa"/>
              <w:right w:w="100" w:type="dxa"/>
            </w:tcMar>
          </w:tcPr>
          <w:p w14:paraId="5136A736" w14:textId="77777777" w:rsidR="008661AC" w:rsidRDefault="00DC0B6A">
            <w:pPr>
              <w:spacing w:line="480" w:lineRule="auto"/>
              <w:jc w:val="center"/>
              <w:rPr>
                <w:rFonts w:ascii="Times New Roman" w:eastAsia="Times New Roman" w:hAnsi="Times New Roman" w:cs="Times New Roman"/>
              </w:rPr>
            </w:pPr>
            <w:r>
              <w:rPr>
                <w:b/>
                <w:color w:val="000000"/>
                <w:sz w:val="20"/>
                <w:szCs w:val="20"/>
              </w:rPr>
              <w:t>MIC</w:t>
            </w:r>
          </w:p>
        </w:tc>
        <w:tc>
          <w:tcPr>
            <w:tcW w:w="825" w:type="dxa"/>
            <w:tcBorders>
              <w:top w:val="single" w:sz="8" w:space="0" w:color="7F7F7F"/>
              <w:bottom w:val="single" w:sz="8" w:space="0" w:color="7F7F7F"/>
            </w:tcBorders>
            <w:tcMar>
              <w:top w:w="100" w:type="dxa"/>
              <w:left w:w="100" w:type="dxa"/>
              <w:bottom w:w="100" w:type="dxa"/>
              <w:right w:w="100" w:type="dxa"/>
            </w:tcMar>
          </w:tcPr>
          <w:p w14:paraId="38B9A7EC" w14:textId="77777777" w:rsidR="008661AC" w:rsidRDefault="00DC0B6A">
            <w:pPr>
              <w:spacing w:line="480" w:lineRule="auto"/>
              <w:jc w:val="center"/>
              <w:rPr>
                <w:rFonts w:ascii="Times New Roman" w:eastAsia="Times New Roman" w:hAnsi="Times New Roman" w:cs="Times New Roman"/>
              </w:rPr>
            </w:pPr>
            <w:r>
              <w:rPr>
                <w:b/>
                <w:color w:val="000000"/>
                <w:sz w:val="20"/>
                <w:szCs w:val="20"/>
              </w:rPr>
              <w:t>MBIC</w:t>
            </w:r>
          </w:p>
        </w:tc>
        <w:tc>
          <w:tcPr>
            <w:tcW w:w="708" w:type="dxa"/>
            <w:tcBorders>
              <w:top w:val="single" w:sz="8" w:space="0" w:color="7F7F7F"/>
              <w:bottom w:val="single" w:sz="8" w:space="0" w:color="7F7F7F"/>
            </w:tcBorders>
            <w:tcMar>
              <w:top w:w="100" w:type="dxa"/>
              <w:left w:w="100" w:type="dxa"/>
              <w:bottom w:w="100" w:type="dxa"/>
              <w:right w:w="100" w:type="dxa"/>
            </w:tcMar>
          </w:tcPr>
          <w:p w14:paraId="456BD264" w14:textId="77777777" w:rsidR="008661AC" w:rsidRDefault="00DC0B6A">
            <w:pPr>
              <w:spacing w:line="480" w:lineRule="auto"/>
              <w:jc w:val="center"/>
              <w:rPr>
                <w:rFonts w:ascii="Times New Roman" w:eastAsia="Times New Roman" w:hAnsi="Times New Roman" w:cs="Times New Roman"/>
              </w:rPr>
            </w:pPr>
            <w:r>
              <w:rPr>
                <w:b/>
                <w:color w:val="000000"/>
                <w:sz w:val="20"/>
                <w:szCs w:val="20"/>
              </w:rPr>
              <w:t>MIC</w:t>
            </w:r>
          </w:p>
        </w:tc>
        <w:tc>
          <w:tcPr>
            <w:tcW w:w="851" w:type="dxa"/>
            <w:tcBorders>
              <w:top w:val="single" w:sz="8" w:space="0" w:color="7F7F7F"/>
              <w:bottom w:val="single" w:sz="8" w:space="0" w:color="7F7F7F"/>
            </w:tcBorders>
            <w:tcMar>
              <w:top w:w="100" w:type="dxa"/>
              <w:left w:w="100" w:type="dxa"/>
              <w:bottom w:w="100" w:type="dxa"/>
              <w:right w:w="100" w:type="dxa"/>
            </w:tcMar>
          </w:tcPr>
          <w:p w14:paraId="54730F02" w14:textId="77777777" w:rsidR="008661AC" w:rsidRDefault="00DC0B6A">
            <w:pPr>
              <w:spacing w:line="480" w:lineRule="auto"/>
              <w:jc w:val="center"/>
              <w:rPr>
                <w:rFonts w:ascii="Times New Roman" w:eastAsia="Times New Roman" w:hAnsi="Times New Roman" w:cs="Times New Roman"/>
              </w:rPr>
            </w:pPr>
            <w:r>
              <w:rPr>
                <w:b/>
                <w:color w:val="000000"/>
                <w:sz w:val="20"/>
                <w:szCs w:val="20"/>
              </w:rPr>
              <w:t>MBIC</w:t>
            </w:r>
          </w:p>
        </w:tc>
        <w:tc>
          <w:tcPr>
            <w:tcW w:w="709" w:type="dxa"/>
            <w:tcBorders>
              <w:top w:val="single" w:sz="8" w:space="0" w:color="7F7F7F"/>
              <w:bottom w:val="single" w:sz="8" w:space="0" w:color="7F7F7F"/>
            </w:tcBorders>
            <w:tcMar>
              <w:top w:w="100" w:type="dxa"/>
              <w:left w:w="100" w:type="dxa"/>
              <w:bottom w:w="100" w:type="dxa"/>
              <w:right w:w="100" w:type="dxa"/>
            </w:tcMar>
          </w:tcPr>
          <w:p w14:paraId="5D13A0E8" w14:textId="77777777" w:rsidR="008661AC" w:rsidRDefault="00DC0B6A">
            <w:pPr>
              <w:spacing w:line="480" w:lineRule="auto"/>
              <w:jc w:val="center"/>
              <w:rPr>
                <w:rFonts w:ascii="Times New Roman" w:eastAsia="Times New Roman" w:hAnsi="Times New Roman" w:cs="Times New Roman"/>
              </w:rPr>
            </w:pPr>
            <w:r>
              <w:rPr>
                <w:b/>
                <w:color w:val="000000"/>
                <w:sz w:val="20"/>
                <w:szCs w:val="20"/>
              </w:rPr>
              <w:t>MIC</w:t>
            </w:r>
          </w:p>
        </w:tc>
        <w:tc>
          <w:tcPr>
            <w:tcW w:w="850" w:type="dxa"/>
            <w:tcBorders>
              <w:top w:val="single" w:sz="8" w:space="0" w:color="7F7F7F"/>
              <w:bottom w:val="single" w:sz="8" w:space="0" w:color="7F7F7F"/>
            </w:tcBorders>
            <w:tcMar>
              <w:top w:w="100" w:type="dxa"/>
              <w:left w:w="100" w:type="dxa"/>
              <w:bottom w:w="100" w:type="dxa"/>
              <w:right w:w="100" w:type="dxa"/>
            </w:tcMar>
          </w:tcPr>
          <w:p w14:paraId="5510D4AC" w14:textId="77777777" w:rsidR="008661AC" w:rsidRDefault="00DC0B6A">
            <w:pPr>
              <w:spacing w:line="480" w:lineRule="auto"/>
              <w:jc w:val="center"/>
              <w:rPr>
                <w:rFonts w:ascii="Times New Roman" w:eastAsia="Times New Roman" w:hAnsi="Times New Roman" w:cs="Times New Roman"/>
              </w:rPr>
            </w:pPr>
            <w:r>
              <w:rPr>
                <w:b/>
                <w:color w:val="000000"/>
                <w:sz w:val="20"/>
                <w:szCs w:val="20"/>
              </w:rPr>
              <w:t>MBIC</w:t>
            </w:r>
          </w:p>
        </w:tc>
        <w:tc>
          <w:tcPr>
            <w:tcW w:w="615" w:type="dxa"/>
            <w:tcBorders>
              <w:top w:val="single" w:sz="8" w:space="0" w:color="7F7F7F"/>
              <w:bottom w:val="single" w:sz="8" w:space="0" w:color="7F7F7F"/>
            </w:tcBorders>
            <w:tcMar>
              <w:top w:w="100" w:type="dxa"/>
              <w:left w:w="100" w:type="dxa"/>
              <w:bottom w:w="100" w:type="dxa"/>
              <w:right w:w="100" w:type="dxa"/>
            </w:tcMar>
          </w:tcPr>
          <w:p w14:paraId="01BBB603" w14:textId="77777777" w:rsidR="008661AC" w:rsidRDefault="00DC0B6A">
            <w:pPr>
              <w:spacing w:line="480" w:lineRule="auto"/>
              <w:jc w:val="center"/>
              <w:rPr>
                <w:rFonts w:ascii="Times New Roman" w:eastAsia="Times New Roman" w:hAnsi="Times New Roman" w:cs="Times New Roman"/>
              </w:rPr>
            </w:pPr>
            <w:r>
              <w:rPr>
                <w:b/>
                <w:color w:val="000000"/>
                <w:sz w:val="20"/>
                <w:szCs w:val="20"/>
              </w:rPr>
              <w:t>MIC</w:t>
            </w:r>
          </w:p>
        </w:tc>
        <w:tc>
          <w:tcPr>
            <w:tcW w:w="810" w:type="dxa"/>
            <w:tcBorders>
              <w:top w:val="single" w:sz="8" w:space="0" w:color="7F7F7F"/>
              <w:bottom w:val="single" w:sz="8" w:space="0" w:color="7F7F7F"/>
            </w:tcBorders>
            <w:tcMar>
              <w:top w:w="100" w:type="dxa"/>
              <w:left w:w="100" w:type="dxa"/>
              <w:bottom w:w="100" w:type="dxa"/>
              <w:right w:w="100" w:type="dxa"/>
            </w:tcMar>
          </w:tcPr>
          <w:p w14:paraId="1942374E" w14:textId="77777777" w:rsidR="008661AC" w:rsidRDefault="00DC0B6A">
            <w:pPr>
              <w:spacing w:line="480" w:lineRule="auto"/>
              <w:jc w:val="center"/>
              <w:rPr>
                <w:rFonts w:ascii="Times New Roman" w:eastAsia="Times New Roman" w:hAnsi="Times New Roman" w:cs="Times New Roman"/>
              </w:rPr>
            </w:pPr>
            <w:r>
              <w:rPr>
                <w:b/>
                <w:color w:val="000000"/>
                <w:sz w:val="20"/>
                <w:szCs w:val="20"/>
              </w:rPr>
              <w:t>MBIC</w:t>
            </w:r>
          </w:p>
        </w:tc>
        <w:tc>
          <w:tcPr>
            <w:tcW w:w="850" w:type="dxa"/>
            <w:tcBorders>
              <w:top w:val="single" w:sz="8" w:space="0" w:color="7F7F7F"/>
              <w:bottom w:val="single" w:sz="8" w:space="0" w:color="7F7F7F"/>
            </w:tcBorders>
            <w:tcMar>
              <w:top w:w="100" w:type="dxa"/>
              <w:left w:w="100" w:type="dxa"/>
              <w:bottom w:w="100" w:type="dxa"/>
              <w:right w:w="100" w:type="dxa"/>
            </w:tcMar>
          </w:tcPr>
          <w:p w14:paraId="1C50773E" w14:textId="77777777" w:rsidR="008661AC" w:rsidRDefault="00DC0B6A">
            <w:pPr>
              <w:spacing w:line="480" w:lineRule="auto"/>
              <w:jc w:val="center"/>
              <w:rPr>
                <w:rFonts w:ascii="Times New Roman" w:eastAsia="Times New Roman" w:hAnsi="Times New Roman" w:cs="Times New Roman"/>
              </w:rPr>
            </w:pPr>
            <w:r>
              <w:rPr>
                <w:b/>
                <w:color w:val="000000"/>
                <w:sz w:val="20"/>
                <w:szCs w:val="20"/>
              </w:rPr>
              <w:t>MIC</w:t>
            </w:r>
          </w:p>
        </w:tc>
        <w:tc>
          <w:tcPr>
            <w:tcW w:w="851" w:type="dxa"/>
            <w:tcBorders>
              <w:top w:val="single" w:sz="8" w:space="0" w:color="7F7F7F"/>
              <w:bottom w:val="single" w:sz="8" w:space="0" w:color="7F7F7F"/>
            </w:tcBorders>
            <w:tcMar>
              <w:top w:w="100" w:type="dxa"/>
              <w:left w:w="100" w:type="dxa"/>
              <w:bottom w:w="100" w:type="dxa"/>
              <w:right w:w="100" w:type="dxa"/>
            </w:tcMar>
          </w:tcPr>
          <w:p w14:paraId="55FB5013" w14:textId="77777777" w:rsidR="008661AC" w:rsidRDefault="00DC0B6A">
            <w:pPr>
              <w:spacing w:line="480" w:lineRule="auto"/>
              <w:jc w:val="center"/>
              <w:rPr>
                <w:rFonts w:ascii="Times New Roman" w:eastAsia="Times New Roman" w:hAnsi="Times New Roman" w:cs="Times New Roman"/>
              </w:rPr>
            </w:pPr>
            <w:r>
              <w:rPr>
                <w:b/>
                <w:color w:val="000000"/>
                <w:sz w:val="20"/>
                <w:szCs w:val="20"/>
              </w:rPr>
              <w:t>MBIC</w:t>
            </w:r>
          </w:p>
        </w:tc>
      </w:tr>
      <w:tr w:rsidR="008661AC" w14:paraId="14054B6B" w14:textId="77777777">
        <w:trPr>
          <w:trHeight w:val="482"/>
        </w:trPr>
        <w:tc>
          <w:tcPr>
            <w:tcW w:w="835" w:type="dxa"/>
            <w:tcBorders>
              <w:top w:val="single" w:sz="8" w:space="0" w:color="7F7F7F"/>
              <w:bottom w:val="single" w:sz="8" w:space="0" w:color="7F7F7F"/>
            </w:tcBorders>
            <w:tcMar>
              <w:top w:w="100" w:type="dxa"/>
              <w:left w:w="100" w:type="dxa"/>
              <w:bottom w:w="100" w:type="dxa"/>
              <w:right w:w="100" w:type="dxa"/>
            </w:tcMar>
          </w:tcPr>
          <w:p w14:paraId="04E0B434" w14:textId="77777777" w:rsidR="008661AC" w:rsidRDefault="00DC0B6A">
            <w:pPr>
              <w:spacing w:line="480" w:lineRule="auto"/>
              <w:jc w:val="center"/>
              <w:rPr>
                <w:rFonts w:ascii="Times New Roman" w:eastAsia="Times New Roman" w:hAnsi="Times New Roman" w:cs="Times New Roman"/>
              </w:rPr>
            </w:pPr>
            <w:r>
              <w:rPr>
                <w:b/>
                <w:color w:val="000000"/>
                <w:sz w:val="20"/>
                <w:szCs w:val="20"/>
              </w:rPr>
              <w:t>MRSA</w:t>
            </w:r>
          </w:p>
        </w:tc>
        <w:tc>
          <w:tcPr>
            <w:tcW w:w="696" w:type="dxa"/>
            <w:tcBorders>
              <w:top w:val="single" w:sz="8" w:space="0" w:color="7F7F7F"/>
              <w:bottom w:val="single" w:sz="8" w:space="0" w:color="7F7F7F"/>
            </w:tcBorders>
            <w:tcMar>
              <w:top w:w="100" w:type="dxa"/>
              <w:left w:w="100" w:type="dxa"/>
              <w:bottom w:w="100" w:type="dxa"/>
              <w:right w:w="100" w:type="dxa"/>
            </w:tcMar>
          </w:tcPr>
          <w:p w14:paraId="3B6DD70E" w14:textId="77777777" w:rsidR="008661AC" w:rsidRDefault="00DC0B6A">
            <w:pPr>
              <w:spacing w:line="480" w:lineRule="auto"/>
              <w:jc w:val="center"/>
              <w:rPr>
                <w:rFonts w:ascii="Times New Roman" w:eastAsia="Times New Roman" w:hAnsi="Times New Roman" w:cs="Times New Roman"/>
              </w:rPr>
            </w:pPr>
            <w:r>
              <w:rPr>
                <w:color w:val="000000"/>
                <w:sz w:val="20"/>
                <w:szCs w:val="20"/>
              </w:rPr>
              <w:t>0.15</w:t>
            </w:r>
          </w:p>
        </w:tc>
        <w:tc>
          <w:tcPr>
            <w:tcW w:w="836" w:type="dxa"/>
            <w:tcBorders>
              <w:top w:val="single" w:sz="8" w:space="0" w:color="7F7F7F"/>
              <w:bottom w:val="single" w:sz="8" w:space="0" w:color="7F7F7F"/>
            </w:tcBorders>
            <w:tcMar>
              <w:top w:w="100" w:type="dxa"/>
              <w:left w:w="100" w:type="dxa"/>
              <w:bottom w:w="100" w:type="dxa"/>
              <w:right w:w="100" w:type="dxa"/>
            </w:tcMar>
          </w:tcPr>
          <w:p w14:paraId="7FDFF558" w14:textId="77777777" w:rsidR="008661AC" w:rsidRDefault="00DC0B6A">
            <w:pPr>
              <w:spacing w:line="480" w:lineRule="auto"/>
              <w:jc w:val="center"/>
              <w:rPr>
                <w:rFonts w:ascii="Times New Roman" w:eastAsia="Times New Roman" w:hAnsi="Times New Roman" w:cs="Times New Roman"/>
              </w:rPr>
            </w:pPr>
            <w:r>
              <w:rPr>
                <w:color w:val="000000"/>
                <w:sz w:val="20"/>
                <w:szCs w:val="20"/>
              </w:rPr>
              <w:t>0.2</w:t>
            </w:r>
          </w:p>
        </w:tc>
        <w:tc>
          <w:tcPr>
            <w:tcW w:w="610" w:type="dxa"/>
            <w:tcBorders>
              <w:top w:val="single" w:sz="8" w:space="0" w:color="7F7F7F"/>
              <w:bottom w:val="single" w:sz="8" w:space="0" w:color="7F7F7F"/>
            </w:tcBorders>
            <w:tcMar>
              <w:top w:w="100" w:type="dxa"/>
              <w:left w:w="100" w:type="dxa"/>
              <w:bottom w:w="100" w:type="dxa"/>
              <w:right w:w="100" w:type="dxa"/>
            </w:tcMar>
          </w:tcPr>
          <w:p w14:paraId="4DD43930" w14:textId="77777777" w:rsidR="008661AC" w:rsidRDefault="00DC0B6A">
            <w:pPr>
              <w:spacing w:line="480" w:lineRule="auto"/>
              <w:jc w:val="center"/>
              <w:rPr>
                <w:rFonts w:ascii="Times New Roman" w:eastAsia="Times New Roman" w:hAnsi="Times New Roman" w:cs="Times New Roman"/>
              </w:rPr>
            </w:pPr>
            <w:r>
              <w:rPr>
                <w:color w:val="000000"/>
                <w:sz w:val="20"/>
                <w:szCs w:val="20"/>
              </w:rPr>
              <w:t>N/A</w:t>
            </w:r>
          </w:p>
        </w:tc>
        <w:tc>
          <w:tcPr>
            <w:tcW w:w="850" w:type="dxa"/>
            <w:tcBorders>
              <w:top w:val="single" w:sz="8" w:space="0" w:color="7F7F7F"/>
              <w:bottom w:val="single" w:sz="8" w:space="0" w:color="7F7F7F"/>
            </w:tcBorders>
            <w:tcMar>
              <w:top w:w="100" w:type="dxa"/>
              <w:left w:w="100" w:type="dxa"/>
              <w:bottom w:w="100" w:type="dxa"/>
              <w:right w:w="100" w:type="dxa"/>
            </w:tcMar>
          </w:tcPr>
          <w:p w14:paraId="61A2C8F7" w14:textId="77777777" w:rsidR="008661AC" w:rsidRDefault="00DC0B6A">
            <w:pPr>
              <w:spacing w:line="480" w:lineRule="auto"/>
              <w:jc w:val="center"/>
              <w:rPr>
                <w:rFonts w:ascii="Times New Roman" w:eastAsia="Times New Roman" w:hAnsi="Times New Roman" w:cs="Times New Roman"/>
              </w:rPr>
            </w:pPr>
            <w:r>
              <w:rPr>
                <w:color w:val="000000"/>
                <w:sz w:val="20"/>
                <w:szCs w:val="20"/>
              </w:rPr>
              <w:t>20 </w:t>
            </w:r>
          </w:p>
        </w:tc>
        <w:tc>
          <w:tcPr>
            <w:tcW w:w="600" w:type="dxa"/>
            <w:tcBorders>
              <w:top w:val="single" w:sz="8" w:space="0" w:color="7F7F7F"/>
              <w:bottom w:val="single" w:sz="8" w:space="0" w:color="7F7F7F"/>
            </w:tcBorders>
            <w:tcMar>
              <w:top w:w="100" w:type="dxa"/>
              <w:left w:w="100" w:type="dxa"/>
              <w:bottom w:w="100" w:type="dxa"/>
              <w:right w:w="100" w:type="dxa"/>
            </w:tcMar>
          </w:tcPr>
          <w:p w14:paraId="3D04A677" w14:textId="77777777" w:rsidR="008661AC" w:rsidRDefault="00DC0B6A">
            <w:pPr>
              <w:spacing w:line="480" w:lineRule="auto"/>
              <w:jc w:val="center"/>
              <w:rPr>
                <w:rFonts w:ascii="Times New Roman" w:eastAsia="Times New Roman" w:hAnsi="Times New Roman" w:cs="Times New Roman"/>
              </w:rPr>
            </w:pPr>
            <w:r>
              <w:rPr>
                <w:color w:val="000000"/>
                <w:sz w:val="20"/>
                <w:szCs w:val="20"/>
              </w:rPr>
              <w:t>N/A</w:t>
            </w:r>
          </w:p>
        </w:tc>
        <w:tc>
          <w:tcPr>
            <w:tcW w:w="825" w:type="dxa"/>
            <w:tcBorders>
              <w:top w:val="single" w:sz="8" w:space="0" w:color="7F7F7F"/>
              <w:bottom w:val="single" w:sz="8" w:space="0" w:color="7F7F7F"/>
            </w:tcBorders>
            <w:tcMar>
              <w:top w:w="100" w:type="dxa"/>
              <w:left w:w="100" w:type="dxa"/>
              <w:bottom w:w="100" w:type="dxa"/>
              <w:right w:w="100" w:type="dxa"/>
            </w:tcMar>
          </w:tcPr>
          <w:p w14:paraId="7672EAEF" w14:textId="77777777" w:rsidR="008661AC" w:rsidRDefault="00DC0B6A">
            <w:pPr>
              <w:spacing w:line="480" w:lineRule="auto"/>
              <w:jc w:val="center"/>
              <w:rPr>
                <w:rFonts w:ascii="Times New Roman" w:eastAsia="Times New Roman" w:hAnsi="Times New Roman" w:cs="Times New Roman"/>
              </w:rPr>
            </w:pPr>
            <w:r>
              <w:rPr>
                <w:color w:val="000000"/>
                <w:sz w:val="20"/>
                <w:szCs w:val="20"/>
              </w:rPr>
              <w:t xml:space="preserve"> 7</w:t>
            </w:r>
          </w:p>
        </w:tc>
        <w:tc>
          <w:tcPr>
            <w:tcW w:w="708" w:type="dxa"/>
            <w:tcBorders>
              <w:top w:val="single" w:sz="8" w:space="0" w:color="7F7F7F"/>
              <w:bottom w:val="single" w:sz="8" w:space="0" w:color="7F7F7F"/>
            </w:tcBorders>
            <w:tcMar>
              <w:top w:w="100" w:type="dxa"/>
              <w:left w:w="100" w:type="dxa"/>
              <w:bottom w:w="100" w:type="dxa"/>
              <w:right w:w="100" w:type="dxa"/>
            </w:tcMar>
          </w:tcPr>
          <w:p w14:paraId="31ABCC82" w14:textId="77777777" w:rsidR="008661AC" w:rsidRDefault="00DC0B6A">
            <w:pPr>
              <w:spacing w:line="480" w:lineRule="auto"/>
              <w:jc w:val="center"/>
              <w:rPr>
                <w:rFonts w:ascii="Times New Roman" w:eastAsia="Times New Roman" w:hAnsi="Times New Roman" w:cs="Times New Roman"/>
              </w:rPr>
            </w:pPr>
            <w:r>
              <w:rPr>
                <w:color w:val="000000"/>
                <w:sz w:val="20"/>
                <w:szCs w:val="20"/>
              </w:rPr>
              <w:t>0.02</w:t>
            </w:r>
          </w:p>
        </w:tc>
        <w:tc>
          <w:tcPr>
            <w:tcW w:w="851" w:type="dxa"/>
            <w:tcBorders>
              <w:top w:val="single" w:sz="8" w:space="0" w:color="7F7F7F"/>
              <w:bottom w:val="single" w:sz="8" w:space="0" w:color="7F7F7F"/>
            </w:tcBorders>
            <w:tcMar>
              <w:top w:w="100" w:type="dxa"/>
              <w:left w:w="100" w:type="dxa"/>
              <w:bottom w:w="100" w:type="dxa"/>
              <w:right w:w="100" w:type="dxa"/>
            </w:tcMar>
          </w:tcPr>
          <w:p w14:paraId="26D17078" w14:textId="77777777" w:rsidR="008661AC" w:rsidRDefault="00DC0B6A">
            <w:pPr>
              <w:spacing w:line="480" w:lineRule="auto"/>
              <w:jc w:val="center"/>
              <w:rPr>
                <w:rFonts w:ascii="Times New Roman" w:eastAsia="Times New Roman" w:hAnsi="Times New Roman" w:cs="Times New Roman"/>
              </w:rPr>
            </w:pPr>
            <w:r>
              <w:rPr>
                <w:color w:val="000000"/>
                <w:sz w:val="20"/>
                <w:szCs w:val="20"/>
              </w:rPr>
              <w:t>0.04</w:t>
            </w:r>
          </w:p>
        </w:tc>
        <w:tc>
          <w:tcPr>
            <w:tcW w:w="709" w:type="dxa"/>
            <w:tcBorders>
              <w:top w:val="single" w:sz="8" w:space="0" w:color="7F7F7F"/>
              <w:bottom w:val="single" w:sz="8" w:space="0" w:color="7F7F7F"/>
            </w:tcBorders>
            <w:tcMar>
              <w:top w:w="100" w:type="dxa"/>
              <w:left w:w="100" w:type="dxa"/>
              <w:bottom w:w="100" w:type="dxa"/>
              <w:right w:w="100" w:type="dxa"/>
            </w:tcMar>
          </w:tcPr>
          <w:p w14:paraId="4BD46BE2" w14:textId="77777777" w:rsidR="008661AC" w:rsidRDefault="00DC0B6A">
            <w:pPr>
              <w:spacing w:line="480" w:lineRule="auto"/>
              <w:jc w:val="center"/>
              <w:rPr>
                <w:rFonts w:ascii="Times New Roman" w:eastAsia="Times New Roman" w:hAnsi="Times New Roman" w:cs="Times New Roman"/>
              </w:rPr>
            </w:pPr>
            <w:r>
              <w:rPr>
                <w:color w:val="000000"/>
                <w:sz w:val="20"/>
                <w:szCs w:val="20"/>
              </w:rPr>
              <w:t>N/A</w:t>
            </w:r>
          </w:p>
        </w:tc>
        <w:tc>
          <w:tcPr>
            <w:tcW w:w="850" w:type="dxa"/>
            <w:tcBorders>
              <w:top w:val="single" w:sz="8" w:space="0" w:color="7F7F7F"/>
              <w:bottom w:val="single" w:sz="8" w:space="0" w:color="7F7F7F"/>
            </w:tcBorders>
            <w:tcMar>
              <w:top w:w="100" w:type="dxa"/>
              <w:left w:w="100" w:type="dxa"/>
              <w:bottom w:w="100" w:type="dxa"/>
              <w:right w:w="100" w:type="dxa"/>
            </w:tcMar>
          </w:tcPr>
          <w:p w14:paraId="2F3B9119" w14:textId="77777777" w:rsidR="008661AC" w:rsidRDefault="00DC0B6A">
            <w:pPr>
              <w:spacing w:line="480" w:lineRule="auto"/>
              <w:jc w:val="center"/>
              <w:rPr>
                <w:rFonts w:ascii="Times New Roman" w:eastAsia="Times New Roman" w:hAnsi="Times New Roman" w:cs="Times New Roman"/>
              </w:rPr>
            </w:pPr>
            <w:r>
              <w:rPr>
                <w:color w:val="000000"/>
                <w:sz w:val="20"/>
                <w:szCs w:val="20"/>
              </w:rPr>
              <w:t>4.3 </w:t>
            </w:r>
          </w:p>
        </w:tc>
        <w:tc>
          <w:tcPr>
            <w:tcW w:w="615" w:type="dxa"/>
            <w:tcBorders>
              <w:top w:val="single" w:sz="8" w:space="0" w:color="7F7F7F"/>
              <w:bottom w:val="single" w:sz="8" w:space="0" w:color="7F7F7F"/>
            </w:tcBorders>
            <w:tcMar>
              <w:top w:w="100" w:type="dxa"/>
              <w:left w:w="100" w:type="dxa"/>
              <w:bottom w:w="100" w:type="dxa"/>
              <w:right w:w="100" w:type="dxa"/>
            </w:tcMar>
          </w:tcPr>
          <w:p w14:paraId="1B3A3750" w14:textId="77777777" w:rsidR="008661AC" w:rsidRDefault="00DC0B6A">
            <w:pPr>
              <w:spacing w:line="480" w:lineRule="auto"/>
              <w:jc w:val="center"/>
              <w:rPr>
                <w:rFonts w:ascii="Times New Roman" w:eastAsia="Times New Roman" w:hAnsi="Times New Roman" w:cs="Times New Roman"/>
              </w:rPr>
            </w:pPr>
            <w:r>
              <w:rPr>
                <w:color w:val="000000"/>
                <w:sz w:val="20"/>
                <w:szCs w:val="20"/>
              </w:rPr>
              <w:t>N/A</w:t>
            </w:r>
          </w:p>
        </w:tc>
        <w:tc>
          <w:tcPr>
            <w:tcW w:w="810" w:type="dxa"/>
            <w:tcBorders>
              <w:top w:val="single" w:sz="8" w:space="0" w:color="7F7F7F"/>
              <w:bottom w:val="single" w:sz="8" w:space="0" w:color="7F7F7F"/>
            </w:tcBorders>
            <w:tcMar>
              <w:top w:w="100" w:type="dxa"/>
              <w:left w:w="100" w:type="dxa"/>
              <w:bottom w:w="100" w:type="dxa"/>
              <w:right w:w="100" w:type="dxa"/>
            </w:tcMar>
          </w:tcPr>
          <w:p w14:paraId="2368B9A0" w14:textId="77777777" w:rsidR="008661AC" w:rsidRDefault="00DC0B6A">
            <w:pPr>
              <w:spacing w:line="480" w:lineRule="auto"/>
              <w:jc w:val="center"/>
              <w:rPr>
                <w:rFonts w:ascii="Times New Roman" w:eastAsia="Times New Roman" w:hAnsi="Times New Roman" w:cs="Times New Roman"/>
              </w:rPr>
            </w:pPr>
            <w:r>
              <w:rPr>
                <w:color w:val="000000"/>
                <w:sz w:val="20"/>
                <w:szCs w:val="20"/>
              </w:rPr>
              <w:t>2.2 </w:t>
            </w:r>
          </w:p>
        </w:tc>
        <w:tc>
          <w:tcPr>
            <w:tcW w:w="850" w:type="dxa"/>
            <w:tcBorders>
              <w:top w:val="single" w:sz="8" w:space="0" w:color="7F7F7F"/>
              <w:bottom w:val="single" w:sz="8" w:space="0" w:color="7F7F7F"/>
            </w:tcBorders>
            <w:tcMar>
              <w:top w:w="100" w:type="dxa"/>
              <w:left w:w="100" w:type="dxa"/>
              <w:bottom w:w="100" w:type="dxa"/>
              <w:right w:w="100" w:type="dxa"/>
            </w:tcMar>
          </w:tcPr>
          <w:p w14:paraId="03A6067F" w14:textId="77777777" w:rsidR="008661AC" w:rsidRDefault="00DC0B6A">
            <w:pPr>
              <w:spacing w:line="480" w:lineRule="auto"/>
              <w:jc w:val="center"/>
              <w:rPr>
                <w:rFonts w:ascii="Times New Roman" w:eastAsia="Times New Roman" w:hAnsi="Times New Roman" w:cs="Times New Roman"/>
              </w:rPr>
            </w:pPr>
            <w:r>
              <w:rPr>
                <w:color w:val="000000"/>
                <w:sz w:val="20"/>
                <w:szCs w:val="20"/>
              </w:rPr>
              <w:t>&gt;1000</w:t>
            </w:r>
          </w:p>
        </w:tc>
        <w:tc>
          <w:tcPr>
            <w:tcW w:w="851" w:type="dxa"/>
            <w:tcBorders>
              <w:top w:val="single" w:sz="8" w:space="0" w:color="7F7F7F"/>
              <w:bottom w:val="single" w:sz="8" w:space="0" w:color="7F7F7F"/>
            </w:tcBorders>
            <w:tcMar>
              <w:top w:w="100" w:type="dxa"/>
              <w:left w:w="100" w:type="dxa"/>
              <w:bottom w:w="100" w:type="dxa"/>
              <w:right w:w="100" w:type="dxa"/>
            </w:tcMar>
          </w:tcPr>
          <w:p w14:paraId="1353E1AC" w14:textId="77777777" w:rsidR="008661AC" w:rsidRDefault="00DC0B6A">
            <w:pPr>
              <w:spacing w:line="480" w:lineRule="auto"/>
              <w:jc w:val="center"/>
              <w:rPr>
                <w:rFonts w:ascii="Times New Roman" w:eastAsia="Times New Roman" w:hAnsi="Times New Roman" w:cs="Times New Roman"/>
              </w:rPr>
            </w:pPr>
            <w:r>
              <w:rPr>
                <w:color w:val="000000"/>
                <w:sz w:val="20"/>
                <w:szCs w:val="20"/>
              </w:rPr>
              <w:t>&gt;1000</w:t>
            </w:r>
          </w:p>
        </w:tc>
      </w:tr>
      <w:tr w:rsidR="008661AC" w14:paraId="37CF6F31" w14:textId="77777777">
        <w:trPr>
          <w:trHeight w:val="482"/>
        </w:trPr>
        <w:tc>
          <w:tcPr>
            <w:tcW w:w="835" w:type="dxa"/>
            <w:tcBorders>
              <w:top w:val="single" w:sz="8" w:space="0" w:color="7F7F7F"/>
              <w:bottom w:val="single" w:sz="8" w:space="0" w:color="7F7F7F"/>
            </w:tcBorders>
            <w:tcMar>
              <w:top w:w="100" w:type="dxa"/>
              <w:left w:w="100" w:type="dxa"/>
              <w:bottom w:w="100" w:type="dxa"/>
              <w:right w:w="100" w:type="dxa"/>
            </w:tcMar>
          </w:tcPr>
          <w:p w14:paraId="2A2B09BC" w14:textId="77777777" w:rsidR="008661AC" w:rsidRDefault="00DC0B6A">
            <w:pPr>
              <w:spacing w:line="480" w:lineRule="auto"/>
              <w:jc w:val="center"/>
              <w:rPr>
                <w:rFonts w:ascii="Times New Roman" w:eastAsia="Times New Roman" w:hAnsi="Times New Roman" w:cs="Times New Roman"/>
              </w:rPr>
            </w:pPr>
            <w:r>
              <w:rPr>
                <w:b/>
                <w:color w:val="000000"/>
                <w:sz w:val="20"/>
                <w:szCs w:val="20"/>
              </w:rPr>
              <w:t>MSSA</w:t>
            </w:r>
          </w:p>
        </w:tc>
        <w:tc>
          <w:tcPr>
            <w:tcW w:w="696" w:type="dxa"/>
            <w:tcBorders>
              <w:top w:val="single" w:sz="8" w:space="0" w:color="7F7F7F"/>
              <w:bottom w:val="single" w:sz="8" w:space="0" w:color="7F7F7F"/>
            </w:tcBorders>
            <w:tcMar>
              <w:top w:w="100" w:type="dxa"/>
              <w:left w:w="100" w:type="dxa"/>
              <w:bottom w:w="100" w:type="dxa"/>
              <w:right w:w="100" w:type="dxa"/>
            </w:tcMar>
          </w:tcPr>
          <w:p w14:paraId="50213E2C" w14:textId="77777777" w:rsidR="008661AC" w:rsidRDefault="00DC0B6A">
            <w:pPr>
              <w:spacing w:line="480" w:lineRule="auto"/>
              <w:jc w:val="center"/>
              <w:rPr>
                <w:rFonts w:ascii="Times New Roman" w:eastAsia="Times New Roman" w:hAnsi="Times New Roman" w:cs="Times New Roman"/>
              </w:rPr>
            </w:pPr>
            <w:r>
              <w:rPr>
                <w:color w:val="000000"/>
                <w:sz w:val="20"/>
                <w:szCs w:val="20"/>
              </w:rPr>
              <w:t>0.1</w:t>
            </w:r>
          </w:p>
        </w:tc>
        <w:tc>
          <w:tcPr>
            <w:tcW w:w="836" w:type="dxa"/>
            <w:tcBorders>
              <w:top w:val="single" w:sz="8" w:space="0" w:color="7F7F7F"/>
              <w:bottom w:val="single" w:sz="8" w:space="0" w:color="7F7F7F"/>
            </w:tcBorders>
            <w:tcMar>
              <w:top w:w="100" w:type="dxa"/>
              <w:left w:w="100" w:type="dxa"/>
              <w:bottom w:w="100" w:type="dxa"/>
              <w:right w:w="100" w:type="dxa"/>
            </w:tcMar>
          </w:tcPr>
          <w:p w14:paraId="265B05C3" w14:textId="77777777" w:rsidR="008661AC" w:rsidRDefault="00DC0B6A">
            <w:pPr>
              <w:spacing w:line="480" w:lineRule="auto"/>
              <w:jc w:val="center"/>
              <w:rPr>
                <w:rFonts w:ascii="Times New Roman" w:eastAsia="Times New Roman" w:hAnsi="Times New Roman" w:cs="Times New Roman"/>
              </w:rPr>
            </w:pPr>
            <w:r>
              <w:rPr>
                <w:color w:val="000000"/>
                <w:sz w:val="20"/>
                <w:szCs w:val="20"/>
              </w:rPr>
              <w:t>0.15</w:t>
            </w:r>
          </w:p>
        </w:tc>
        <w:tc>
          <w:tcPr>
            <w:tcW w:w="610" w:type="dxa"/>
            <w:tcBorders>
              <w:top w:val="single" w:sz="8" w:space="0" w:color="7F7F7F"/>
              <w:bottom w:val="single" w:sz="8" w:space="0" w:color="7F7F7F"/>
            </w:tcBorders>
            <w:tcMar>
              <w:top w:w="100" w:type="dxa"/>
              <w:left w:w="100" w:type="dxa"/>
              <w:bottom w:w="100" w:type="dxa"/>
              <w:right w:w="100" w:type="dxa"/>
            </w:tcMar>
          </w:tcPr>
          <w:p w14:paraId="0CF8D346" w14:textId="77777777" w:rsidR="008661AC" w:rsidRDefault="00DC0B6A">
            <w:pPr>
              <w:spacing w:line="480" w:lineRule="auto"/>
              <w:jc w:val="center"/>
              <w:rPr>
                <w:rFonts w:ascii="Times New Roman" w:eastAsia="Times New Roman" w:hAnsi="Times New Roman" w:cs="Times New Roman"/>
              </w:rPr>
            </w:pPr>
            <w:r>
              <w:rPr>
                <w:color w:val="000000"/>
                <w:sz w:val="20"/>
                <w:szCs w:val="20"/>
              </w:rPr>
              <w:t>N/A</w:t>
            </w:r>
          </w:p>
        </w:tc>
        <w:tc>
          <w:tcPr>
            <w:tcW w:w="850" w:type="dxa"/>
            <w:tcBorders>
              <w:top w:val="single" w:sz="8" w:space="0" w:color="7F7F7F"/>
              <w:bottom w:val="single" w:sz="8" w:space="0" w:color="7F7F7F"/>
            </w:tcBorders>
            <w:tcMar>
              <w:top w:w="100" w:type="dxa"/>
              <w:left w:w="100" w:type="dxa"/>
              <w:bottom w:w="100" w:type="dxa"/>
              <w:right w:w="100" w:type="dxa"/>
            </w:tcMar>
          </w:tcPr>
          <w:p w14:paraId="40CDD835" w14:textId="77777777" w:rsidR="008661AC" w:rsidRDefault="00DC0B6A">
            <w:pPr>
              <w:spacing w:line="480" w:lineRule="auto"/>
              <w:jc w:val="center"/>
              <w:rPr>
                <w:rFonts w:ascii="Times New Roman" w:eastAsia="Times New Roman" w:hAnsi="Times New Roman" w:cs="Times New Roman"/>
              </w:rPr>
            </w:pPr>
            <w:r>
              <w:rPr>
                <w:color w:val="000000"/>
                <w:sz w:val="20"/>
                <w:szCs w:val="20"/>
              </w:rPr>
              <w:t xml:space="preserve"> 35</w:t>
            </w:r>
          </w:p>
        </w:tc>
        <w:tc>
          <w:tcPr>
            <w:tcW w:w="600" w:type="dxa"/>
            <w:tcBorders>
              <w:top w:val="single" w:sz="8" w:space="0" w:color="7F7F7F"/>
              <w:bottom w:val="single" w:sz="8" w:space="0" w:color="7F7F7F"/>
            </w:tcBorders>
            <w:tcMar>
              <w:top w:w="100" w:type="dxa"/>
              <w:left w:w="100" w:type="dxa"/>
              <w:bottom w:w="100" w:type="dxa"/>
              <w:right w:w="100" w:type="dxa"/>
            </w:tcMar>
          </w:tcPr>
          <w:p w14:paraId="33EC3070" w14:textId="77777777" w:rsidR="008661AC" w:rsidRDefault="00DC0B6A">
            <w:pPr>
              <w:spacing w:line="480" w:lineRule="auto"/>
              <w:jc w:val="center"/>
              <w:rPr>
                <w:rFonts w:ascii="Times New Roman" w:eastAsia="Times New Roman" w:hAnsi="Times New Roman" w:cs="Times New Roman"/>
              </w:rPr>
            </w:pPr>
            <w:r>
              <w:rPr>
                <w:color w:val="000000"/>
                <w:sz w:val="20"/>
                <w:szCs w:val="20"/>
              </w:rPr>
              <w:t>N/A</w:t>
            </w:r>
          </w:p>
        </w:tc>
        <w:tc>
          <w:tcPr>
            <w:tcW w:w="825" w:type="dxa"/>
            <w:tcBorders>
              <w:top w:val="single" w:sz="8" w:space="0" w:color="7F7F7F"/>
              <w:bottom w:val="single" w:sz="8" w:space="0" w:color="7F7F7F"/>
            </w:tcBorders>
            <w:tcMar>
              <w:top w:w="100" w:type="dxa"/>
              <w:left w:w="100" w:type="dxa"/>
              <w:bottom w:w="100" w:type="dxa"/>
              <w:right w:w="100" w:type="dxa"/>
            </w:tcMar>
          </w:tcPr>
          <w:p w14:paraId="070B0199" w14:textId="77777777" w:rsidR="008661AC" w:rsidRDefault="00DC0B6A">
            <w:pPr>
              <w:spacing w:line="480" w:lineRule="auto"/>
              <w:jc w:val="center"/>
              <w:rPr>
                <w:rFonts w:ascii="Times New Roman" w:eastAsia="Times New Roman" w:hAnsi="Times New Roman" w:cs="Times New Roman"/>
              </w:rPr>
            </w:pPr>
            <w:r>
              <w:rPr>
                <w:color w:val="000000"/>
                <w:sz w:val="20"/>
                <w:szCs w:val="20"/>
              </w:rPr>
              <w:t>40 </w:t>
            </w:r>
          </w:p>
        </w:tc>
        <w:tc>
          <w:tcPr>
            <w:tcW w:w="708" w:type="dxa"/>
            <w:tcBorders>
              <w:top w:val="single" w:sz="8" w:space="0" w:color="7F7F7F"/>
              <w:bottom w:val="single" w:sz="8" w:space="0" w:color="7F7F7F"/>
            </w:tcBorders>
            <w:tcMar>
              <w:top w:w="100" w:type="dxa"/>
              <w:left w:w="100" w:type="dxa"/>
              <w:bottom w:w="100" w:type="dxa"/>
              <w:right w:w="100" w:type="dxa"/>
            </w:tcMar>
          </w:tcPr>
          <w:p w14:paraId="4C48F3F1" w14:textId="77777777" w:rsidR="008661AC" w:rsidRDefault="00DC0B6A">
            <w:pPr>
              <w:spacing w:line="480" w:lineRule="auto"/>
              <w:jc w:val="center"/>
              <w:rPr>
                <w:rFonts w:ascii="Times New Roman" w:eastAsia="Times New Roman" w:hAnsi="Times New Roman" w:cs="Times New Roman"/>
              </w:rPr>
            </w:pPr>
            <w:r>
              <w:rPr>
                <w:color w:val="000000"/>
                <w:sz w:val="20"/>
                <w:szCs w:val="20"/>
              </w:rPr>
              <w:t>0.02</w:t>
            </w:r>
          </w:p>
        </w:tc>
        <w:tc>
          <w:tcPr>
            <w:tcW w:w="851" w:type="dxa"/>
            <w:tcBorders>
              <w:top w:val="single" w:sz="8" w:space="0" w:color="7F7F7F"/>
              <w:bottom w:val="single" w:sz="8" w:space="0" w:color="7F7F7F"/>
            </w:tcBorders>
            <w:tcMar>
              <w:top w:w="100" w:type="dxa"/>
              <w:left w:w="100" w:type="dxa"/>
              <w:bottom w:w="100" w:type="dxa"/>
              <w:right w:w="100" w:type="dxa"/>
            </w:tcMar>
          </w:tcPr>
          <w:p w14:paraId="25C34895" w14:textId="77777777" w:rsidR="008661AC" w:rsidRDefault="00DC0B6A">
            <w:pPr>
              <w:spacing w:line="480" w:lineRule="auto"/>
              <w:jc w:val="center"/>
              <w:rPr>
                <w:rFonts w:ascii="Times New Roman" w:eastAsia="Times New Roman" w:hAnsi="Times New Roman" w:cs="Times New Roman"/>
              </w:rPr>
            </w:pPr>
            <w:r>
              <w:rPr>
                <w:color w:val="000000"/>
                <w:sz w:val="20"/>
                <w:szCs w:val="20"/>
              </w:rPr>
              <w:t>0.04</w:t>
            </w:r>
          </w:p>
        </w:tc>
        <w:tc>
          <w:tcPr>
            <w:tcW w:w="709" w:type="dxa"/>
            <w:tcBorders>
              <w:top w:val="single" w:sz="8" w:space="0" w:color="7F7F7F"/>
              <w:bottom w:val="single" w:sz="8" w:space="0" w:color="7F7F7F"/>
            </w:tcBorders>
            <w:tcMar>
              <w:top w:w="100" w:type="dxa"/>
              <w:left w:w="100" w:type="dxa"/>
              <w:bottom w:w="100" w:type="dxa"/>
              <w:right w:w="100" w:type="dxa"/>
            </w:tcMar>
          </w:tcPr>
          <w:p w14:paraId="4FC44269" w14:textId="77777777" w:rsidR="008661AC" w:rsidRDefault="00DC0B6A">
            <w:pPr>
              <w:spacing w:line="480" w:lineRule="auto"/>
              <w:jc w:val="center"/>
              <w:rPr>
                <w:rFonts w:ascii="Times New Roman" w:eastAsia="Times New Roman" w:hAnsi="Times New Roman" w:cs="Times New Roman"/>
              </w:rPr>
            </w:pPr>
            <w:r>
              <w:rPr>
                <w:color w:val="000000"/>
                <w:sz w:val="20"/>
                <w:szCs w:val="20"/>
              </w:rPr>
              <w:t>N/A</w:t>
            </w:r>
          </w:p>
        </w:tc>
        <w:tc>
          <w:tcPr>
            <w:tcW w:w="850" w:type="dxa"/>
            <w:tcBorders>
              <w:top w:val="single" w:sz="8" w:space="0" w:color="7F7F7F"/>
              <w:bottom w:val="single" w:sz="8" w:space="0" w:color="7F7F7F"/>
            </w:tcBorders>
            <w:tcMar>
              <w:top w:w="100" w:type="dxa"/>
              <w:left w:w="100" w:type="dxa"/>
              <w:bottom w:w="100" w:type="dxa"/>
              <w:right w:w="100" w:type="dxa"/>
            </w:tcMar>
          </w:tcPr>
          <w:p w14:paraId="37349E85" w14:textId="77777777" w:rsidR="008661AC" w:rsidRDefault="00DC0B6A">
            <w:pPr>
              <w:spacing w:line="480" w:lineRule="auto"/>
              <w:jc w:val="center"/>
              <w:rPr>
                <w:rFonts w:ascii="Times New Roman" w:eastAsia="Times New Roman" w:hAnsi="Times New Roman" w:cs="Times New Roman"/>
              </w:rPr>
            </w:pPr>
            <w:r>
              <w:rPr>
                <w:color w:val="000000"/>
                <w:sz w:val="20"/>
                <w:szCs w:val="20"/>
              </w:rPr>
              <w:t>10.8 </w:t>
            </w:r>
          </w:p>
        </w:tc>
        <w:tc>
          <w:tcPr>
            <w:tcW w:w="615" w:type="dxa"/>
            <w:tcBorders>
              <w:top w:val="single" w:sz="8" w:space="0" w:color="7F7F7F"/>
              <w:bottom w:val="single" w:sz="8" w:space="0" w:color="7F7F7F"/>
            </w:tcBorders>
            <w:tcMar>
              <w:top w:w="100" w:type="dxa"/>
              <w:left w:w="100" w:type="dxa"/>
              <w:bottom w:w="100" w:type="dxa"/>
              <w:right w:w="100" w:type="dxa"/>
            </w:tcMar>
          </w:tcPr>
          <w:p w14:paraId="78B22F20" w14:textId="77777777" w:rsidR="008661AC" w:rsidRDefault="00DC0B6A">
            <w:pPr>
              <w:spacing w:line="480" w:lineRule="auto"/>
              <w:jc w:val="center"/>
              <w:rPr>
                <w:rFonts w:ascii="Times New Roman" w:eastAsia="Times New Roman" w:hAnsi="Times New Roman" w:cs="Times New Roman"/>
              </w:rPr>
            </w:pPr>
            <w:r>
              <w:rPr>
                <w:color w:val="000000"/>
                <w:sz w:val="20"/>
                <w:szCs w:val="20"/>
              </w:rPr>
              <w:t>N/A</w:t>
            </w:r>
          </w:p>
        </w:tc>
        <w:tc>
          <w:tcPr>
            <w:tcW w:w="810" w:type="dxa"/>
            <w:tcBorders>
              <w:top w:val="single" w:sz="8" w:space="0" w:color="7F7F7F"/>
              <w:bottom w:val="single" w:sz="8" w:space="0" w:color="7F7F7F"/>
            </w:tcBorders>
            <w:tcMar>
              <w:top w:w="100" w:type="dxa"/>
              <w:left w:w="100" w:type="dxa"/>
              <w:bottom w:w="100" w:type="dxa"/>
              <w:right w:w="100" w:type="dxa"/>
            </w:tcMar>
          </w:tcPr>
          <w:p w14:paraId="66C6E485" w14:textId="77777777" w:rsidR="008661AC" w:rsidRDefault="00DC0B6A">
            <w:pPr>
              <w:spacing w:line="480" w:lineRule="auto"/>
              <w:jc w:val="center"/>
              <w:rPr>
                <w:rFonts w:ascii="Times New Roman" w:eastAsia="Times New Roman" w:hAnsi="Times New Roman" w:cs="Times New Roman"/>
              </w:rPr>
            </w:pPr>
            <w:r>
              <w:rPr>
                <w:color w:val="000000"/>
                <w:sz w:val="20"/>
                <w:szCs w:val="20"/>
              </w:rPr>
              <w:t>5.9 </w:t>
            </w:r>
          </w:p>
        </w:tc>
        <w:tc>
          <w:tcPr>
            <w:tcW w:w="850" w:type="dxa"/>
            <w:tcBorders>
              <w:top w:val="single" w:sz="8" w:space="0" w:color="7F7F7F"/>
              <w:bottom w:val="single" w:sz="8" w:space="0" w:color="7F7F7F"/>
            </w:tcBorders>
            <w:tcMar>
              <w:top w:w="100" w:type="dxa"/>
              <w:left w:w="100" w:type="dxa"/>
              <w:bottom w:w="100" w:type="dxa"/>
              <w:right w:w="100" w:type="dxa"/>
            </w:tcMar>
          </w:tcPr>
          <w:p w14:paraId="7739B2EE" w14:textId="77777777" w:rsidR="008661AC" w:rsidRDefault="00DC0B6A">
            <w:pPr>
              <w:spacing w:line="480" w:lineRule="auto"/>
              <w:jc w:val="center"/>
              <w:rPr>
                <w:rFonts w:ascii="Times New Roman" w:eastAsia="Times New Roman" w:hAnsi="Times New Roman" w:cs="Times New Roman"/>
              </w:rPr>
            </w:pPr>
            <w:r>
              <w:rPr>
                <w:color w:val="000000"/>
                <w:sz w:val="20"/>
                <w:szCs w:val="20"/>
              </w:rPr>
              <w:t>&gt;1000</w:t>
            </w:r>
          </w:p>
        </w:tc>
        <w:tc>
          <w:tcPr>
            <w:tcW w:w="851" w:type="dxa"/>
            <w:tcBorders>
              <w:top w:val="single" w:sz="8" w:space="0" w:color="7F7F7F"/>
              <w:bottom w:val="single" w:sz="8" w:space="0" w:color="7F7F7F"/>
            </w:tcBorders>
            <w:tcMar>
              <w:top w:w="100" w:type="dxa"/>
              <w:left w:w="100" w:type="dxa"/>
              <w:bottom w:w="100" w:type="dxa"/>
              <w:right w:w="100" w:type="dxa"/>
            </w:tcMar>
          </w:tcPr>
          <w:p w14:paraId="7B9254E2" w14:textId="77777777" w:rsidR="008661AC" w:rsidRDefault="00DC0B6A">
            <w:pPr>
              <w:spacing w:line="480" w:lineRule="auto"/>
              <w:jc w:val="center"/>
              <w:rPr>
                <w:rFonts w:ascii="Times New Roman" w:eastAsia="Times New Roman" w:hAnsi="Times New Roman" w:cs="Times New Roman"/>
              </w:rPr>
            </w:pPr>
            <w:r>
              <w:rPr>
                <w:color w:val="000000"/>
                <w:sz w:val="20"/>
                <w:szCs w:val="20"/>
              </w:rPr>
              <w:t>&gt;1000</w:t>
            </w:r>
          </w:p>
        </w:tc>
      </w:tr>
    </w:tbl>
    <w:p w14:paraId="2BE985D7" w14:textId="77777777" w:rsidR="008661AC" w:rsidRDefault="00DC0B6A">
      <w:pPr>
        <w:spacing w:line="480" w:lineRule="auto"/>
        <w:jc w:val="both"/>
      </w:pPr>
      <w:r>
        <w:rPr>
          <w:noProof/>
        </w:rPr>
        <w:lastRenderedPageBreak/>
        <w:drawing>
          <wp:inline distT="0" distB="0" distL="0" distR="0" wp14:anchorId="3C5913DB" wp14:editId="405B8CC7">
            <wp:extent cx="5396230" cy="4685030"/>
            <wp:effectExtent l="0" t="0" r="0" b="0"/>
            <wp:docPr id="14" name="image6.png" descr="Char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6.png" descr="Chart&#10;&#10;Description automatically generated with low confidence"/>
                    <pic:cNvPicPr preferRelativeResize="0"/>
                  </pic:nvPicPr>
                  <pic:blipFill>
                    <a:blip r:embed="rId8"/>
                    <a:srcRect/>
                    <a:stretch>
                      <a:fillRect/>
                    </a:stretch>
                  </pic:blipFill>
                  <pic:spPr>
                    <a:xfrm>
                      <a:off x="0" y="0"/>
                      <a:ext cx="5396230" cy="4685030"/>
                    </a:xfrm>
                    <a:prstGeom prst="rect">
                      <a:avLst/>
                    </a:prstGeom>
                    <a:ln/>
                  </pic:spPr>
                </pic:pic>
              </a:graphicData>
            </a:graphic>
          </wp:inline>
        </w:drawing>
      </w:r>
    </w:p>
    <w:p w14:paraId="38C0572E" w14:textId="460CA340" w:rsidR="008661AC" w:rsidRDefault="00DC0B6A">
      <w:pPr>
        <w:spacing w:line="480" w:lineRule="auto"/>
        <w:jc w:val="both"/>
        <w:rPr>
          <w:sz w:val="20"/>
          <w:szCs w:val="20"/>
        </w:rPr>
      </w:pPr>
      <w:r>
        <w:rPr>
          <w:b/>
          <w:sz w:val="20"/>
          <w:szCs w:val="20"/>
        </w:rPr>
        <w:t xml:space="preserve">Figure S4. </w:t>
      </w:r>
      <w:r>
        <w:rPr>
          <w:sz w:val="20"/>
          <w:szCs w:val="20"/>
        </w:rPr>
        <w:t>Cell viability of (a) 24 h MRSA, (b) 24 h MSSA (c) 48 h MRSA and (d) 48 h MSSA biofilm cells after exposure enzyme-loaded MSNs (0.5 mg mL</w:t>
      </w:r>
      <w:r>
        <w:rPr>
          <w:sz w:val="20"/>
          <w:szCs w:val="20"/>
          <w:vertAlign w:val="superscript"/>
        </w:rPr>
        <w:t>-1</w:t>
      </w:r>
      <w:r>
        <w:rPr>
          <w:sz w:val="20"/>
          <w:szCs w:val="20"/>
        </w:rPr>
        <w:t xml:space="preserve">) and free enzymes (at a concentration equal to that loaded on to the MSNs), as determined by MTT assay. Error bars represent standard error of the mean (n = 3). * represent a significant difference in antibacterial activity between test conditions, ns represents no significant difference between test conditions, </w:t>
      </w:r>
      <w:r>
        <w:rPr>
          <w:i/>
          <w:sz w:val="20"/>
          <w:szCs w:val="20"/>
        </w:rPr>
        <w:t xml:space="preserve">p </w:t>
      </w:r>
      <w:r>
        <w:rPr>
          <w:sz w:val="20"/>
          <w:szCs w:val="20"/>
        </w:rPr>
        <w:t>&lt; 0.05.</w:t>
      </w:r>
    </w:p>
    <w:p w14:paraId="45DD63E4" w14:textId="77777777" w:rsidR="008661AC" w:rsidRDefault="008661AC">
      <w:pPr>
        <w:spacing w:line="480" w:lineRule="auto"/>
        <w:jc w:val="both"/>
        <w:rPr>
          <w:sz w:val="20"/>
          <w:szCs w:val="20"/>
        </w:rPr>
      </w:pPr>
    </w:p>
    <w:p w14:paraId="594DF60C" w14:textId="77777777" w:rsidR="008661AC" w:rsidRDefault="008661AC">
      <w:pPr>
        <w:spacing w:line="480" w:lineRule="auto"/>
        <w:jc w:val="both"/>
        <w:rPr>
          <w:sz w:val="20"/>
          <w:szCs w:val="20"/>
        </w:rPr>
      </w:pPr>
    </w:p>
    <w:p w14:paraId="1EE50A7F" w14:textId="77777777" w:rsidR="008661AC" w:rsidRDefault="00DC0B6A">
      <w:pPr>
        <w:spacing w:line="480" w:lineRule="auto"/>
        <w:jc w:val="both"/>
        <w:rPr>
          <w:b/>
          <w:sz w:val="20"/>
          <w:szCs w:val="20"/>
        </w:rPr>
      </w:pPr>
      <w:r>
        <w:rPr>
          <w:b/>
          <w:noProof/>
          <w:sz w:val="20"/>
          <w:szCs w:val="20"/>
        </w:rPr>
        <w:lastRenderedPageBreak/>
        <w:drawing>
          <wp:inline distT="0" distB="0" distL="0" distR="0" wp14:anchorId="13348E6E" wp14:editId="6248C729">
            <wp:extent cx="5396230" cy="4685030"/>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396230" cy="4685030"/>
                    </a:xfrm>
                    <a:prstGeom prst="rect">
                      <a:avLst/>
                    </a:prstGeom>
                    <a:ln/>
                  </pic:spPr>
                </pic:pic>
              </a:graphicData>
            </a:graphic>
          </wp:inline>
        </w:drawing>
      </w:r>
    </w:p>
    <w:p w14:paraId="53D05F56" w14:textId="0DA78DDB" w:rsidR="008661AC" w:rsidRDefault="00DC0B6A">
      <w:pPr>
        <w:spacing w:line="480" w:lineRule="auto"/>
        <w:jc w:val="both"/>
        <w:rPr>
          <w:color w:val="1A1A1A"/>
          <w:sz w:val="20"/>
          <w:szCs w:val="20"/>
        </w:rPr>
      </w:pPr>
      <w:r>
        <w:rPr>
          <w:b/>
          <w:sz w:val="20"/>
          <w:szCs w:val="20"/>
        </w:rPr>
        <w:t xml:space="preserve">Figure S5. </w:t>
      </w:r>
      <w:r>
        <w:rPr>
          <w:sz w:val="20"/>
          <w:szCs w:val="20"/>
        </w:rPr>
        <w:t>Biomass removal of (a) 24 h MRSA, (b) 24 h MSSA (c) 48 h MRSA and (d) 48 h MSSA biofilm cells after exposure enzyme-loaded MSNs (0.5 mg mL</w:t>
      </w:r>
      <w:r>
        <w:rPr>
          <w:sz w:val="20"/>
          <w:szCs w:val="20"/>
          <w:vertAlign w:val="superscript"/>
        </w:rPr>
        <w:t>-1</w:t>
      </w:r>
      <w:r>
        <w:rPr>
          <w:sz w:val="20"/>
          <w:szCs w:val="20"/>
        </w:rPr>
        <w:t>) and free enzymes (at a concentration equal to that loaded on to the MSNs), as determined by CV staining. Error bars represent standard error of the mean (n = 3</w:t>
      </w:r>
      <w:proofErr w:type="gramStart"/>
      <w:r>
        <w:rPr>
          <w:sz w:val="20"/>
          <w:szCs w:val="20"/>
        </w:rPr>
        <w:t>).*</w:t>
      </w:r>
      <w:proofErr w:type="gramEnd"/>
      <w:r>
        <w:rPr>
          <w:sz w:val="20"/>
          <w:szCs w:val="20"/>
        </w:rPr>
        <w:t xml:space="preserve"> represent a significant difference in antibacterial activity between test conditions, ns represents no significant difference between test conditions, </w:t>
      </w:r>
      <w:r>
        <w:rPr>
          <w:i/>
          <w:sz w:val="20"/>
          <w:szCs w:val="20"/>
        </w:rPr>
        <w:t xml:space="preserve">p </w:t>
      </w:r>
      <w:r>
        <w:rPr>
          <w:sz w:val="20"/>
          <w:szCs w:val="20"/>
        </w:rPr>
        <w:t>&lt; 0.05.</w:t>
      </w:r>
    </w:p>
    <w:p w14:paraId="7BE63EBB" w14:textId="77777777" w:rsidR="008661AC" w:rsidRDefault="008661AC">
      <w:pPr>
        <w:spacing w:line="480" w:lineRule="auto"/>
        <w:jc w:val="both"/>
      </w:pPr>
    </w:p>
    <w:p w14:paraId="4B0179A1" w14:textId="77777777" w:rsidR="008661AC" w:rsidRDefault="00DC0B6A">
      <w:pPr>
        <w:spacing w:line="480" w:lineRule="auto"/>
        <w:jc w:val="both"/>
      </w:pPr>
      <w:r>
        <w:rPr>
          <w:noProof/>
        </w:rPr>
        <w:lastRenderedPageBreak/>
        <w:drawing>
          <wp:inline distT="0" distB="0" distL="0" distR="0" wp14:anchorId="1D0D4863" wp14:editId="219EC54C">
            <wp:extent cx="5396230" cy="3961765"/>
            <wp:effectExtent l="0" t="0" r="0" b="0"/>
            <wp:docPr id="9" name="image4.png"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screenshot of a computer&#10;&#10;Description automatically generated with medium confidence"/>
                    <pic:cNvPicPr preferRelativeResize="0"/>
                  </pic:nvPicPr>
                  <pic:blipFill>
                    <a:blip r:embed="rId10"/>
                    <a:srcRect/>
                    <a:stretch>
                      <a:fillRect/>
                    </a:stretch>
                  </pic:blipFill>
                  <pic:spPr>
                    <a:xfrm>
                      <a:off x="0" y="0"/>
                      <a:ext cx="5396230" cy="3961765"/>
                    </a:xfrm>
                    <a:prstGeom prst="rect">
                      <a:avLst/>
                    </a:prstGeom>
                    <a:ln/>
                  </pic:spPr>
                </pic:pic>
              </a:graphicData>
            </a:graphic>
          </wp:inline>
        </w:drawing>
      </w:r>
    </w:p>
    <w:p w14:paraId="12A3EC55" w14:textId="77777777" w:rsidR="008661AC" w:rsidRDefault="00DC0B6A">
      <w:pPr>
        <w:spacing w:line="480" w:lineRule="auto"/>
        <w:jc w:val="both"/>
        <w:rPr>
          <w:color w:val="1A1A1A"/>
          <w:sz w:val="20"/>
          <w:szCs w:val="20"/>
        </w:rPr>
      </w:pPr>
      <w:r>
        <w:rPr>
          <w:b/>
          <w:sz w:val="20"/>
          <w:szCs w:val="20"/>
        </w:rPr>
        <w:t xml:space="preserve">Figure S6. </w:t>
      </w:r>
      <w:r>
        <w:rPr>
          <w:sz w:val="20"/>
          <w:szCs w:val="20"/>
        </w:rPr>
        <w:t>CLSM images of 48 h MRSA biofilms after exposure to enzyme-loaded MSNs (all concentrations in mg mL</w:t>
      </w:r>
      <w:r>
        <w:rPr>
          <w:sz w:val="20"/>
          <w:szCs w:val="20"/>
          <w:vertAlign w:val="superscript"/>
        </w:rPr>
        <w:t>-1</w:t>
      </w:r>
      <w:r>
        <w:rPr>
          <w:sz w:val="20"/>
          <w:szCs w:val="20"/>
        </w:rPr>
        <w:t xml:space="preserve">), for 24 h. a) control, b) 0.25 (Lys + DNase I) MSNs, c) 0.5 (Lys + DNase I) MSNs, d) 0.25 (Lys + Ser) MSNs, e) 0.5 (Lys + Ser) MSNs and f) 0.33 (Lys + Ser + DNase I) MSNs. Live bacterial cells (green) are stained using SYTO 9 while dead cells (red) are stained with Propidium iodide. Scale bars represent 20 </w:t>
      </w:r>
      <w:proofErr w:type="spellStart"/>
      <w:r>
        <w:rPr>
          <w:color w:val="1A1A1A"/>
          <w:sz w:val="20"/>
          <w:szCs w:val="20"/>
        </w:rPr>
        <w:t>μm</w:t>
      </w:r>
      <w:proofErr w:type="spellEnd"/>
      <w:r>
        <w:rPr>
          <w:color w:val="1A1A1A"/>
          <w:sz w:val="20"/>
          <w:szCs w:val="20"/>
        </w:rPr>
        <w:t>.</w:t>
      </w:r>
    </w:p>
    <w:p w14:paraId="35AE405D" w14:textId="77777777" w:rsidR="008661AC" w:rsidRDefault="00DC0B6A">
      <w:pPr>
        <w:spacing w:line="480" w:lineRule="auto"/>
        <w:jc w:val="both"/>
      </w:pPr>
      <w:r>
        <w:rPr>
          <w:noProof/>
        </w:rPr>
        <w:lastRenderedPageBreak/>
        <w:drawing>
          <wp:inline distT="0" distB="0" distL="0" distR="0" wp14:anchorId="6303CB73" wp14:editId="23A0E8A0">
            <wp:extent cx="5396230" cy="3961765"/>
            <wp:effectExtent l="0" t="0" r="0" b="0"/>
            <wp:docPr id="8" name="image7.png" descr="A screenshot of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7.png" descr="A screenshot of a computer&#10;&#10;Description automatically generated with low confidence"/>
                    <pic:cNvPicPr preferRelativeResize="0"/>
                  </pic:nvPicPr>
                  <pic:blipFill>
                    <a:blip r:embed="rId11"/>
                    <a:srcRect/>
                    <a:stretch>
                      <a:fillRect/>
                    </a:stretch>
                  </pic:blipFill>
                  <pic:spPr>
                    <a:xfrm>
                      <a:off x="0" y="0"/>
                      <a:ext cx="5396230" cy="3961765"/>
                    </a:xfrm>
                    <a:prstGeom prst="rect">
                      <a:avLst/>
                    </a:prstGeom>
                    <a:ln/>
                  </pic:spPr>
                </pic:pic>
              </a:graphicData>
            </a:graphic>
          </wp:inline>
        </w:drawing>
      </w:r>
    </w:p>
    <w:p w14:paraId="78E7EE33" w14:textId="77777777" w:rsidR="008661AC" w:rsidRDefault="00DC0B6A">
      <w:pPr>
        <w:spacing w:line="480" w:lineRule="auto"/>
        <w:jc w:val="both"/>
        <w:rPr>
          <w:color w:val="1A1A1A"/>
          <w:sz w:val="20"/>
          <w:szCs w:val="20"/>
        </w:rPr>
      </w:pPr>
      <w:r>
        <w:rPr>
          <w:b/>
          <w:sz w:val="20"/>
          <w:szCs w:val="20"/>
        </w:rPr>
        <w:t xml:space="preserve">Figure S7. </w:t>
      </w:r>
      <w:r>
        <w:rPr>
          <w:sz w:val="20"/>
          <w:szCs w:val="20"/>
        </w:rPr>
        <w:t>CLSM images of 48 h MSSA biofilms after exposure to enzyme-loaded MSNs (all concentrations in mg mL</w:t>
      </w:r>
      <w:r>
        <w:rPr>
          <w:sz w:val="20"/>
          <w:szCs w:val="20"/>
          <w:vertAlign w:val="superscript"/>
        </w:rPr>
        <w:t>-1</w:t>
      </w:r>
      <w:r>
        <w:rPr>
          <w:sz w:val="20"/>
          <w:szCs w:val="20"/>
        </w:rPr>
        <w:t xml:space="preserve">), for 24 h. a) control, b) 0.25 (Lys + DNase I) MSNs, c) 0.5 (Lys + DNase I) MSNs, d) 0.25 (Lys + Ser) MSNs, e) 0.5 (Lys + Ser) MSNs and f) 0.33 (Lys + Ser + DNase I) MSNs. Live bacterial cells (green) are stained using SYTO 9 while dead cells (red) are stained with Propidium iodide. Scale bars represent 20 </w:t>
      </w:r>
      <w:proofErr w:type="spellStart"/>
      <w:r>
        <w:rPr>
          <w:color w:val="1A1A1A"/>
          <w:sz w:val="20"/>
          <w:szCs w:val="20"/>
        </w:rPr>
        <w:t>μm</w:t>
      </w:r>
      <w:proofErr w:type="spellEnd"/>
      <w:r>
        <w:rPr>
          <w:color w:val="1A1A1A"/>
          <w:sz w:val="20"/>
          <w:szCs w:val="20"/>
        </w:rPr>
        <w:t>.</w:t>
      </w:r>
    </w:p>
    <w:p w14:paraId="74AA0021" w14:textId="77777777" w:rsidR="008661AC" w:rsidRDefault="008661AC">
      <w:pPr>
        <w:spacing w:line="480" w:lineRule="auto"/>
        <w:jc w:val="both"/>
        <w:rPr>
          <w:b/>
          <w:sz w:val="20"/>
          <w:szCs w:val="20"/>
        </w:rPr>
      </w:pPr>
    </w:p>
    <w:p w14:paraId="38D3D784" w14:textId="77777777" w:rsidR="008661AC" w:rsidRDefault="008661AC">
      <w:pPr>
        <w:spacing w:line="480" w:lineRule="auto"/>
        <w:jc w:val="both"/>
        <w:rPr>
          <w:b/>
          <w:sz w:val="20"/>
          <w:szCs w:val="20"/>
        </w:rPr>
      </w:pPr>
    </w:p>
    <w:p w14:paraId="31FFC197" w14:textId="77777777" w:rsidR="008661AC" w:rsidRDefault="008661AC">
      <w:pPr>
        <w:spacing w:line="480" w:lineRule="auto"/>
        <w:jc w:val="both"/>
        <w:rPr>
          <w:b/>
          <w:sz w:val="20"/>
          <w:szCs w:val="20"/>
        </w:rPr>
      </w:pPr>
    </w:p>
    <w:p w14:paraId="3BB28124" w14:textId="77777777" w:rsidR="008661AC" w:rsidRDefault="008661AC">
      <w:pPr>
        <w:spacing w:line="480" w:lineRule="auto"/>
        <w:jc w:val="both"/>
        <w:rPr>
          <w:color w:val="1A1A1A"/>
          <w:sz w:val="20"/>
          <w:szCs w:val="20"/>
        </w:rPr>
      </w:pPr>
    </w:p>
    <w:p w14:paraId="4A112043" w14:textId="77777777" w:rsidR="008661AC" w:rsidRDefault="008661AC">
      <w:pPr>
        <w:spacing w:line="480" w:lineRule="auto"/>
        <w:jc w:val="both"/>
      </w:pPr>
    </w:p>
    <w:p w14:paraId="0E0F908C" w14:textId="77777777" w:rsidR="008661AC" w:rsidRDefault="008661AC">
      <w:pPr>
        <w:spacing w:line="480" w:lineRule="auto"/>
        <w:jc w:val="both"/>
        <w:rPr>
          <w:sz w:val="20"/>
          <w:szCs w:val="20"/>
        </w:rPr>
      </w:pPr>
    </w:p>
    <w:p w14:paraId="0628F50C" w14:textId="77777777" w:rsidR="008661AC" w:rsidRDefault="00DC0B6A">
      <w:pPr>
        <w:pBdr>
          <w:top w:val="nil"/>
          <w:left w:val="nil"/>
          <w:bottom w:val="nil"/>
          <w:right w:val="nil"/>
          <w:between w:val="nil"/>
        </w:pBdr>
        <w:rPr>
          <w:color w:val="000000"/>
          <w:sz w:val="20"/>
          <w:szCs w:val="20"/>
        </w:rPr>
      </w:pPr>
      <w:r>
        <w:rPr>
          <w:color w:val="000000"/>
          <w:sz w:val="20"/>
          <w:szCs w:val="20"/>
        </w:rPr>
        <w:t xml:space="preserve"> </w:t>
      </w:r>
    </w:p>
    <w:p w14:paraId="6C4D8AF3" w14:textId="77777777" w:rsidR="008661AC" w:rsidRDefault="008661AC"/>
    <w:sectPr w:rsidR="008661AC">
      <w:pgSz w:w="11900" w:h="16840"/>
      <w:pgMar w:top="1701" w:right="1701" w:bottom="1701"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1AC"/>
    <w:rsid w:val="00647577"/>
    <w:rsid w:val="008661AC"/>
    <w:rsid w:val="00DC0B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693BC"/>
  <w15:docId w15:val="{BFCF018F-68FB-4445-8719-65B127C6D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4"/>
        <w:szCs w:val="24"/>
        <w:lang w:val="en-I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939"/>
  </w:style>
  <w:style w:type="paragraph" w:styleId="Heading1">
    <w:name w:val="heading 1"/>
    <w:basedOn w:val="Normal"/>
    <w:next w:val="Normal"/>
    <w:link w:val="Heading1Char"/>
    <w:uiPriority w:val="9"/>
    <w:qFormat/>
    <w:rsid w:val="00D66939"/>
    <w:pPr>
      <w:keepNext/>
      <w:keepLines/>
      <w:spacing w:before="240" w:line="360" w:lineRule="auto"/>
      <w:jc w:val="both"/>
      <w:outlineLvl w:val="0"/>
    </w:pPr>
    <w:rPr>
      <w:rFonts w:eastAsiaTheme="majorEastAsia"/>
      <w:b/>
      <w:bCs/>
      <w:color w:val="000000" w:themeColor="text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D66939"/>
    <w:rPr>
      <w:rFonts w:ascii="Arial" w:eastAsiaTheme="majorEastAsia" w:hAnsi="Arial" w:cs="Arial"/>
      <w:b/>
      <w:bCs/>
      <w:color w:val="000000" w:themeColor="text1"/>
      <w:sz w:val="32"/>
      <w:szCs w:val="32"/>
    </w:rPr>
  </w:style>
  <w:style w:type="paragraph" w:styleId="BalloonText">
    <w:name w:val="Balloon Text"/>
    <w:basedOn w:val="Normal"/>
    <w:link w:val="BalloonTextChar"/>
    <w:uiPriority w:val="99"/>
    <w:semiHidden/>
    <w:unhideWhenUsed/>
    <w:rsid w:val="00D6693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66939"/>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794AE9"/>
    <w:rPr>
      <w:sz w:val="16"/>
      <w:szCs w:val="16"/>
    </w:rPr>
  </w:style>
  <w:style w:type="paragraph" w:styleId="CommentText">
    <w:name w:val="annotation text"/>
    <w:basedOn w:val="Normal"/>
    <w:link w:val="CommentTextChar"/>
    <w:uiPriority w:val="99"/>
    <w:unhideWhenUsed/>
    <w:rsid w:val="00794AE9"/>
    <w:rPr>
      <w:sz w:val="20"/>
      <w:szCs w:val="20"/>
    </w:rPr>
  </w:style>
  <w:style w:type="character" w:customStyle="1" w:styleId="CommentTextChar">
    <w:name w:val="Comment Text Char"/>
    <w:basedOn w:val="DefaultParagraphFont"/>
    <w:link w:val="CommentText"/>
    <w:uiPriority w:val="99"/>
    <w:rsid w:val="00794AE9"/>
    <w:rPr>
      <w:rFonts w:ascii="Arial" w:hAnsi="Arial" w:cs="Arial"/>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dYV7le2hQ8Hz/obQQqEwibTt3A==">AMUW2mXZJJWscr0CLaVEW1z2bRefEdZMTZ1DnNtsqC9d9lxA5D809wXXmiP4ZLCoEejzHdTytoCfBu2LNWvGbyAdS4wqb5l0X3n3rkG/jDua+0WVAgsRQ4i/WAn2YmLhgQJ3kGkDCfSw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503</Words>
  <Characters>2870</Characters>
  <Application>Microsoft Office Word</Application>
  <DocSecurity>0</DocSecurity>
  <Lines>23</Lines>
  <Paragraphs>6</Paragraphs>
  <ScaleCrop>false</ScaleCrop>
  <Company/>
  <LinksUpToDate>false</LinksUpToDate>
  <CharactersWithSpaces>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Fulaz</dc:creator>
  <cp:lastModifiedBy>Pratt, Lucas</cp:lastModifiedBy>
  <cp:revision>2</cp:revision>
  <dcterms:created xsi:type="dcterms:W3CDTF">2021-03-02T20:10:00Z</dcterms:created>
  <dcterms:modified xsi:type="dcterms:W3CDTF">2021-03-02T20:10:00Z</dcterms:modified>
</cp:coreProperties>
</file>