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AA" w:rsidRPr="00F370B1" w:rsidRDefault="00C853AA" w:rsidP="00C853AA">
      <w:pPr>
        <w:spacing w:line="480" w:lineRule="auto"/>
        <w:rPr>
          <w:rFonts w:ascii="Arial" w:hAnsi="Arial" w:cs="Arial"/>
          <w:sz w:val="22"/>
          <w:szCs w:val="22"/>
        </w:rPr>
      </w:pPr>
    </w:p>
    <w:p w:rsidR="00C853AA" w:rsidRPr="00890BE4" w:rsidRDefault="00C853AA" w:rsidP="00C853AA">
      <w:pPr>
        <w:spacing w:line="480" w:lineRule="auto"/>
        <w:rPr>
          <w:rFonts w:ascii="Arial" w:hAnsi="Arial" w:cs="Arial"/>
          <w:b/>
        </w:rPr>
      </w:pPr>
      <w:r w:rsidRPr="00890BE4">
        <w:rPr>
          <w:rFonts w:ascii="Arial" w:hAnsi="Arial" w:cs="Arial"/>
          <w:b/>
        </w:rPr>
        <w:t xml:space="preserve">SUPPLEMENTAL </w:t>
      </w:r>
      <w:r w:rsidR="000076B3" w:rsidRPr="00890BE4">
        <w:rPr>
          <w:rFonts w:ascii="Arial" w:hAnsi="Arial" w:cs="Arial"/>
          <w:b/>
        </w:rPr>
        <w:t>MATERIAL</w:t>
      </w:r>
      <w:r w:rsidRPr="00890BE4">
        <w:rPr>
          <w:rFonts w:ascii="Arial" w:hAnsi="Arial" w:cs="Arial"/>
          <w:b/>
        </w:rPr>
        <w:t xml:space="preserve"> </w:t>
      </w:r>
    </w:p>
    <w:p w:rsidR="00567852" w:rsidRPr="000076B3" w:rsidRDefault="00567852" w:rsidP="00567852">
      <w:pPr>
        <w:spacing w:line="480" w:lineRule="auto"/>
        <w:rPr>
          <w:rFonts w:ascii="Arial" w:hAnsi="Arial"/>
          <w:b/>
          <w:sz w:val="22"/>
          <w:szCs w:val="22"/>
        </w:rPr>
      </w:pPr>
      <w:r w:rsidRPr="000076B3">
        <w:rPr>
          <w:rFonts w:ascii="Arial" w:hAnsi="Arial"/>
          <w:b/>
          <w:sz w:val="22"/>
          <w:szCs w:val="22"/>
        </w:rPr>
        <w:t>SUPPLEMENTAL METHODS</w:t>
      </w:r>
      <w:r w:rsidR="000076B3">
        <w:rPr>
          <w:rFonts w:ascii="Arial" w:hAnsi="Arial"/>
          <w:b/>
          <w:sz w:val="22"/>
          <w:szCs w:val="22"/>
        </w:rPr>
        <w:t xml:space="preserve"> AND RESULTS</w:t>
      </w:r>
    </w:p>
    <w:p w:rsidR="000076B3" w:rsidRPr="000076B3" w:rsidRDefault="000076B3" w:rsidP="000076B3">
      <w:pPr>
        <w:spacing w:line="480" w:lineRule="auto"/>
        <w:rPr>
          <w:rFonts w:ascii="Arial" w:hAnsi="Arial"/>
          <w:sz w:val="22"/>
          <w:szCs w:val="22"/>
          <w:u w:val="single"/>
        </w:rPr>
      </w:pPr>
      <w:r w:rsidRPr="000076B3">
        <w:rPr>
          <w:rFonts w:ascii="Arial" w:hAnsi="Arial"/>
          <w:sz w:val="22"/>
          <w:szCs w:val="22"/>
          <w:u w:val="single"/>
        </w:rPr>
        <w:t>Subject Details</w:t>
      </w:r>
    </w:p>
    <w:p w:rsidR="000076B3" w:rsidRPr="000076B3" w:rsidRDefault="000076B3" w:rsidP="000076B3">
      <w:pPr>
        <w:spacing w:line="480" w:lineRule="auto"/>
        <w:rPr>
          <w:rFonts w:ascii="Arial" w:hAnsi="Arial"/>
          <w:sz w:val="22"/>
          <w:szCs w:val="22"/>
        </w:rPr>
      </w:pPr>
      <w:r w:rsidRPr="000076B3">
        <w:rPr>
          <w:rFonts w:ascii="Arial" w:hAnsi="Arial"/>
          <w:sz w:val="22"/>
          <w:szCs w:val="22"/>
        </w:rPr>
        <w:t xml:space="preserve">Testing is done </w:t>
      </w:r>
      <w:r>
        <w:rPr>
          <w:rFonts w:ascii="Arial" w:hAnsi="Arial"/>
          <w:sz w:val="22"/>
          <w:szCs w:val="22"/>
        </w:rPr>
        <w:t>without dilation of the pupils.</w:t>
      </w:r>
    </w:p>
    <w:p w:rsidR="000076B3" w:rsidRPr="000076B3" w:rsidRDefault="000076B3" w:rsidP="000076B3">
      <w:pPr>
        <w:spacing w:line="480" w:lineRule="auto"/>
        <w:rPr>
          <w:rFonts w:ascii="Arial" w:hAnsi="Arial"/>
          <w:sz w:val="22"/>
          <w:szCs w:val="22"/>
          <w:u w:val="single"/>
        </w:rPr>
      </w:pPr>
      <w:r w:rsidRPr="000076B3">
        <w:rPr>
          <w:rFonts w:ascii="Arial" w:hAnsi="Arial"/>
          <w:sz w:val="22"/>
          <w:szCs w:val="22"/>
          <w:u w:val="single"/>
        </w:rPr>
        <w:t>Arrows Test</w:t>
      </w:r>
    </w:p>
    <w:p w:rsidR="000076B3" w:rsidRPr="000076B3" w:rsidRDefault="000076B3" w:rsidP="000076B3">
      <w:pPr>
        <w:spacing w:line="480" w:lineRule="auto"/>
        <w:rPr>
          <w:rFonts w:ascii="Arial" w:hAnsi="Arial"/>
          <w:sz w:val="22"/>
          <w:szCs w:val="22"/>
        </w:rPr>
      </w:pPr>
      <w:r w:rsidRPr="000076B3">
        <w:rPr>
          <w:rFonts w:ascii="Arial" w:hAnsi="Arial"/>
          <w:sz w:val="22"/>
          <w:szCs w:val="22"/>
        </w:rPr>
        <w:t>The system automatically recognizes and tabulates whether the subject follows the arrows sequentially or departs from the path. When the subject passes the exit door, the path of arrows disappears and the subject is asked to look again for the starting pla</w:t>
      </w:r>
      <w:r>
        <w:rPr>
          <w:rFonts w:ascii="Arial" w:hAnsi="Arial"/>
          <w:sz w:val="22"/>
          <w:szCs w:val="22"/>
        </w:rPr>
        <w:t>tform to begin the next test.</w:t>
      </w:r>
    </w:p>
    <w:p w:rsidR="000076B3" w:rsidRPr="000076B3" w:rsidRDefault="000076B3" w:rsidP="000076B3">
      <w:pPr>
        <w:spacing w:line="480" w:lineRule="auto"/>
        <w:rPr>
          <w:rFonts w:ascii="Arial" w:hAnsi="Arial"/>
          <w:sz w:val="22"/>
          <w:szCs w:val="22"/>
          <w:u w:val="single"/>
        </w:rPr>
      </w:pPr>
      <w:r w:rsidRPr="000076B3">
        <w:rPr>
          <w:rFonts w:ascii="Arial" w:hAnsi="Arial"/>
          <w:sz w:val="22"/>
          <w:szCs w:val="22"/>
          <w:u w:val="single"/>
        </w:rPr>
        <w:t>Arrows and Obstacles Test</w:t>
      </w:r>
    </w:p>
    <w:p w:rsidR="000076B3" w:rsidRPr="000076B3" w:rsidRDefault="000076B3" w:rsidP="000076B3">
      <w:pPr>
        <w:spacing w:line="480" w:lineRule="auto"/>
        <w:rPr>
          <w:rFonts w:ascii="Arial" w:hAnsi="Arial"/>
          <w:sz w:val="22"/>
          <w:szCs w:val="22"/>
        </w:rPr>
      </w:pPr>
      <w:r w:rsidRPr="000076B3">
        <w:rPr>
          <w:rFonts w:ascii="Arial" w:hAnsi="Arial"/>
          <w:sz w:val="22"/>
          <w:szCs w:val="22"/>
        </w:rPr>
        <w:t>To better understand the mechanistic underpinnings of the patients’ performance, simple shapes and visual attributes were favored, instead of a visually complex virtual scenery, thus limiting main variables to luminance, position and size of objects in the virtual space. To precisely control the luminance of each surface, instead of physics-based lighting, the course presents the arrows, obstacles, and start indicator with unlit rendering. To enable perspective, which is otherwise impossible without a gradient along the surface of an object, a pure black me</w:t>
      </w:r>
      <w:r>
        <w:rPr>
          <w:rFonts w:ascii="Arial" w:hAnsi="Arial"/>
          <w:sz w:val="22"/>
          <w:szCs w:val="22"/>
        </w:rPr>
        <w:t>sh is presented on each object.</w:t>
      </w:r>
    </w:p>
    <w:p w:rsidR="000076B3" w:rsidRPr="000076B3" w:rsidRDefault="000076B3" w:rsidP="000076B3">
      <w:pPr>
        <w:spacing w:line="480" w:lineRule="auto"/>
        <w:rPr>
          <w:rFonts w:ascii="Arial" w:hAnsi="Arial"/>
          <w:sz w:val="22"/>
          <w:szCs w:val="22"/>
          <w:u w:val="single"/>
        </w:rPr>
      </w:pPr>
      <w:r w:rsidRPr="000076B3">
        <w:rPr>
          <w:rFonts w:ascii="Arial" w:hAnsi="Arial"/>
          <w:sz w:val="22"/>
          <w:szCs w:val="22"/>
          <w:u w:val="single"/>
        </w:rPr>
        <w:t>Technical Details</w:t>
      </w:r>
    </w:p>
    <w:p w:rsidR="000076B3" w:rsidRPr="000076B3" w:rsidRDefault="000076B3" w:rsidP="000076B3">
      <w:pPr>
        <w:spacing w:line="480" w:lineRule="auto"/>
        <w:rPr>
          <w:rFonts w:ascii="Arial" w:hAnsi="Arial"/>
          <w:sz w:val="22"/>
          <w:szCs w:val="22"/>
        </w:rPr>
      </w:pPr>
      <w:r w:rsidRPr="000076B3">
        <w:rPr>
          <w:rFonts w:ascii="Arial" w:hAnsi="Arial"/>
          <w:sz w:val="22"/>
          <w:szCs w:val="22"/>
        </w:rPr>
        <w:t>The HTC VIVE hardware consists of a wireless headset that can be tracked 360° through which the subject views a 91 mm wide (diagonally) ‘screen’ where two organic LEDs (OLEDs) with a resolution of 2100 x 1200 pixels (90Hz refresh rate) ar</w:t>
      </w:r>
      <w:r>
        <w:rPr>
          <w:rFonts w:ascii="Arial" w:hAnsi="Arial"/>
          <w:sz w:val="22"/>
          <w:szCs w:val="22"/>
        </w:rPr>
        <w:t>e located in front of each eye.</w:t>
      </w:r>
    </w:p>
    <w:p w:rsidR="000076B3" w:rsidRPr="000076B3" w:rsidRDefault="000076B3" w:rsidP="000076B3">
      <w:pPr>
        <w:spacing w:line="480" w:lineRule="auto"/>
        <w:rPr>
          <w:rFonts w:ascii="Arial" w:hAnsi="Arial"/>
          <w:sz w:val="22"/>
          <w:szCs w:val="22"/>
          <w:u w:val="single"/>
        </w:rPr>
      </w:pPr>
      <w:r w:rsidRPr="000076B3">
        <w:rPr>
          <w:rFonts w:ascii="Arial" w:hAnsi="Arial"/>
          <w:sz w:val="22"/>
          <w:szCs w:val="22"/>
          <w:u w:val="single"/>
        </w:rPr>
        <w:t>Scoring the VR Test</w:t>
      </w:r>
    </w:p>
    <w:p w:rsidR="000076B3" w:rsidRPr="000076B3" w:rsidRDefault="000076B3" w:rsidP="000076B3">
      <w:pPr>
        <w:spacing w:line="480" w:lineRule="auto"/>
        <w:rPr>
          <w:rFonts w:ascii="Arial" w:hAnsi="Arial"/>
          <w:sz w:val="22"/>
          <w:szCs w:val="22"/>
        </w:rPr>
      </w:pPr>
      <w:r w:rsidRPr="000076B3">
        <w:rPr>
          <w:rFonts w:ascii="Arial" w:hAnsi="Arial"/>
          <w:sz w:val="22"/>
          <w:szCs w:val="22"/>
        </w:rPr>
        <w:t xml:space="preserve">The collisions (intersection of a tracker with coordinates of the virtual objects) are measured by each of the 5 trackers worn by the subject (on head, hands and feet). Thus, if the head bumps into a hanging object, that is scored as a collision. Similarly, if either hand or foot collides with an object, that is also scored as a collision. In cases where multiple body parts (both feet or both </w:t>
      </w:r>
      <w:r w:rsidRPr="000076B3">
        <w:rPr>
          <w:rFonts w:ascii="Arial" w:hAnsi="Arial"/>
          <w:sz w:val="22"/>
          <w:szCs w:val="22"/>
        </w:rPr>
        <w:lastRenderedPageBreak/>
        <w:t xml:space="preserve">hands and/or head) intersected with a given object, only the first collision was counted for a given object. For the situation where a subject </w:t>
      </w:r>
      <w:proofErr w:type="gramStart"/>
      <w:r w:rsidRPr="000076B3">
        <w:rPr>
          <w:rFonts w:ascii="Arial" w:hAnsi="Arial"/>
          <w:sz w:val="22"/>
          <w:szCs w:val="22"/>
        </w:rPr>
        <w:t>tries</w:t>
      </w:r>
      <w:proofErr w:type="gramEnd"/>
      <w:r w:rsidRPr="000076B3">
        <w:rPr>
          <w:rFonts w:ascii="Arial" w:hAnsi="Arial"/>
          <w:sz w:val="22"/>
          <w:szCs w:val="22"/>
        </w:rPr>
        <w:t xml:space="preserve"> to step over the “</w:t>
      </w:r>
      <w:proofErr w:type="spellStart"/>
      <w:r w:rsidRPr="000076B3">
        <w:rPr>
          <w:rFonts w:ascii="Arial" w:hAnsi="Arial"/>
          <w:sz w:val="22"/>
          <w:szCs w:val="22"/>
        </w:rPr>
        <w:t>stepover</w:t>
      </w:r>
      <w:proofErr w:type="spellEnd"/>
      <w:r w:rsidRPr="000076B3">
        <w:rPr>
          <w:rFonts w:ascii="Arial" w:hAnsi="Arial"/>
          <w:sz w:val="22"/>
          <w:szCs w:val="22"/>
        </w:rPr>
        <w:t>” obstacle but strikes it in the process, the foot trackers provide information about the height that each leg was raised.  If each leg lift distance is above a “</w:t>
      </w:r>
      <w:proofErr w:type="spellStart"/>
      <w:r w:rsidRPr="000076B3">
        <w:rPr>
          <w:rFonts w:ascii="Arial" w:hAnsi="Arial"/>
          <w:sz w:val="22"/>
          <w:szCs w:val="22"/>
        </w:rPr>
        <w:t>stepover</w:t>
      </w:r>
      <w:proofErr w:type="spellEnd"/>
      <w:r w:rsidRPr="000076B3">
        <w:rPr>
          <w:rFonts w:ascii="Arial" w:hAnsi="Arial"/>
          <w:sz w:val="22"/>
          <w:szCs w:val="22"/>
        </w:rPr>
        <w:t xml:space="preserve"> threshold,” then the </w:t>
      </w:r>
      <w:proofErr w:type="spellStart"/>
      <w:r w:rsidRPr="000076B3">
        <w:rPr>
          <w:rFonts w:ascii="Arial" w:hAnsi="Arial"/>
          <w:sz w:val="22"/>
          <w:szCs w:val="22"/>
        </w:rPr>
        <w:t>stepover</w:t>
      </w:r>
      <w:proofErr w:type="spellEnd"/>
      <w:r w:rsidRPr="000076B3">
        <w:rPr>
          <w:rFonts w:ascii="Arial" w:hAnsi="Arial"/>
          <w:sz w:val="22"/>
          <w:szCs w:val="22"/>
        </w:rPr>
        <w:t xml:space="preserve"> collision is voided. Similarly, if the subject attempts to duck below a hanging object by dropping his/her head a few inches but grazes it in the process, the designation of collision is voided.</w:t>
      </w:r>
    </w:p>
    <w:p w:rsidR="000076B3" w:rsidRPr="000076B3" w:rsidRDefault="000076B3" w:rsidP="000076B3">
      <w:pPr>
        <w:spacing w:line="480" w:lineRule="auto"/>
        <w:rPr>
          <w:rFonts w:ascii="Arial" w:hAnsi="Arial"/>
          <w:sz w:val="22"/>
          <w:szCs w:val="22"/>
        </w:rPr>
      </w:pPr>
      <w:r w:rsidRPr="000076B3">
        <w:rPr>
          <w:rFonts w:ascii="Arial" w:hAnsi="Arial"/>
          <w:sz w:val="22"/>
          <w:szCs w:val="22"/>
        </w:rPr>
        <w:t xml:space="preserve"> Collisions with all different objects were tabulated but were only counted once for each obstacle. Because the courses were densely packed with obstacles (each course contained 17 different obstacles), it was often difficult even for controls to obtain a perfect collision-free score. For example, while leaning to step over the “</w:t>
      </w:r>
      <w:proofErr w:type="spellStart"/>
      <w:r w:rsidRPr="000076B3">
        <w:rPr>
          <w:rFonts w:ascii="Arial" w:hAnsi="Arial"/>
          <w:sz w:val="22"/>
          <w:szCs w:val="22"/>
        </w:rPr>
        <w:t>stepover</w:t>
      </w:r>
      <w:proofErr w:type="spellEnd"/>
      <w:r w:rsidRPr="000076B3">
        <w:rPr>
          <w:rFonts w:ascii="Arial" w:hAnsi="Arial"/>
          <w:sz w:val="22"/>
          <w:szCs w:val="22"/>
        </w:rPr>
        <w:t xml:space="preserve"> obstacle” it was often difficult to avoid bumping one’s hand into a neighboring box. Thus, we counted scores with &lt;3 collisions as passes (as long as the time to complete the test was less than 60 secs).</w:t>
      </w:r>
    </w:p>
    <w:p w:rsidR="000076B3" w:rsidRPr="000076B3" w:rsidRDefault="000076B3" w:rsidP="000076B3">
      <w:pPr>
        <w:spacing w:line="480" w:lineRule="auto"/>
        <w:rPr>
          <w:rFonts w:ascii="Arial" w:hAnsi="Arial"/>
          <w:sz w:val="22"/>
          <w:szCs w:val="22"/>
        </w:rPr>
      </w:pPr>
      <w:r w:rsidRPr="000076B3">
        <w:rPr>
          <w:rFonts w:ascii="Arial" w:hAnsi="Arial"/>
          <w:sz w:val="22"/>
          <w:szCs w:val="22"/>
        </w:rPr>
        <w:t xml:space="preserve">Videos of the VR-O&amp;M test performances were generated from the custom software built with Unity and captured using </w:t>
      </w:r>
      <w:proofErr w:type="spellStart"/>
      <w:r w:rsidRPr="000076B3">
        <w:rPr>
          <w:rFonts w:ascii="Arial" w:hAnsi="Arial"/>
          <w:sz w:val="22"/>
          <w:szCs w:val="22"/>
        </w:rPr>
        <w:t>IceCream</w:t>
      </w:r>
      <w:proofErr w:type="spellEnd"/>
      <w:r w:rsidRPr="000076B3">
        <w:rPr>
          <w:rFonts w:ascii="Arial" w:hAnsi="Arial"/>
          <w:sz w:val="22"/>
          <w:szCs w:val="22"/>
        </w:rPr>
        <w:t xml:space="preserve"> Screen Recorder and then reformatted to MPEG-4 files usin</w:t>
      </w:r>
      <w:r w:rsidR="00617C8D">
        <w:rPr>
          <w:rFonts w:ascii="Arial" w:hAnsi="Arial"/>
          <w:sz w:val="22"/>
          <w:szCs w:val="22"/>
        </w:rPr>
        <w:t>g The Video Converter software.</w:t>
      </w:r>
    </w:p>
    <w:p w:rsidR="000076B3" w:rsidRPr="00617C8D" w:rsidRDefault="00617C8D" w:rsidP="000076B3">
      <w:pPr>
        <w:spacing w:line="480" w:lineRule="auto"/>
        <w:rPr>
          <w:rFonts w:ascii="Arial" w:hAnsi="Arial"/>
          <w:b/>
          <w:sz w:val="22"/>
          <w:szCs w:val="22"/>
          <w:u w:val="single"/>
        </w:rPr>
      </w:pPr>
      <w:r w:rsidRPr="00617C8D">
        <w:rPr>
          <w:rFonts w:ascii="Arial" w:hAnsi="Arial"/>
          <w:b/>
          <w:sz w:val="22"/>
          <w:szCs w:val="22"/>
          <w:u w:val="single"/>
        </w:rPr>
        <w:t xml:space="preserve">Additional </w:t>
      </w:r>
      <w:r w:rsidR="000076B3" w:rsidRPr="00617C8D">
        <w:rPr>
          <w:rFonts w:ascii="Arial" w:hAnsi="Arial"/>
          <w:b/>
          <w:sz w:val="22"/>
          <w:szCs w:val="22"/>
          <w:u w:val="single"/>
        </w:rPr>
        <w:t>Results</w:t>
      </w:r>
    </w:p>
    <w:p w:rsidR="000076B3" w:rsidRPr="00617C8D" w:rsidRDefault="000076B3" w:rsidP="000076B3">
      <w:pPr>
        <w:spacing w:line="480" w:lineRule="auto"/>
        <w:rPr>
          <w:rFonts w:ascii="Arial" w:hAnsi="Arial"/>
          <w:sz w:val="22"/>
          <w:szCs w:val="22"/>
          <w:u w:val="single"/>
        </w:rPr>
      </w:pPr>
      <w:r w:rsidRPr="00617C8D">
        <w:rPr>
          <w:rFonts w:ascii="Arial" w:hAnsi="Arial"/>
          <w:sz w:val="22"/>
          <w:szCs w:val="22"/>
          <w:u w:val="single"/>
        </w:rPr>
        <w:t>General</w:t>
      </w:r>
    </w:p>
    <w:p w:rsidR="000076B3" w:rsidRPr="000076B3" w:rsidRDefault="000076B3" w:rsidP="000076B3">
      <w:pPr>
        <w:spacing w:line="480" w:lineRule="auto"/>
        <w:rPr>
          <w:rFonts w:ascii="Arial" w:hAnsi="Arial"/>
          <w:sz w:val="22"/>
          <w:szCs w:val="22"/>
        </w:rPr>
      </w:pPr>
      <w:r w:rsidRPr="000076B3">
        <w:rPr>
          <w:rFonts w:ascii="Arial" w:hAnsi="Arial"/>
          <w:sz w:val="22"/>
          <w:szCs w:val="22"/>
        </w:rPr>
        <w:t xml:space="preserve">Volunteers with normal (n=3) vision and patients with severe IRDs (LCA due to CEP290 or RPE65 mutations, n=8) volunteered to test early evolving versions of a VR-O&amp;M test (Supplemental Table 1). The feedback of the participants was used to fine-tune variables of the emerging VR-O&amp;M course, including the overall size of the course, the size and luminance of the starting platform, the range of light levels incorporated and features of the obstacles. For example, the introduction of obstacles resembling open doors on overhead cabinets or </w:t>
      </w:r>
      <w:r w:rsidR="00617C8D">
        <w:rPr>
          <w:rFonts w:ascii="Arial" w:hAnsi="Arial"/>
          <w:sz w:val="22"/>
          <w:szCs w:val="22"/>
        </w:rPr>
        <w:t>drawers below the waist height.</w:t>
      </w:r>
    </w:p>
    <w:p w:rsidR="000076B3" w:rsidRPr="00617C8D" w:rsidRDefault="000076B3" w:rsidP="000076B3">
      <w:pPr>
        <w:spacing w:line="480" w:lineRule="auto"/>
        <w:rPr>
          <w:rFonts w:ascii="Arial" w:hAnsi="Arial"/>
          <w:sz w:val="22"/>
          <w:szCs w:val="22"/>
          <w:u w:val="single"/>
        </w:rPr>
      </w:pPr>
      <w:r w:rsidRPr="00617C8D">
        <w:rPr>
          <w:rFonts w:ascii="Arial" w:hAnsi="Arial"/>
          <w:sz w:val="22"/>
          <w:szCs w:val="22"/>
          <w:u w:val="single"/>
        </w:rPr>
        <w:t>Virtual Reality Orientation and Mobility Performance</w:t>
      </w:r>
      <w:r w:rsidR="00617C8D" w:rsidRPr="00617C8D">
        <w:rPr>
          <w:rFonts w:ascii="Arial" w:hAnsi="Arial"/>
          <w:sz w:val="22"/>
          <w:szCs w:val="22"/>
          <w:u w:val="single"/>
        </w:rPr>
        <w:t xml:space="preserve">, </w:t>
      </w:r>
      <w:r w:rsidRPr="00617C8D">
        <w:rPr>
          <w:rFonts w:ascii="Arial" w:hAnsi="Arial"/>
          <w:sz w:val="22"/>
          <w:szCs w:val="22"/>
          <w:u w:val="single"/>
        </w:rPr>
        <w:t>Arrow-Only Tests</w:t>
      </w:r>
    </w:p>
    <w:p w:rsidR="000076B3" w:rsidRPr="000076B3" w:rsidRDefault="000076B3" w:rsidP="000076B3">
      <w:pPr>
        <w:spacing w:line="480" w:lineRule="auto"/>
        <w:rPr>
          <w:rFonts w:ascii="Arial" w:hAnsi="Arial"/>
          <w:sz w:val="22"/>
          <w:szCs w:val="22"/>
        </w:rPr>
      </w:pPr>
      <w:r w:rsidRPr="000076B3">
        <w:rPr>
          <w:rFonts w:ascii="Arial" w:hAnsi="Arial"/>
          <w:sz w:val="22"/>
          <w:szCs w:val="22"/>
        </w:rPr>
        <w:lastRenderedPageBreak/>
        <w:t>At the dimmest luminances, patients were allowed to try for about a minute to find the starting platform and if they failed they were guided verbally to orient to the</w:t>
      </w:r>
      <w:r w:rsidR="00617C8D">
        <w:rPr>
          <w:rFonts w:ascii="Arial" w:hAnsi="Arial"/>
          <w:sz w:val="22"/>
          <w:szCs w:val="22"/>
        </w:rPr>
        <w:t xml:space="preserve"> area where the platform stood.</w:t>
      </w:r>
    </w:p>
    <w:p w:rsidR="000076B3" w:rsidRPr="00617C8D" w:rsidRDefault="000076B3" w:rsidP="000076B3">
      <w:pPr>
        <w:spacing w:line="480" w:lineRule="auto"/>
        <w:rPr>
          <w:rFonts w:ascii="Arial" w:hAnsi="Arial"/>
          <w:sz w:val="22"/>
          <w:szCs w:val="22"/>
          <w:u w:val="single"/>
        </w:rPr>
      </w:pPr>
      <w:r w:rsidRPr="00617C8D">
        <w:rPr>
          <w:rFonts w:ascii="Arial" w:hAnsi="Arial"/>
          <w:sz w:val="22"/>
          <w:szCs w:val="22"/>
          <w:u w:val="single"/>
        </w:rPr>
        <w:t>Arrows Plus Objects Tests</w:t>
      </w:r>
    </w:p>
    <w:p w:rsidR="000076B3" w:rsidRPr="000076B3" w:rsidRDefault="000076B3" w:rsidP="000076B3">
      <w:pPr>
        <w:spacing w:line="480" w:lineRule="auto"/>
        <w:rPr>
          <w:rFonts w:ascii="Arial" w:hAnsi="Arial"/>
          <w:sz w:val="22"/>
          <w:szCs w:val="22"/>
        </w:rPr>
      </w:pPr>
      <w:r w:rsidRPr="000076B3">
        <w:rPr>
          <w:rFonts w:ascii="Arial" w:hAnsi="Arial"/>
          <w:sz w:val="22"/>
          <w:szCs w:val="22"/>
        </w:rPr>
        <w:t>The automatic scoring algorithm recognized the incidents appropriately in the majority of the cases. Evaluation errors arose from overcalled collisions. Examples include occasions when an individual swerved or ducked to avoid an obstacle but touched the obstacle in the process, or if a subject waived their arms and inadvertently touched an object they had cleared as they moved forward, as well as instances where the subject swerved to avoid an object and in doing so, accidentally touched another one. Errors did not depend on the height of the patients.  We believe that in future studies, accidental collisions can be avoided by reducing the number of obstacles.</w:t>
      </w:r>
    </w:p>
    <w:p w:rsidR="000076B3" w:rsidRPr="000076B3" w:rsidRDefault="000076B3" w:rsidP="000076B3">
      <w:pPr>
        <w:spacing w:line="480" w:lineRule="auto"/>
        <w:rPr>
          <w:rFonts w:ascii="Arial" w:hAnsi="Arial"/>
          <w:sz w:val="22"/>
          <w:szCs w:val="22"/>
        </w:rPr>
      </w:pPr>
      <w:r w:rsidRPr="000076B3">
        <w:rPr>
          <w:rFonts w:ascii="Arial" w:hAnsi="Arial"/>
          <w:sz w:val="22"/>
          <w:szCs w:val="22"/>
        </w:rPr>
        <w:t>Unlike control subjects, untreated patients often needed guidance or extra time in order to find the starting platform and orient themselves to the path (Video S3-pre; S4-pre).</w:t>
      </w:r>
    </w:p>
    <w:p w:rsidR="000076B3" w:rsidRPr="000076B3" w:rsidRDefault="000076B3" w:rsidP="000076B3">
      <w:pPr>
        <w:spacing w:line="480" w:lineRule="auto"/>
        <w:rPr>
          <w:rFonts w:ascii="Arial" w:hAnsi="Arial"/>
          <w:sz w:val="22"/>
          <w:szCs w:val="22"/>
        </w:rPr>
      </w:pPr>
      <w:r w:rsidRPr="000076B3">
        <w:rPr>
          <w:rFonts w:ascii="Arial" w:hAnsi="Arial"/>
          <w:sz w:val="22"/>
          <w:szCs w:val="22"/>
        </w:rPr>
        <w:t>As shown in representative Video S3-pre, this RPE65 subject, VR21, has trouble seeing the obstacles and fails both on the basis of speed and accuracy. Although there was no penalty for time taken before taking the first step, it took 7 secs for the subject to decide where to take that step. This test took a total of 65 secs and involved multiple (&gt;4) collisions and several e</w:t>
      </w:r>
      <w:r w:rsidR="00617C8D">
        <w:rPr>
          <w:rFonts w:ascii="Arial" w:hAnsi="Arial"/>
          <w:sz w:val="22"/>
          <w:szCs w:val="22"/>
        </w:rPr>
        <w:t xml:space="preserve">pisodes of going off the path. </w:t>
      </w:r>
    </w:p>
    <w:p w:rsidR="000076B3" w:rsidRPr="00617C8D" w:rsidRDefault="000076B3" w:rsidP="000076B3">
      <w:pPr>
        <w:spacing w:line="480" w:lineRule="auto"/>
        <w:rPr>
          <w:rFonts w:ascii="Arial" w:hAnsi="Arial"/>
          <w:sz w:val="22"/>
          <w:szCs w:val="22"/>
          <w:u w:val="single"/>
        </w:rPr>
      </w:pPr>
      <w:r w:rsidRPr="00617C8D">
        <w:rPr>
          <w:rFonts w:ascii="Arial" w:hAnsi="Arial"/>
          <w:sz w:val="22"/>
          <w:szCs w:val="22"/>
          <w:u w:val="single"/>
        </w:rPr>
        <w:t>Scoring</w:t>
      </w:r>
    </w:p>
    <w:p w:rsidR="00567852" w:rsidRPr="000076B3" w:rsidRDefault="000076B3" w:rsidP="000076B3">
      <w:pPr>
        <w:spacing w:line="480" w:lineRule="auto"/>
        <w:rPr>
          <w:rFonts w:ascii="Arial" w:hAnsi="Arial"/>
          <w:sz w:val="22"/>
          <w:szCs w:val="22"/>
        </w:rPr>
      </w:pPr>
      <w:r w:rsidRPr="000076B3">
        <w:rPr>
          <w:rFonts w:ascii="Arial" w:hAnsi="Arial"/>
          <w:sz w:val="22"/>
          <w:szCs w:val="22"/>
        </w:rPr>
        <w:t xml:space="preserve">The design and implementation of the VR-O&amp;M was not without challenges. Although the desire was to have fully-automated detection of the collisions with objects or departures from the path of arrows, there were frequent examples of collisions overcalled by the software that required correction by manual supervision of the videos, which introduces a bias. Several solutions to this problem may involve changes in hardware such as adding additional or different reference points for the software to monitor the position of the subject in space, the introduction of </w:t>
      </w:r>
      <w:r w:rsidRPr="000076B3">
        <w:rPr>
          <w:rFonts w:ascii="Arial" w:hAnsi="Arial"/>
          <w:sz w:val="22"/>
          <w:szCs w:val="22"/>
        </w:rPr>
        <w:lastRenderedPageBreak/>
        <w:t>additional controllers as well as software modifications (which have already been implemented) intended to modify the thresholds for detection.</w:t>
      </w:r>
    </w:p>
    <w:p w:rsidR="000076B3" w:rsidRDefault="000076B3" w:rsidP="000076B3">
      <w:pPr>
        <w:spacing w:line="480" w:lineRule="auto"/>
        <w:rPr>
          <w:rFonts w:ascii="Arial" w:hAnsi="Arial"/>
          <w:b/>
          <w:sz w:val="22"/>
          <w:szCs w:val="22"/>
        </w:rPr>
      </w:pPr>
    </w:p>
    <w:p w:rsidR="005E7B06" w:rsidRDefault="005E7B06" w:rsidP="00C853AA">
      <w:pPr>
        <w:spacing w:line="480" w:lineRule="auto"/>
        <w:rPr>
          <w:rFonts w:ascii="Arial" w:hAnsi="Arial"/>
          <w:b/>
          <w:sz w:val="22"/>
          <w:szCs w:val="22"/>
        </w:rPr>
      </w:pPr>
      <w:r>
        <w:rPr>
          <w:rFonts w:ascii="Arial" w:hAnsi="Arial"/>
          <w:b/>
          <w:sz w:val="22"/>
          <w:szCs w:val="22"/>
        </w:rPr>
        <w:t xml:space="preserve">SUPPLEMENTAL TABLE 1 </w:t>
      </w:r>
    </w:p>
    <w:p w:rsidR="00567852" w:rsidRDefault="00567852" w:rsidP="00567852">
      <w:pPr>
        <w:pStyle w:val="Header"/>
        <w:tabs>
          <w:tab w:val="clear" w:pos="4680"/>
          <w:tab w:val="clear" w:pos="9360"/>
        </w:tabs>
        <w:rPr>
          <w:rFonts w:ascii="Times New Roman" w:hAnsi="Times New Roman" w:cs="Times New Roman"/>
          <w:sz w:val="20"/>
          <w:szCs w:val="20"/>
        </w:rPr>
      </w:pPr>
      <w:r>
        <w:rPr>
          <w:rFonts w:ascii="Times New Roman" w:hAnsi="Times New Roman" w:cs="Times New Roman"/>
          <w:b/>
          <w:sz w:val="20"/>
          <w:szCs w:val="20"/>
        </w:rPr>
        <w:t xml:space="preserve">Supplemental </w:t>
      </w:r>
      <w:r w:rsidRPr="00421437">
        <w:rPr>
          <w:rFonts w:ascii="Times New Roman" w:hAnsi="Times New Roman" w:cs="Times New Roman"/>
          <w:b/>
          <w:sz w:val="20"/>
          <w:szCs w:val="20"/>
        </w:rPr>
        <w:t>Table 1</w:t>
      </w:r>
      <w:r>
        <w:rPr>
          <w:rFonts w:ascii="Times New Roman" w:hAnsi="Times New Roman" w:cs="Times New Roman"/>
          <w:b/>
          <w:sz w:val="20"/>
          <w:szCs w:val="20"/>
        </w:rPr>
        <w:t>.</w:t>
      </w:r>
      <w:r w:rsidRPr="00B46BD3">
        <w:rPr>
          <w:rFonts w:ascii="Times New Roman" w:hAnsi="Times New Roman" w:cs="Times New Roman"/>
          <w:b/>
          <w:sz w:val="20"/>
          <w:szCs w:val="20"/>
        </w:rPr>
        <w:t xml:space="preserve"> </w:t>
      </w:r>
      <w:r w:rsidRPr="002E6C48">
        <w:rPr>
          <w:rFonts w:ascii="Times New Roman" w:hAnsi="Times New Roman" w:cs="Times New Roman"/>
          <w:sz w:val="20"/>
          <w:szCs w:val="20"/>
        </w:rPr>
        <w:t>Subjects that underwent testing during design stages</w:t>
      </w:r>
    </w:p>
    <w:p w:rsidR="00567852" w:rsidRPr="002E6C48" w:rsidRDefault="00567852" w:rsidP="00567852">
      <w:pPr>
        <w:pStyle w:val="Header"/>
        <w:tabs>
          <w:tab w:val="clear" w:pos="4680"/>
          <w:tab w:val="clear" w:pos="9360"/>
        </w:tabs>
        <w:rPr>
          <w:rFonts w:ascii="Times New Roman" w:hAnsi="Times New Roman" w:cs="Times New Roman"/>
          <w:sz w:val="20"/>
          <w:szCs w:val="20"/>
        </w:rPr>
      </w:pPr>
    </w:p>
    <w:tbl>
      <w:tblPr>
        <w:tblW w:w="1970" w:type="pct"/>
        <w:tblLayout w:type="fixed"/>
        <w:tblCellMar>
          <w:left w:w="0" w:type="dxa"/>
          <w:right w:w="0" w:type="dxa"/>
        </w:tblCellMar>
        <w:tblLook w:val="04A0" w:firstRow="1" w:lastRow="0" w:firstColumn="1" w:lastColumn="0" w:noHBand="0" w:noVBand="1"/>
      </w:tblPr>
      <w:tblGrid>
        <w:gridCol w:w="518"/>
        <w:gridCol w:w="894"/>
        <w:gridCol w:w="20"/>
        <w:gridCol w:w="879"/>
        <w:gridCol w:w="940"/>
        <w:gridCol w:w="407"/>
        <w:gridCol w:w="30"/>
      </w:tblGrid>
      <w:tr w:rsidR="00567852" w:rsidRPr="001570C2" w:rsidTr="00D819F4">
        <w:trPr>
          <w:cantSplit/>
        </w:trPr>
        <w:tc>
          <w:tcPr>
            <w:tcW w:w="704" w:type="pct"/>
            <w:tcBorders>
              <w:top w:val="single" w:sz="4" w:space="0" w:color="000000" w:themeColor="text1"/>
            </w:tcBorders>
            <w:shd w:val="clear" w:color="auto" w:fill="auto"/>
            <w:noWrap/>
            <w:vAlign w:val="center"/>
          </w:tcPr>
          <w:p w:rsidR="00567852" w:rsidRPr="001570C2" w:rsidRDefault="00567852" w:rsidP="00D819F4">
            <w:pPr>
              <w:jc w:val="center"/>
              <w:rPr>
                <w:b/>
                <w:bCs/>
                <w:color w:val="000000"/>
                <w:sz w:val="20"/>
                <w:szCs w:val="20"/>
              </w:rPr>
            </w:pPr>
            <w:r w:rsidRPr="001570C2">
              <w:rPr>
                <w:b/>
                <w:bCs/>
                <w:color w:val="000000"/>
                <w:sz w:val="20"/>
                <w:szCs w:val="20"/>
              </w:rPr>
              <w:t>Pt ID</w:t>
            </w:r>
          </w:p>
        </w:tc>
        <w:tc>
          <w:tcPr>
            <w:tcW w:w="1213" w:type="pct"/>
            <w:tcBorders>
              <w:top w:val="single" w:sz="4" w:space="0" w:color="000000" w:themeColor="text1"/>
            </w:tcBorders>
            <w:shd w:val="clear" w:color="auto" w:fill="auto"/>
            <w:noWrap/>
            <w:vAlign w:val="center"/>
          </w:tcPr>
          <w:p w:rsidR="00567852" w:rsidRPr="001570C2" w:rsidRDefault="00567852" w:rsidP="00D819F4">
            <w:pPr>
              <w:tabs>
                <w:tab w:val="left" w:pos="860"/>
              </w:tabs>
              <w:ind w:right="-5"/>
              <w:jc w:val="both"/>
              <w:rPr>
                <w:b/>
                <w:bCs/>
                <w:color w:val="000000"/>
                <w:sz w:val="20"/>
                <w:szCs w:val="20"/>
              </w:rPr>
            </w:pPr>
            <w:r w:rsidRPr="001570C2">
              <w:rPr>
                <w:b/>
                <w:bCs/>
                <w:color w:val="000000"/>
                <w:sz w:val="20"/>
                <w:szCs w:val="20"/>
              </w:rPr>
              <w:t>Age*/ Gender</w:t>
            </w:r>
          </w:p>
        </w:tc>
        <w:tc>
          <w:tcPr>
            <w:tcW w:w="24" w:type="pct"/>
            <w:tcBorders>
              <w:top w:val="single" w:sz="4" w:space="0" w:color="000000" w:themeColor="text1"/>
            </w:tcBorders>
            <w:vAlign w:val="center"/>
          </w:tcPr>
          <w:p w:rsidR="00567852" w:rsidRPr="001570C2" w:rsidRDefault="00567852" w:rsidP="00D819F4">
            <w:pPr>
              <w:jc w:val="center"/>
              <w:rPr>
                <w:b/>
                <w:bCs/>
                <w:color w:val="000000"/>
                <w:sz w:val="20"/>
                <w:szCs w:val="20"/>
              </w:rPr>
            </w:pPr>
          </w:p>
        </w:tc>
        <w:tc>
          <w:tcPr>
            <w:tcW w:w="1192" w:type="pct"/>
            <w:tcBorders>
              <w:top w:val="single" w:sz="4" w:space="0" w:color="000000" w:themeColor="text1"/>
            </w:tcBorders>
            <w:shd w:val="clear" w:color="auto" w:fill="auto"/>
            <w:noWrap/>
            <w:vAlign w:val="center"/>
          </w:tcPr>
          <w:p w:rsidR="00567852" w:rsidRPr="001570C2" w:rsidRDefault="00567852" w:rsidP="00D819F4">
            <w:pPr>
              <w:ind w:left="17" w:right="2"/>
              <w:jc w:val="center"/>
              <w:rPr>
                <w:b/>
                <w:bCs/>
                <w:color w:val="000000"/>
                <w:sz w:val="20"/>
                <w:szCs w:val="20"/>
              </w:rPr>
            </w:pPr>
            <w:r w:rsidRPr="001570C2">
              <w:rPr>
                <w:b/>
                <w:bCs/>
                <w:color w:val="000000"/>
                <w:sz w:val="20"/>
                <w:szCs w:val="20"/>
              </w:rPr>
              <w:t>Diagnosis</w:t>
            </w:r>
          </w:p>
        </w:tc>
        <w:tc>
          <w:tcPr>
            <w:tcW w:w="1867" w:type="pct"/>
            <w:gridSpan w:val="3"/>
            <w:tcBorders>
              <w:top w:val="single" w:sz="4" w:space="0" w:color="000000" w:themeColor="text1"/>
            </w:tcBorders>
            <w:shd w:val="clear" w:color="auto" w:fill="auto"/>
            <w:noWrap/>
            <w:vAlign w:val="center"/>
          </w:tcPr>
          <w:p w:rsidR="00567852" w:rsidRPr="001570C2" w:rsidRDefault="00567852" w:rsidP="00D819F4">
            <w:pPr>
              <w:jc w:val="center"/>
              <w:rPr>
                <w:b/>
                <w:bCs/>
                <w:color w:val="000000"/>
                <w:sz w:val="20"/>
                <w:szCs w:val="20"/>
              </w:rPr>
            </w:pPr>
            <w:r>
              <w:rPr>
                <w:b/>
                <w:bCs/>
                <w:color w:val="000000"/>
                <w:sz w:val="20"/>
                <w:szCs w:val="20"/>
              </w:rPr>
              <w:t xml:space="preserve">        </w:t>
            </w:r>
            <w:r w:rsidRPr="001570C2">
              <w:rPr>
                <w:b/>
                <w:bCs/>
                <w:color w:val="000000"/>
                <w:sz w:val="20"/>
                <w:szCs w:val="20"/>
              </w:rPr>
              <w:t>Visual acuity</w:t>
            </w:r>
            <w:r w:rsidRPr="001570C2">
              <w:rPr>
                <w:rFonts w:eastAsia="MS Mincho"/>
                <w:sz w:val="20"/>
                <w:szCs w:val="20"/>
                <w:vertAlign w:val="superscript"/>
              </w:rPr>
              <w:t>†</w:t>
            </w:r>
          </w:p>
        </w:tc>
      </w:tr>
      <w:tr w:rsidR="00567852" w:rsidRPr="00421437" w:rsidTr="00D819F4">
        <w:trPr>
          <w:gridAfter w:val="1"/>
          <w:wAfter w:w="40" w:type="pct"/>
          <w:cantSplit/>
          <w:trHeight w:val="288"/>
        </w:trPr>
        <w:tc>
          <w:tcPr>
            <w:tcW w:w="704" w:type="pct"/>
            <w:tcBorders>
              <w:bottom w:val="single" w:sz="8" w:space="0" w:color="auto"/>
            </w:tcBorders>
            <w:shd w:val="clear" w:color="auto" w:fill="auto"/>
            <w:noWrap/>
            <w:vAlign w:val="center"/>
          </w:tcPr>
          <w:p w:rsidR="00567852" w:rsidRPr="00421437" w:rsidRDefault="00567852" w:rsidP="00D819F4">
            <w:pPr>
              <w:jc w:val="center"/>
              <w:rPr>
                <w:b/>
                <w:bCs/>
                <w:color w:val="000000"/>
                <w:sz w:val="20"/>
                <w:szCs w:val="20"/>
              </w:rPr>
            </w:pPr>
          </w:p>
        </w:tc>
        <w:tc>
          <w:tcPr>
            <w:tcW w:w="1213" w:type="pct"/>
            <w:tcBorders>
              <w:bottom w:val="single" w:sz="8" w:space="0" w:color="auto"/>
            </w:tcBorders>
            <w:shd w:val="clear" w:color="auto" w:fill="auto"/>
            <w:noWrap/>
            <w:vAlign w:val="center"/>
          </w:tcPr>
          <w:p w:rsidR="00567852" w:rsidRPr="00421437" w:rsidRDefault="00567852" w:rsidP="00D819F4">
            <w:pPr>
              <w:tabs>
                <w:tab w:val="left" w:pos="860"/>
              </w:tabs>
              <w:ind w:right="-5"/>
              <w:jc w:val="center"/>
              <w:rPr>
                <w:b/>
                <w:bCs/>
                <w:color w:val="000000"/>
                <w:sz w:val="20"/>
                <w:szCs w:val="20"/>
              </w:rPr>
            </w:pPr>
          </w:p>
        </w:tc>
        <w:tc>
          <w:tcPr>
            <w:tcW w:w="24" w:type="pct"/>
            <w:tcBorders>
              <w:bottom w:val="single" w:sz="8" w:space="0" w:color="auto"/>
            </w:tcBorders>
            <w:vAlign w:val="center"/>
          </w:tcPr>
          <w:p w:rsidR="00567852" w:rsidRPr="00421437" w:rsidRDefault="00567852" w:rsidP="00D819F4">
            <w:pPr>
              <w:jc w:val="center"/>
              <w:rPr>
                <w:b/>
                <w:bCs/>
                <w:color w:val="000000"/>
                <w:sz w:val="20"/>
                <w:szCs w:val="20"/>
              </w:rPr>
            </w:pPr>
          </w:p>
        </w:tc>
        <w:tc>
          <w:tcPr>
            <w:tcW w:w="1192" w:type="pct"/>
            <w:tcBorders>
              <w:bottom w:val="single" w:sz="8" w:space="0" w:color="auto"/>
            </w:tcBorders>
            <w:shd w:val="clear" w:color="auto" w:fill="auto"/>
            <w:noWrap/>
            <w:vAlign w:val="center"/>
          </w:tcPr>
          <w:p w:rsidR="00567852" w:rsidRPr="00421437" w:rsidRDefault="00567852" w:rsidP="00D819F4">
            <w:pPr>
              <w:ind w:left="17" w:right="2"/>
              <w:jc w:val="center"/>
              <w:rPr>
                <w:b/>
                <w:bCs/>
                <w:i/>
                <w:color w:val="000000"/>
                <w:sz w:val="20"/>
                <w:szCs w:val="20"/>
              </w:rPr>
            </w:pPr>
          </w:p>
        </w:tc>
        <w:tc>
          <w:tcPr>
            <w:tcW w:w="1275" w:type="pct"/>
            <w:tcBorders>
              <w:bottom w:val="single" w:sz="8" w:space="0" w:color="auto"/>
            </w:tcBorders>
            <w:shd w:val="clear" w:color="auto" w:fill="auto"/>
            <w:noWrap/>
            <w:vAlign w:val="center"/>
          </w:tcPr>
          <w:p w:rsidR="00567852" w:rsidRPr="00421437" w:rsidRDefault="00567852" w:rsidP="00D819F4">
            <w:pPr>
              <w:jc w:val="center"/>
              <w:rPr>
                <w:b/>
                <w:bCs/>
                <w:color w:val="000000"/>
                <w:sz w:val="20"/>
                <w:szCs w:val="20"/>
              </w:rPr>
            </w:pPr>
            <w:r w:rsidRPr="00421437">
              <w:rPr>
                <w:b/>
                <w:bCs/>
                <w:color w:val="000000"/>
                <w:sz w:val="20"/>
                <w:szCs w:val="20"/>
              </w:rPr>
              <w:t>OD</w:t>
            </w:r>
          </w:p>
        </w:tc>
        <w:tc>
          <w:tcPr>
            <w:tcW w:w="552" w:type="pct"/>
            <w:tcBorders>
              <w:bottom w:val="single" w:sz="8" w:space="0" w:color="auto"/>
            </w:tcBorders>
            <w:vAlign w:val="center"/>
          </w:tcPr>
          <w:p w:rsidR="00567852" w:rsidRPr="00421437" w:rsidRDefault="00567852" w:rsidP="00D819F4">
            <w:pPr>
              <w:jc w:val="center"/>
              <w:rPr>
                <w:b/>
                <w:bCs/>
                <w:color w:val="000000"/>
                <w:sz w:val="20"/>
                <w:szCs w:val="20"/>
              </w:rPr>
            </w:pPr>
            <w:r w:rsidRPr="00421437">
              <w:rPr>
                <w:b/>
                <w:bCs/>
                <w:color w:val="000000"/>
                <w:sz w:val="20"/>
                <w:szCs w:val="20"/>
              </w:rPr>
              <w:t>OS</w:t>
            </w:r>
          </w:p>
        </w:tc>
      </w:tr>
      <w:tr w:rsidR="00567852" w:rsidRPr="005D021C" w:rsidTr="00D819F4">
        <w:trPr>
          <w:gridAfter w:val="1"/>
          <w:wAfter w:w="40" w:type="pct"/>
          <w:cantSplit/>
          <w:trHeight w:val="288"/>
        </w:trPr>
        <w:tc>
          <w:tcPr>
            <w:tcW w:w="704" w:type="pct"/>
            <w:tcBorders>
              <w:top w:val="single" w:sz="8" w:space="0" w:color="auto"/>
            </w:tcBorders>
            <w:shd w:val="clear" w:color="auto" w:fill="auto"/>
            <w:noWrap/>
            <w:tcMar>
              <w:top w:w="72" w:type="dxa"/>
            </w:tcMar>
            <w:vAlign w:val="center"/>
          </w:tcPr>
          <w:p w:rsidR="00567852" w:rsidRPr="00890836" w:rsidRDefault="00567852" w:rsidP="00D819F4">
            <w:pPr>
              <w:jc w:val="center"/>
              <w:rPr>
                <w:iCs/>
                <w:sz w:val="20"/>
                <w:szCs w:val="20"/>
              </w:rPr>
            </w:pPr>
            <w:r>
              <w:rPr>
                <w:iCs/>
                <w:sz w:val="20"/>
                <w:szCs w:val="20"/>
              </w:rPr>
              <w:t>VR4</w:t>
            </w:r>
          </w:p>
        </w:tc>
        <w:tc>
          <w:tcPr>
            <w:tcW w:w="1213" w:type="pct"/>
            <w:tcBorders>
              <w:top w:val="single" w:sz="8" w:space="0" w:color="auto"/>
            </w:tcBorders>
            <w:shd w:val="clear" w:color="auto" w:fill="auto"/>
            <w:noWrap/>
            <w:tcMar>
              <w:top w:w="72" w:type="dxa"/>
            </w:tcMar>
            <w:vAlign w:val="center"/>
          </w:tcPr>
          <w:p w:rsidR="00567852" w:rsidRPr="00890836" w:rsidRDefault="00567852" w:rsidP="00D819F4">
            <w:pPr>
              <w:jc w:val="center"/>
              <w:rPr>
                <w:iCs/>
                <w:sz w:val="20"/>
                <w:szCs w:val="20"/>
              </w:rPr>
            </w:pPr>
            <w:r>
              <w:rPr>
                <w:iCs/>
                <w:sz w:val="20"/>
                <w:szCs w:val="20"/>
              </w:rPr>
              <w:t>43/F</w:t>
            </w:r>
          </w:p>
        </w:tc>
        <w:tc>
          <w:tcPr>
            <w:tcW w:w="24" w:type="pct"/>
            <w:tcBorders>
              <w:top w:val="single" w:sz="8" w:space="0" w:color="auto"/>
            </w:tcBorders>
            <w:noWrap/>
            <w:tcMar>
              <w:top w:w="72" w:type="dxa"/>
            </w:tcMar>
            <w:vAlign w:val="center"/>
          </w:tcPr>
          <w:p w:rsidR="00567852" w:rsidRPr="00890836" w:rsidRDefault="00567852" w:rsidP="00D819F4">
            <w:pPr>
              <w:jc w:val="center"/>
              <w:rPr>
                <w:iCs/>
                <w:sz w:val="20"/>
                <w:szCs w:val="20"/>
              </w:rPr>
            </w:pPr>
          </w:p>
        </w:tc>
        <w:tc>
          <w:tcPr>
            <w:tcW w:w="1192" w:type="pct"/>
            <w:tcBorders>
              <w:top w:val="single" w:sz="8" w:space="0" w:color="auto"/>
            </w:tcBorders>
            <w:shd w:val="clear" w:color="auto" w:fill="auto"/>
            <w:noWrap/>
            <w:tcMar>
              <w:top w:w="72" w:type="dxa"/>
            </w:tcMar>
            <w:vAlign w:val="center"/>
          </w:tcPr>
          <w:p w:rsidR="00567852" w:rsidRPr="00AC70F5" w:rsidRDefault="00567852" w:rsidP="00D819F4">
            <w:pPr>
              <w:jc w:val="center"/>
              <w:rPr>
                <w:iCs/>
                <w:color w:val="000000"/>
                <w:sz w:val="20"/>
                <w:szCs w:val="20"/>
              </w:rPr>
            </w:pPr>
            <w:r>
              <w:rPr>
                <w:i/>
                <w:color w:val="000000"/>
                <w:sz w:val="20"/>
                <w:szCs w:val="20"/>
              </w:rPr>
              <w:t>CEP290-</w:t>
            </w:r>
            <w:r>
              <w:rPr>
                <w:color w:val="000000"/>
                <w:sz w:val="20"/>
                <w:szCs w:val="20"/>
              </w:rPr>
              <w:t>LCA</w:t>
            </w:r>
          </w:p>
        </w:tc>
        <w:tc>
          <w:tcPr>
            <w:tcW w:w="1275" w:type="pct"/>
            <w:tcBorders>
              <w:top w:val="single" w:sz="8" w:space="0" w:color="auto"/>
            </w:tcBorders>
            <w:shd w:val="clear" w:color="auto" w:fill="auto"/>
            <w:noWrap/>
            <w:tcMar>
              <w:top w:w="72" w:type="dxa"/>
            </w:tcMar>
            <w:vAlign w:val="center"/>
          </w:tcPr>
          <w:p w:rsidR="00567852" w:rsidRPr="00890836" w:rsidRDefault="00567852" w:rsidP="00D819F4">
            <w:pPr>
              <w:jc w:val="center"/>
              <w:rPr>
                <w:color w:val="000000"/>
                <w:sz w:val="20"/>
                <w:szCs w:val="20"/>
              </w:rPr>
            </w:pPr>
            <w:r w:rsidRPr="003419BE">
              <w:rPr>
                <w:sz w:val="20"/>
                <w:szCs w:val="20"/>
              </w:rPr>
              <w:t>HM</w:t>
            </w:r>
          </w:p>
        </w:tc>
        <w:tc>
          <w:tcPr>
            <w:tcW w:w="552" w:type="pct"/>
            <w:tcBorders>
              <w:top w:val="single" w:sz="8" w:space="0" w:color="auto"/>
            </w:tcBorders>
            <w:noWrap/>
            <w:tcMar>
              <w:top w:w="72" w:type="dxa"/>
            </w:tcMar>
            <w:vAlign w:val="center"/>
          </w:tcPr>
          <w:p w:rsidR="00567852" w:rsidRPr="00890836" w:rsidRDefault="00567852" w:rsidP="00D819F4">
            <w:pPr>
              <w:jc w:val="center"/>
              <w:rPr>
                <w:color w:val="000000"/>
                <w:sz w:val="20"/>
                <w:szCs w:val="20"/>
              </w:rPr>
            </w:pPr>
            <w:r w:rsidRPr="003419BE">
              <w:rPr>
                <w:sz w:val="20"/>
                <w:szCs w:val="20"/>
              </w:rPr>
              <w:t>HM</w:t>
            </w:r>
          </w:p>
        </w:tc>
      </w:tr>
      <w:tr w:rsidR="00567852" w:rsidRPr="005D021C"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sidRPr="003419BE">
              <w:rPr>
                <w:sz w:val="20"/>
                <w:szCs w:val="20"/>
              </w:rPr>
              <w:t>VR</w:t>
            </w:r>
            <w:r>
              <w:rPr>
                <w:sz w:val="20"/>
                <w:szCs w:val="20"/>
              </w:rPr>
              <w:t>5</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29/M</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890836" w:rsidRDefault="00567852" w:rsidP="00D819F4">
            <w:pPr>
              <w:jc w:val="center"/>
              <w:rPr>
                <w:iCs/>
                <w:sz w:val="20"/>
                <w:szCs w:val="20"/>
              </w:rPr>
            </w:pPr>
            <w:r w:rsidRPr="003419BE">
              <w:rPr>
                <w:sz w:val="20"/>
                <w:szCs w:val="20"/>
              </w:rPr>
              <w:t>20/125</w:t>
            </w:r>
          </w:p>
        </w:tc>
        <w:tc>
          <w:tcPr>
            <w:tcW w:w="552" w:type="pct"/>
            <w:noWrap/>
            <w:vAlign w:val="center"/>
          </w:tcPr>
          <w:p w:rsidR="00567852" w:rsidRPr="00890836" w:rsidRDefault="00567852" w:rsidP="00D819F4">
            <w:pPr>
              <w:jc w:val="center"/>
              <w:rPr>
                <w:iCs/>
                <w:sz w:val="20"/>
                <w:szCs w:val="20"/>
              </w:rPr>
            </w:pPr>
            <w:r w:rsidRPr="003419BE">
              <w:rPr>
                <w:sz w:val="20"/>
                <w:szCs w:val="20"/>
              </w:rPr>
              <w:t>20/40</w:t>
            </w:r>
          </w:p>
        </w:tc>
      </w:tr>
      <w:tr w:rsidR="00567852" w:rsidRPr="005D021C"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Pr>
                <w:iCs/>
                <w:sz w:val="20"/>
                <w:szCs w:val="20"/>
              </w:rPr>
              <w:t>VR9</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25/M</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890836" w:rsidRDefault="00567852" w:rsidP="00D819F4">
            <w:pPr>
              <w:jc w:val="center"/>
              <w:rPr>
                <w:iCs/>
                <w:sz w:val="20"/>
                <w:szCs w:val="20"/>
              </w:rPr>
            </w:pPr>
            <w:r w:rsidRPr="003419BE">
              <w:rPr>
                <w:sz w:val="20"/>
                <w:szCs w:val="20"/>
              </w:rPr>
              <w:t>20/500</w:t>
            </w:r>
          </w:p>
        </w:tc>
        <w:tc>
          <w:tcPr>
            <w:tcW w:w="552" w:type="pct"/>
            <w:noWrap/>
            <w:vAlign w:val="center"/>
          </w:tcPr>
          <w:p w:rsidR="00567852" w:rsidRPr="00890836" w:rsidRDefault="00567852" w:rsidP="00D819F4">
            <w:pPr>
              <w:jc w:val="center"/>
              <w:rPr>
                <w:iCs/>
                <w:sz w:val="20"/>
                <w:szCs w:val="20"/>
              </w:rPr>
            </w:pPr>
            <w:r w:rsidRPr="003419BE">
              <w:rPr>
                <w:sz w:val="20"/>
                <w:szCs w:val="20"/>
              </w:rPr>
              <w:t>20/500</w:t>
            </w:r>
          </w:p>
        </w:tc>
      </w:tr>
      <w:tr w:rsidR="00567852" w:rsidRPr="00255D3E"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Pr>
                <w:iCs/>
                <w:sz w:val="20"/>
                <w:szCs w:val="20"/>
              </w:rPr>
              <w:t>VR12</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18/F</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9A4910" w:rsidRDefault="00567852" w:rsidP="00D819F4">
            <w:pPr>
              <w:jc w:val="center"/>
              <w:rPr>
                <w:iCs/>
                <w:sz w:val="20"/>
                <w:szCs w:val="20"/>
                <w:highlight w:val="yellow"/>
              </w:rPr>
            </w:pPr>
            <w:r w:rsidRPr="00255D3E">
              <w:rPr>
                <w:color w:val="000000"/>
                <w:sz w:val="20"/>
                <w:szCs w:val="20"/>
                <w:shd w:val="clear" w:color="auto" w:fill="FFFFFF"/>
              </w:rPr>
              <w:t>20/40</w:t>
            </w:r>
          </w:p>
        </w:tc>
        <w:tc>
          <w:tcPr>
            <w:tcW w:w="552" w:type="pct"/>
            <w:noWrap/>
            <w:vAlign w:val="center"/>
          </w:tcPr>
          <w:p w:rsidR="00567852" w:rsidRPr="00255D3E" w:rsidRDefault="00567852" w:rsidP="00D819F4">
            <w:pPr>
              <w:jc w:val="center"/>
              <w:rPr>
                <w:iCs/>
                <w:sz w:val="20"/>
                <w:szCs w:val="20"/>
              </w:rPr>
            </w:pPr>
            <w:r w:rsidRPr="00255D3E">
              <w:rPr>
                <w:color w:val="000000"/>
                <w:sz w:val="20"/>
                <w:szCs w:val="20"/>
                <w:shd w:val="clear" w:color="auto" w:fill="FFFFFF"/>
              </w:rPr>
              <w:t>20/125</w:t>
            </w:r>
          </w:p>
        </w:tc>
      </w:tr>
      <w:tr w:rsidR="00567852" w:rsidRPr="005D021C"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Pr>
                <w:iCs/>
                <w:sz w:val="20"/>
                <w:szCs w:val="20"/>
              </w:rPr>
              <w:t>VR14</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37/M</w:t>
            </w:r>
            <w:r w:rsidRPr="0088660E">
              <w:rPr>
                <w:rFonts w:eastAsia="MS Mincho"/>
                <w:sz w:val="18"/>
                <w:szCs w:val="18"/>
                <w:vertAlign w:val="superscript"/>
              </w:rPr>
              <w:t>‡</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890836" w:rsidRDefault="00567852" w:rsidP="00D819F4">
            <w:pPr>
              <w:jc w:val="center"/>
              <w:rPr>
                <w:iCs/>
                <w:sz w:val="20"/>
                <w:szCs w:val="20"/>
              </w:rPr>
            </w:pPr>
            <w:r w:rsidRPr="003419BE">
              <w:rPr>
                <w:sz w:val="20"/>
                <w:szCs w:val="20"/>
              </w:rPr>
              <w:t>LP</w:t>
            </w:r>
          </w:p>
        </w:tc>
        <w:tc>
          <w:tcPr>
            <w:tcW w:w="552" w:type="pct"/>
            <w:noWrap/>
            <w:vAlign w:val="center"/>
          </w:tcPr>
          <w:p w:rsidR="00567852" w:rsidRPr="00890836" w:rsidRDefault="00567852" w:rsidP="00D819F4">
            <w:pPr>
              <w:jc w:val="center"/>
              <w:rPr>
                <w:iCs/>
                <w:sz w:val="20"/>
                <w:szCs w:val="20"/>
              </w:rPr>
            </w:pPr>
            <w:r w:rsidRPr="003419BE">
              <w:rPr>
                <w:sz w:val="20"/>
                <w:szCs w:val="20"/>
              </w:rPr>
              <w:t>LP</w:t>
            </w:r>
          </w:p>
        </w:tc>
      </w:tr>
      <w:tr w:rsidR="00567852" w:rsidRPr="005D021C"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Pr>
                <w:iCs/>
                <w:sz w:val="20"/>
                <w:szCs w:val="20"/>
              </w:rPr>
              <w:t>VR18</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27/M</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890836" w:rsidRDefault="00567852" w:rsidP="00D819F4">
            <w:pPr>
              <w:jc w:val="center"/>
              <w:rPr>
                <w:iCs/>
                <w:sz w:val="20"/>
                <w:szCs w:val="20"/>
              </w:rPr>
            </w:pPr>
            <w:r w:rsidRPr="003419BE">
              <w:rPr>
                <w:sz w:val="20"/>
                <w:szCs w:val="20"/>
              </w:rPr>
              <w:t>20/1000</w:t>
            </w:r>
          </w:p>
        </w:tc>
        <w:tc>
          <w:tcPr>
            <w:tcW w:w="552" w:type="pct"/>
            <w:noWrap/>
            <w:vAlign w:val="center"/>
          </w:tcPr>
          <w:p w:rsidR="00567852" w:rsidRPr="00D556DB" w:rsidRDefault="00567852" w:rsidP="00D819F4">
            <w:pPr>
              <w:jc w:val="center"/>
              <w:rPr>
                <w:sz w:val="20"/>
                <w:szCs w:val="20"/>
              </w:rPr>
            </w:pPr>
            <w:r w:rsidRPr="003419BE">
              <w:rPr>
                <w:sz w:val="20"/>
                <w:szCs w:val="20"/>
              </w:rPr>
              <w:t>20/630</w:t>
            </w:r>
          </w:p>
        </w:tc>
      </w:tr>
      <w:tr w:rsidR="00567852" w:rsidRPr="005D021C" w:rsidTr="00D819F4">
        <w:trPr>
          <w:gridAfter w:val="1"/>
          <w:wAfter w:w="40" w:type="pct"/>
          <w:cantSplit/>
          <w:trHeight w:val="288"/>
        </w:trPr>
        <w:tc>
          <w:tcPr>
            <w:tcW w:w="704" w:type="pct"/>
            <w:shd w:val="clear" w:color="auto" w:fill="auto"/>
            <w:noWrap/>
            <w:vAlign w:val="center"/>
          </w:tcPr>
          <w:p w:rsidR="00567852" w:rsidRPr="00890836" w:rsidRDefault="00567852" w:rsidP="00D819F4">
            <w:pPr>
              <w:jc w:val="center"/>
              <w:rPr>
                <w:iCs/>
                <w:sz w:val="20"/>
                <w:szCs w:val="20"/>
              </w:rPr>
            </w:pPr>
            <w:r>
              <w:rPr>
                <w:iCs/>
                <w:sz w:val="20"/>
                <w:szCs w:val="20"/>
              </w:rPr>
              <w:t>VR13</w:t>
            </w:r>
          </w:p>
        </w:tc>
        <w:tc>
          <w:tcPr>
            <w:tcW w:w="1213" w:type="pct"/>
            <w:shd w:val="clear" w:color="auto" w:fill="auto"/>
            <w:noWrap/>
            <w:vAlign w:val="center"/>
          </w:tcPr>
          <w:p w:rsidR="00567852" w:rsidRPr="00890836" w:rsidRDefault="00567852" w:rsidP="00D819F4">
            <w:pPr>
              <w:jc w:val="center"/>
              <w:rPr>
                <w:iCs/>
                <w:sz w:val="20"/>
                <w:szCs w:val="20"/>
              </w:rPr>
            </w:pPr>
            <w:r>
              <w:rPr>
                <w:iCs/>
                <w:sz w:val="20"/>
                <w:szCs w:val="20"/>
              </w:rPr>
              <w:t>37</w:t>
            </w:r>
            <w:r w:rsidRPr="00890836">
              <w:rPr>
                <w:iCs/>
                <w:sz w:val="20"/>
                <w:szCs w:val="20"/>
              </w:rPr>
              <w:t>/M</w:t>
            </w:r>
            <w:r w:rsidRPr="0088660E">
              <w:rPr>
                <w:rFonts w:eastAsia="MS Mincho"/>
                <w:sz w:val="18"/>
                <w:szCs w:val="18"/>
                <w:vertAlign w:val="superscript"/>
              </w:rPr>
              <w:t>‡</w:t>
            </w:r>
          </w:p>
        </w:tc>
        <w:tc>
          <w:tcPr>
            <w:tcW w:w="24" w:type="pct"/>
            <w:noWrap/>
            <w:vAlign w:val="center"/>
          </w:tcPr>
          <w:p w:rsidR="00567852" w:rsidRPr="00890836" w:rsidRDefault="00567852" w:rsidP="00D819F4">
            <w:pPr>
              <w:jc w:val="center"/>
              <w:rPr>
                <w:iCs/>
                <w:sz w:val="20"/>
                <w:szCs w:val="20"/>
              </w:rPr>
            </w:pPr>
          </w:p>
        </w:tc>
        <w:tc>
          <w:tcPr>
            <w:tcW w:w="1192" w:type="pct"/>
            <w:shd w:val="clear" w:color="auto" w:fill="auto"/>
            <w:noWrap/>
            <w:vAlign w:val="center"/>
          </w:tcPr>
          <w:p w:rsidR="00567852" w:rsidRPr="00890836" w:rsidRDefault="00567852" w:rsidP="00D819F4">
            <w:pPr>
              <w:jc w:val="center"/>
              <w:rPr>
                <w:color w:val="000000"/>
                <w:sz w:val="20"/>
                <w:szCs w:val="20"/>
              </w:rPr>
            </w:pPr>
            <w:r w:rsidRPr="00B46BD3">
              <w:rPr>
                <w:i/>
                <w:iCs/>
                <w:sz w:val="20"/>
                <w:szCs w:val="20"/>
              </w:rPr>
              <w:t>RPE65</w:t>
            </w:r>
            <w:r>
              <w:rPr>
                <w:iCs/>
                <w:sz w:val="20"/>
                <w:szCs w:val="20"/>
              </w:rPr>
              <w:t>-LCA</w:t>
            </w:r>
          </w:p>
        </w:tc>
        <w:tc>
          <w:tcPr>
            <w:tcW w:w="1275" w:type="pct"/>
            <w:shd w:val="clear" w:color="auto" w:fill="auto"/>
            <w:noWrap/>
            <w:vAlign w:val="center"/>
          </w:tcPr>
          <w:p w:rsidR="00567852" w:rsidRPr="00890836" w:rsidRDefault="00567852" w:rsidP="00D819F4">
            <w:pPr>
              <w:jc w:val="center"/>
              <w:rPr>
                <w:color w:val="000000"/>
                <w:sz w:val="20"/>
                <w:szCs w:val="20"/>
              </w:rPr>
            </w:pPr>
            <w:r w:rsidRPr="003419BE">
              <w:rPr>
                <w:sz w:val="20"/>
                <w:szCs w:val="20"/>
              </w:rPr>
              <w:t>20/1536</w:t>
            </w:r>
          </w:p>
        </w:tc>
        <w:tc>
          <w:tcPr>
            <w:tcW w:w="552" w:type="pct"/>
            <w:noWrap/>
            <w:vAlign w:val="center"/>
          </w:tcPr>
          <w:p w:rsidR="00567852" w:rsidRPr="00890836" w:rsidRDefault="00567852" w:rsidP="00D819F4">
            <w:pPr>
              <w:jc w:val="center"/>
              <w:rPr>
                <w:color w:val="000000"/>
                <w:sz w:val="20"/>
                <w:szCs w:val="20"/>
              </w:rPr>
            </w:pPr>
            <w:r w:rsidRPr="003419BE">
              <w:rPr>
                <w:sz w:val="20"/>
                <w:szCs w:val="20"/>
              </w:rPr>
              <w:t>20/920</w:t>
            </w:r>
          </w:p>
        </w:tc>
      </w:tr>
      <w:tr w:rsidR="00567852" w:rsidRPr="00795483" w:rsidTr="00D819F4">
        <w:trPr>
          <w:gridAfter w:val="1"/>
          <w:wAfter w:w="40" w:type="pct"/>
          <w:cantSplit/>
          <w:trHeight w:val="288"/>
        </w:trPr>
        <w:tc>
          <w:tcPr>
            <w:tcW w:w="704"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VR8</w:t>
            </w:r>
          </w:p>
        </w:tc>
        <w:tc>
          <w:tcPr>
            <w:tcW w:w="1213"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17/M</w:t>
            </w:r>
          </w:p>
        </w:tc>
        <w:tc>
          <w:tcPr>
            <w:tcW w:w="24" w:type="pct"/>
            <w:noWrap/>
            <w:tcMar>
              <w:bottom w:w="0" w:type="dxa"/>
            </w:tcMar>
            <w:vAlign w:val="center"/>
          </w:tcPr>
          <w:p w:rsidR="00567852" w:rsidRPr="00890836" w:rsidRDefault="00567852" w:rsidP="00D819F4">
            <w:pPr>
              <w:jc w:val="center"/>
              <w:rPr>
                <w:iCs/>
                <w:sz w:val="20"/>
                <w:szCs w:val="20"/>
              </w:rPr>
            </w:pPr>
          </w:p>
        </w:tc>
        <w:tc>
          <w:tcPr>
            <w:tcW w:w="1192" w:type="pct"/>
            <w:shd w:val="clear" w:color="auto" w:fill="auto"/>
            <w:noWrap/>
            <w:tcMar>
              <w:bottom w:w="0" w:type="dxa"/>
            </w:tcMar>
            <w:vAlign w:val="center"/>
          </w:tcPr>
          <w:p w:rsidR="00567852" w:rsidRPr="00890836" w:rsidRDefault="00567852" w:rsidP="00D819F4">
            <w:pPr>
              <w:jc w:val="center"/>
              <w:rPr>
                <w:iCs/>
                <w:sz w:val="20"/>
                <w:szCs w:val="20"/>
              </w:rPr>
            </w:pPr>
            <w:r w:rsidRPr="00B46BD3">
              <w:rPr>
                <w:i/>
                <w:iCs/>
                <w:sz w:val="20"/>
                <w:szCs w:val="20"/>
              </w:rPr>
              <w:t>RPE65</w:t>
            </w:r>
            <w:r>
              <w:rPr>
                <w:iCs/>
                <w:sz w:val="20"/>
                <w:szCs w:val="20"/>
              </w:rPr>
              <w:t>-LCA</w:t>
            </w:r>
          </w:p>
        </w:tc>
        <w:tc>
          <w:tcPr>
            <w:tcW w:w="1275" w:type="pct"/>
            <w:shd w:val="clear" w:color="auto" w:fill="auto"/>
            <w:noWrap/>
            <w:tcMar>
              <w:bottom w:w="0" w:type="dxa"/>
            </w:tcMar>
            <w:vAlign w:val="center"/>
          </w:tcPr>
          <w:p w:rsidR="00567852" w:rsidRPr="009A4910" w:rsidRDefault="00567852" w:rsidP="00D819F4">
            <w:pPr>
              <w:jc w:val="center"/>
              <w:rPr>
                <w:iCs/>
                <w:sz w:val="20"/>
                <w:szCs w:val="20"/>
                <w:highlight w:val="yellow"/>
              </w:rPr>
            </w:pPr>
            <w:r w:rsidRPr="00DA1F12">
              <w:rPr>
                <w:iCs/>
                <w:sz w:val="20"/>
                <w:szCs w:val="20"/>
              </w:rPr>
              <w:t>20/1312</w:t>
            </w:r>
          </w:p>
        </w:tc>
        <w:tc>
          <w:tcPr>
            <w:tcW w:w="552" w:type="pct"/>
            <w:noWrap/>
            <w:tcMar>
              <w:bottom w:w="0" w:type="dxa"/>
            </w:tcMar>
            <w:vAlign w:val="center"/>
          </w:tcPr>
          <w:p w:rsidR="00567852" w:rsidRPr="009A4910" w:rsidRDefault="00567852" w:rsidP="00D819F4">
            <w:pPr>
              <w:jc w:val="center"/>
              <w:rPr>
                <w:iCs/>
                <w:sz w:val="20"/>
                <w:szCs w:val="20"/>
                <w:highlight w:val="yellow"/>
              </w:rPr>
            </w:pPr>
            <w:r w:rsidRPr="00DA1F12">
              <w:rPr>
                <w:color w:val="000000"/>
                <w:sz w:val="20"/>
                <w:szCs w:val="20"/>
                <w:shd w:val="clear" w:color="auto" w:fill="FFFFFF"/>
              </w:rPr>
              <w:t>20/515</w:t>
            </w:r>
          </w:p>
        </w:tc>
      </w:tr>
      <w:tr w:rsidR="00567852" w:rsidRPr="005D021C" w:rsidTr="00D819F4">
        <w:trPr>
          <w:gridAfter w:val="1"/>
          <w:wAfter w:w="40" w:type="pct"/>
          <w:cantSplit/>
          <w:trHeight w:val="288"/>
        </w:trPr>
        <w:tc>
          <w:tcPr>
            <w:tcW w:w="704"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VR2</w:t>
            </w:r>
          </w:p>
        </w:tc>
        <w:tc>
          <w:tcPr>
            <w:tcW w:w="1213"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35/M</w:t>
            </w:r>
          </w:p>
        </w:tc>
        <w:tc>
          <w:tcPr>
            <w:tcW w:w="24" w:type="pct"/>
            <w:noWrap/>
            <w:tcMar>
              <w:bottom w:w="0" w:type="dxa"/>
            </w:tcMar>
            <w:vAlign w:val="center"/>
          </w:tcPr>
          <w:p w:rsidR="00567852" w:rsidRPr="00890836" w:rsidRDefault="00567852" w:rsidP="00D819F4">
            <w:pPr>
              <w:jc w:val="center"/>
              <w:rPr>
                <w:iCs/>
                <w:sz w:val="20"/>
                <w:szCs w:val="20"/>
              </w:rPr>
            </w:pPr>
          </w:p>
        </w:tc>
        <w:tc>
          <w:tcPr>
            <w:tcW w:w="1192"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Normal</w:t>
            </w:r>
          </w:p>
        </w:tc>
        <w:tc>
          <w:tcPr>
            <w:tcW w:w="1275" w:type="pct"/>
            <w:shd w:val="clear" w:color="auto" w:fill="auto"/>
            <w:noWrap/>
            <w:tcMar>
              <w:bottom w:w="0"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c>
          <w:tcPr>
            <w:tcW w:w="552" w:type="pct"/>
            <w:noWrap/>
            <w:tcMar>
              <w:bottom w:w="0"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r>
      <w:tr w:rsidR="00567852" w:rsidRPr="005D021C" w:rsidTr="00D819F4">
        <w:trPr>
          <w:gridAfter w:val="1"/>
          <w:wAfter w:w="40" w:type="pct"/>
          <w:cantSplit/>
          <w:trHeight w:val="288"/>
        </w:trPr>
        <w:tc>
          <w:tcPr>
            <w:tcW w:w="704"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VR1</w:t>
            </w:r>
          </w:p>
        </w:tc>
        <w:tc>
          <w:tcPr>
            <w:tcW w:w="1213"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18/F</w:t>
            </w:r>
          </w:p>
        </w:tc>
        <w:tc>
          <w:tcPr>
            <w:tcW w:w="24" w:type="pct"/>
            <w:noWrap/>
            <w:tcMar>
              <w:bottom w:w="0" w:type="dxa"/>
            </w:tcMar>
            <w:vAlign w:val="center"/>
          </w:tcPr>
          <w:p w:rsidR="00567852" w:rsidRPr="00890836" w:rsidRDefault="00567852" w:rsidP="00D819F4">
            <w:pPr>
              <w:jc w:val="center"/>
              <w:rPr>
                <w:iCs/>
                <w:sz w:val="20"/>
                <w:szCs w:val="20"/>
              </w:rPr>
            </w:pPr>
          </w:p>
        </w:tc>
        <w:tc>
          <w:tcPr>
            <w:tcW w:w="1192" w:type="pct"/>
            <w:shd w:val="clear" w:color="auto" w:fill="auto"/>
            <w:noWrap/>
            <w:tcMar>
              <w:bottom w:w="0" w:type="dxa"/>
            </w:tcMar>
            <w:vAlign w:val="center"/>
          </w:tcPr>
          <w:p w:rsidR="00567852" w:rsidRPr="00890836" w:rsidRDefault="00567852" w:rsidP="00D819F4">
            <w:pPr>
              <w:jc w:val="center"/>
              <w:rPr>
                <w:iCs/>
                <w:sz w:val="20"/>
                <w:szCs w:val="20"/>
              </w:rPr>
            </w:pPr>
            <w:r>
              <w:rPr>
                <w:iCs/>
                <w:sz w:val="20"/>
                <w:szCs w:val="20"/>
              </w:rPr>
              <w:t>Normal</w:t>
            </w:r>
          </w:p>
        </w:tc>
        <w:tc>
          <w:tcPr>
            <w:tcW w:w="1275" w:type="pct"/>
            <w:shd w:val="clear" w:color="auto" w:fill="auto"/>
            <w:noWrap/>
            <w:tcMar>
              <w:bottom w:w="0"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c>
          <w:tcPr>
            <w:tcW w:w="552" w:type="pct"/>
            <w:noWrap/>
            <w:tcMar>
              <w:bottom w:w="0"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r>
      <w:tr w:rsidR="00567852" w:rsidRPr="005D021C" w:rsidTr="00D819F4">
        <w:trPr>
          <w:gridAfter w:val="1"/>
          <w:wAfter w:w="40" w:type="pct"/>
          <w:cantSplit/>
          <w:trHeight w:val="50"/>
        </w:trPr>
        <w:tc>
          <w:tcPr>
            <w:tcW w:w="704" w:type="pct"/>
            <w:tcBorders>
              <w:bottom w:val="single" w:sz="8" w:space="0" w:color="000000" w:themeColor="text1"/>
            </w:tcBorders>
            <w:shd w:val="clear" w:color="auto" w:fill="auto"/>
            <w:noWrap/>
            <w:tcMar>
              <w:bottom w:w="72" w:type="dxa"/>
            </w:tcMar>
            <w:vAlign w:val="center"/>
          </w:tcPr>
          <w:p w:rsidR="00567852" w:rsidRPr="00890836" w:rsidRDefault="00567852" w:rsidP="00D819F4">
            <w:pPr>
              <w:jc w:val="center"/>
              <w:rPr>
                <w:iCs/>
                <w:sz w:val="20"/>
                <w:szCs w:val="20"/>
              </w:rPr>
            </w:pPr>
            <w:r>
              <w:rPr>
                <w:iCs/>
                <w:sz w:val="20"/>
                <w:szCs w:val="20"/>
              </w:rPr>
              <w:t>VR0</w:t>
            </w:r>
          </w:p>
        </w:tc>
        <w:tc>
          <w:tcPr>
            <w:tcW w:w="1213" w:type="pct"/>
            <w:tcBorders>
              <w:bottom w:val="single" w:sz="8" w:space="0" w:color="000000" w:themeColor="text1"/>
            </w:tcBorders>
            <w:shd w:val="clear" w:color="auto" w:fill="auto"/>
            <w:noWrap/>
            <w:tcMar>
              <w:bottom w:w="72" w:type="dxa"/>
            </w:tcMar>
            <w:vAlign w:val="center"/>
          </w:tcPr>
          <w:p w:rsidR="00567852" w:rsidRPr="00890836" w:rsidRDefault="00567852" w:rsidP="00D819F4">
            <w:pPr>
              <w:jc w:val="center"/>
              <w:rPr>
                <w:iCs/>
                <w:sz w:val="20"/>
                <w:szCs w:val="20"/>
              </w:rPr>
            </w:pPr>
            <w:r>
              <w:rPr>
                <w:iCs/>
                <w:sz w:val="20"/>
                <w:szCs w:val="20"/>
              </w:rPr>
              <w:t>64/F</w:t>
            </w:r>
          </w:p>
        </w:tc>
        <w:tc>
          <w:tcPr>
            <w:tcW w:w="24" w:type="pct"/>
            <w:tcBorders>
              <w:bottom w:val="single" w:sz="8" w:space="0" w:color="000000" w:themeColor="text1"/>
            </w:tcBorders>
            <w:noWrap/>
            <w:tcMar>
              <w:bottom w:w="72" w:type="dxa"/>
            </w:tcMar>
            <w:vAlign w:val="center"/>
          </w:tcPr>
          <w:p w:rsidR="00567852" w:rsidRPr="00890836" w:rsidRDefault="00567852" w:rsidP="00D819F4">
            <w:pPr>
              <w:jc w:val="center"/>
              <w:rPr>
                <w:iCs/>
                <w:sz w:val="20"/>
                <w:szCs w:val="20"/>
              </w:rPr>
            </w:pPr>
          </w:p>
        </w:tc>
        <w:tc>
          <w:tcPr>
            <w:tcW w:w="1192" w:type="pct"/>
            <w:tcBorders>
              <w:bottom w:val="single" w:sz="8" w:space="0" w:color="000000" w:themeColor="text1"/>
            </w:tcBorders>
            <w:shd w:val="clear" w:color="auto" w:fill="auto"/>
            <w:noWrap/>
            <w:tcMar>
              <w:bottom w:w="72" w:type="dxa"/>
            </w:tcMar>
            <w:vAlign w:val="center"/>
          </w:tcPr>
          <w:p w:rsidR="00567852" w:rsidRPr="00890836" w:rsidRDefault="00567852" w:rsidP="00D819F4">
            <w:pPr>
              <w:jc w:val="center"/>
              <w:rPr>
                <w:iCs/>
                <w:sz w:val="20"/>
                <w:szCs w:val="20"/>
              </w:rPr>
            </w:pPr>
            <w:r>
              <w:rPr>
                <w:iCs/>
                <w:sz w:val="20"/>
                <w:szCs w:val="20"/>
              </w:rPr>
              <w:t>Normal</w:t>
            </w:r>
          </w:p>
        </w:tc>
        <w:tc>
          <w:tcPr>
            <w:tcW w:w="1275" w:type="pct"/>
            <w:tcBorders>
              <w:bottom w:val="single" w:sz="8" w:space="0" w:color="000000" w:themeColor="text1"/>
            </w:tcBorders>
            <w:shd w:val="clear" w:color="auto" w:fill="auto"/>
            <w:noWrap/>
            <w:tcMar>
              <w:bottom w:w="72"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c>
          <w:tcPr>
            <w:tcW w:w="552" w:type="pct"/>
            <w:tcBorders>
              <w:bottom w:val="single" w:sz="8" w:space="0" w:color="000000" w:themeColor="text1"/>
            </w:tcBorders>
            <w:noWrap/>
            <w:tcMar>
              <w:bottom w:w="72" w:type="dxa"/>
            </w:tcMar>
            <w:vAlign w:val="center"/>
          </w:tcPr>
          <w:p w:rsidR="00567852" w:rsidRPr="00890836" w:rsidRDefault="00567852" w:rsidP="00D819F4">
            <w:pPr>
              <w:jc w:val="center"/>
              <w:rPr>
                <w:iCs/>
                <w:sz w:val="20"/>
                <w:szCs w:val="20"/>
              </w:rPr>
            </w:pPr>
            <w:r w:rsidRPr="003419BE">
              <w:rPr>
                <w:color w:val="000000"/>
                <w:sz w:val="20"/>
                <w:szCs w:val="20"/>
                <w:shd w:val="clear" w:color="auto" w:fill="FFFFFF"/>
              </w:rPr>
              <w:t>20/20</w:t>
            </w:r>
          </w:p>
        </w:tc>
      </w:tr>
    </w:tbl>
    <w:p w:rsidR="00567852" w:rsidRDefault="00567852" w:rsidP="00567852">
      <w:pPr>
        <w:ind w:left="-180" w:right="-43"/>
        <w:rPr>
          <w:sz w:val="18"/>
          <w:szCs w:val="18"/>
        </w:rPr>
      </w:pPr>
    </w:p>
    <w:p w:rsidR="00567852" w:rsidRPr="0088660E" w:rsidRDefault="00567852" w:rsidP="00567852">
      <w:pPr>
        <w:ind w:left="-187" w:right="-43"/>
        <w:rPr>
          <w:sz w:val="18"/>
          <w:szCs w:val="18"/>
        </w:rPr>
      </w:pPr>
      <w:r w:rsidRPr="0088660E">
        <w:rPr>
          <w:sz w:val="18"/>
          <w:szCs w:val="18"/>
        </w:rPr>
        <w:t xml:space="preserve">* Age in years </w:t>
      </w:r>
    </w:p>
    <w:p w:rsidR="00567852" w:rsidRDefault="00567852" w:rsidP="00567852">
      <w:pPr>
        <w:ind w:left="-187" w:right="-43"/>
        <w:rPr>
          <w:sz w:val="18"/>
          <w:szCs w:val="18"/>
        </w:rPr>
      </w:pPr>
      <w:r w:rsidRPr="0088660E">
        <w:rPr>
          <w:rFonts w:eastAsia="MS Mincho"/>
          <w:sz w:val="18"/>
          <w:szCs w:val="18"/>
          <w:vertAlign w:val="superscript"/>
        </w:rPr>
        <w:t>†</w:t>
      </w:r>
      <w:r w:rsidRPr="0088660E">
        <w:rPr>
          <w:sz w:val="18"/>
          <w:szCs w:val="18"/>
        </w:rPr>
        <w:t xml:space="preserve"> </w:t>
      </w:r>
      <w:r>
        <w:rPr>
          <w:sz w:val="18"/>
          <w:szCs w:val="18"/>
        </w:rPr>
        <w:t>HM</w:t>
      </w:r>
      <w:r w:rsidRPr="0088660E">
        <w:rPr>
          <w:sz w:val="18"/>
          <w:szCs w:val="18"/>
        </w:rPr>
        <w:t>,</w:t>
      </w:r>
      <w:r>
        <w:rPr>
          <w:sz w:val="18"/>
          <w:szCs w:val="18"/>
        </w:rPr>
        <w:t xml:space="preserve"> hand motions; </w:t>
      </w:r>
      <w:r w:rsidRPr="0088660E">
        <w:rPr>
          <w:sz w:val="18"/>
          <w:szCs w:val="18"/>
        </w:rPr>
        <w:t>LP, light perception</w:t>
      </w:r>
      <w:r>
        <w:rPr>
          <w:sz w:val="18"/>
          <w:szCs w:val="18"/>
        </w:rPr>
        <w:t>.</w:t>
      </w:r>
    </w:p>
    <w:p w:rsidR="00567852" w:rsidRDefault="00567852" w:rsidP="00567852">
      <w:pPr>
        <w:ind w:left="-187" w:right="-43"/>
        <w:rPr>
          <w:sz w:val="18"/>
          <w:szCs w:val="18"/>
        </w:rPr>
      </w:pPr>
      <w:r w:rsidRPr="0088660E">
        <w:rPr>
          <w:rFonts w:eastAsia="MS Mincho"/>
          <w:sz w:val="18"/>
          <w:szCs w:val="18"/>
          <w:vertAlign w:val="superscript"/>
        </w:rPr>
        <w:t>‡</w:t>
      </w:r>
      <w:r w:rsidRPr="003B0A90">
        <w:rPr>
          <w:sz w:val="18"/>
          <w:szCs w:val="18"/>
        </w:rPr>
        <w:t xml:space="preserve"> </w:t>
      </w:r>
      <w:r w:rsidRPr="00964A35">
        <w:rPr>
          <w:sz w:val="18"/>
          <w:szCs w:val="18"/>
        </w:rPr>
        <w:t xml:space="preserve">Patients are siblings: </w:t>
      </w:r>
      <w:r>
        <w:rPr>
          <w:sz w:val="18"/>
          <w:szCs w:val="18"/>
        </w:rPr>
        <w:t>VR13 and VR14.</w:t>
      </w:r>
    </w:p>
    <w:p w:rsidR="00567852" w:rsidRDefault="00567852" w:rsidP="00567852">
      <w:pPr>
        <w:ind w:left="-187" w:right="-43"/>
        <w:rPr>
          <w:rFonts w:eastAsia="MS Mincho"/>
          <w:sz w:val="18"/>
          <w:szCs w:val="18"/>
          <w:vertAlign w:val="superscript"/>
        </w:rPr>
      </w:pPr>
    </w:p>
    <w:p w:rsidR="005E7B06" w:rsidRDefault="005E7B06" w:rsidP="00C853AA">
      <w:pPr>
        <w:spacing w:line="480" w:lineRule="auto"/>
        <w:rPr>
          <w:rFonts w:ascii="Arial" w:hAnsi="Arial"/>
          <w:b/>
          <w:sz w:val="22"/>
          <w:szCs w:val="22"/>
        </w:rPr>
      </w:pPr>
    </w:p>
    <w:p w:rsidR="00F25602" w:rsidRDefault="00F25602">
      <w:pPr>
        <w:spacing w:after="160" w:line="259" w:lineRule="auto"/>
        <w:rPr>
          <w:rFonts w:ascii="Arial" w:hAnsi="Arial"/>
          <w:b/>
          <w:sz w:val="22"/>
          <w:szCs w:val="22"/>
        </w:rPr>
      </w:pPr>
      <w:r>
        <w:rPr>
          <w:rFonts w:ascii="Arial" w:hAnsi="Arial"/>
          <w:b/>
          <w:sz w:val="22"/>
          <w:szCs w:val="22"/>
        </w:rPr>
        <w:br w:type="page"/>
      </w:r>
    </w:p>
    <w:p w:rsidR="00C853AA" w:rsidRPr="00F370B1" w:rsidRDefault="00C853AA" w:rsidP="00C853AA">
      <w:pPr>
        <w:spacing w:line="480" w:lineRule="auto"/>
        <w:rPr>
          <w:sz w:val="22"/>
          <w:szCs w:val="22"/>
        </w:rPr>
      </w:pPr>
      <w:r w:rsidRPr="00F370B1">
        <w:rPr>
          <w:rFonts w:ascii="Arial" w:hAnsi="Arial"/>
          <w:b/>
          <w:sz w:val="22"/>
          <w:szCs w:val="22"/>
        </w:rPr>
        <w:lastRenderedPageBreak/>
        <w:t>SUPPLEMENTAL FIGURE</w:t>
      </w:r>
      <w:r w:rsidRPr="00F370B1">
        <w:rPr>
          <w:rFonts w:ascii="Arial" w:hAnsi="Arial" w:cs="Arial"/>
          <w:b/>
          <w:sz w:val="22"/>
          <w:szCs w:val="22"/>
        </w:rPr>
        <w:t xml:space="preserve"> 1.</w:t>
      </w:r>
      <w:r w:rsidRPr="00F370B1">
        <w:rPr>
          <w:sz w:val="22"/>
          <w:szCs w:val="22"/>
        </w:rPr>
        <w:t xml:space="preserve"> </w:t>
      </w:r>
    </w:p>
    <w:p w:rsidR="00C853AA" w:rsidRDefault="00C853AA" w:rsidP="00C853AA">
      <w:pPr>
        <w:spacing w:line="480" w:lineRule="auto"/>
        <w:rPr>
          <w:rFonts w:ascii="Arial" w:hAnsi="Arial" w:cs="Arial"/>
          <w:sz w:val="22"/>
          <w:szCs w:val="22"/>
        </w:rPr>
      </w:pPr>
      <w:r w:rsidRPr="00A97184">
        <w:rPr>
          <w:rFonts w:ascii="Arial" w:hAnsi="Arial" w:cs="Arial"/>
          <w:i/>
          <w:sz w:val="22"/>
          <w:szCs w:val="22"/>
        </w:rPr>
        <w:t>RPE65</w:t>
      </w:r>
      <w:r>
        <w:rPr>
          <w:rFonts w:ascii="Arial" w:hAnsi="Arial" w:cs="Arial"/>
          <w:sz w:val="22"/>
          <w:szCs w:val="22"/>
        </w:rPr>
        <w:t>-LCA Family Pedigree</w:t>
      </w:r>
      <w:r w:rsidRPr="00F370B1">
        <w:rPr>
          <w:rFonts w:ascii="Arial" w:hAnsi="Arial" w:cs="Arial"/>
          <w:sz w:val="22"/>
          <w:szCs w:val="22"/>
        </w:rPr>
        <w:t>.</w:t>
      </w:r>
      <w:r>
        <w:rPr>
          <w:rFonts w:ascii="Arial" w:hAnsi="Arial" w:cs="Arial"/>
          <w:sz w:val="22"/>
          <w:szCs w:val="22"/>
        </w:rPr>
        <w:t xml:space="preserve"> The affected individuals (VR21, VR24 and VR25) enrolled in this VR study are indicated.</w:t>
      </w:r>
    </w:p>
    <w:p w:rsidR="00F25602" w:rsidRPr="00F370B1" w:rsidRDefault="00F25602" w:rsidP="00C853AA">
      <w:pPr>
        <w:spacing w:line="480" w:lineRule="auto"/>
        <w:rPr>
          <w:rFonts w:ascii="Arial" w:hAnsi="Arial" w:cs="Arial"/>
          <w:sz w:val="22"/>
          <w:szCs w:val="22"/>
        </w:rPr>
      </w:pPr>
      <w:r>
        <w:rPr>
          <w:rFonts w:ascii="Arial" w:hAnsi="Arial" w:cs="Arial"/>
          <w:noProof/>
          <w:sz w:val="22"/>
          <w:szCs w:val="22"/>
        </w:rPr>
        <w:drawing>
          <wp:inline distT="0" distB="0" distL="0" distR="0">
            <wp:extent cx="5943600" cy="5785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man_VIR_SupplementalFig1_2020111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785485"/>
                    </a:xfrm>
                    <a:prstGeom prst="rect">
                      <a:avLst/>
                    </a:prstGeom>
                  </pic:spPr>
                </pic:pic>
              </a:graphicData>
            </a:graphic>
          </wp:inline>
        </w:drawing>
      </w:r>
    </w:p>
    <w:p w:rsidR="00F25602" w:rsidRDefault="00F25602" w:rsidP="00C853AA">
      <w:pPr>
        <w:spacing w:line="480" w:lineRule="auto"/>
        <w:rPr>
          <w:rFonts w:ascii="Arial" w:hAnsi="Arial"/>
          <w:b/>
          <w:sz w:val="22"/>
          <w:szCs w:val="22"/>
        </w:rPr>
      </w:pPr>
    </w:p>
    <w:p w:rsidR="00F25602" w:rsidRDefault="00F25602" w:rsidP="00C853AA">
      <w:pPr>
        <w:spacing w:line="480" w:lineRule="auto"/>
        <w:rPr>
          <w:rFonts w:ascii="Arial" w:hAnsi="Arial"/>
          <w:b/>
          <w:sz w:val="22"/>
          <w:szCs w:val="22"/>
        </w:rPr>
      </w:pPr>
    </w:p>
    <w:p w:rsidR="00F25602" w:rsidRDefault="00F25602">
      <w:pPr>
        <w:spacing w:after="160" w:line="259" w:lineRule="auto"/>
        <w:rPr>
          <w:rFonts w:ascii="Arial" w:hAnsi="Arial"/>
          <w:b/>
          <w:sz w:val="22"/>
          <w:szCs w:val="22"/>
        </w:rPr>
      </w:pPr>
      <w:r>
        <w:rPr>
          <w:rFonts w:ascii="Arial" w:hAnsi="Arial"/>
          <w:b/>
          <w:sz w:val="22"/>
          <w:szCs w:val="22"/>
        </w:rPr>
        <w:br w:type="page"/>
      </w:r>
    </w:p>
    <w:p w:rsidR="00C853AA" w:rsidRPr="00F370B1" w:rsidRDefault="00C853AA" w:rsidP="00C853AA">
      <w:pPr>
        <w:spacing w:line="480" w:lineRule="auto"/>
        <w:rPr>
          <w:sz w:val="22"/>
          <w:szCs w:val="22"/>
        </w:rPr>
      </w:pPr>
      <w:r w:rsidRPr="00F370B1">
        <w:rPr>
          <w:rFonts w:ascii="Arial" w:hAnsi="Arial"/>
          <w:b/>
          <w:sz w:val="22"/>
          <w:szCs w:val="22"/>
        </w:rPr>
        <w:lastRenderedPageBreak/>
        <w:t>SUPPLEMENTAL FIGURE</w:t>
      </w:r>
      <w:r w:rsidRPr="00F370B1">
        <w:rPr>
          <w:rFonts w:ascii="Arial" w:hAnsi="Arial" w:cs="Arial"/>
          <w:b/>
          <w:sz w:val="22"/>
          <w:szCs w:val="22"/>
        </w:rPr>
        <w:t xml:space="preserve"> </w:t>
      </w:r>
      <w:r>
        <w:rPr>
          <w:rFonts w:ascii="Arial" w:hAnsi="Arial" w:cs="Arial"/>
          <w:b/>
          <w:sz w:val="22"/>
          <w:szCs w:val="22"/>
        </w:rPr>
        <w:t>2</w:t>
      </w:r>
      <w:r w:rsidRPr="00F370B1">
        <w:rPr>
          <w:rFonts w:ascii="Arial" w:hAnsi="Arial" w:cs="Arial"/>
          <w:b/>
          <w:sz w:val="22"/>
          <w:szCs w:val="22"/>
        </w:rPr>
        <w:t>.</w:t>
      </w:r>
      <w:r w:rsidRPr="00F370B1">
        <w:rPr>
          <w:sz w:val="22"/>
          <w:szCs w:val="22"/>
        </w:rPr>
        <w:t xml:space="preserve"> </w:t>
      </w:r>
    </w:p>
    <w:p w:rsidR="00C853AA" w:rsidRPr="00F370B1" w:rsidRDefault="00C853AA" w:rsidP="00C853AA">
      <w:pPr>
        <w:spacing w:line="480" w:lineRule="auto"/>
        <w:rPr>
          <w:rFonts w:ascii="Arial" w:hAnsi="Arial" w:cs="Arial"/>
          <w:sz w:val="22"/>
          <w:szCs w:val="22"/>
        </w:rPr>
      </w:pPr>
      <w:r w:rsidRPr="00F370B1">
        <w:rPr>
          <w:rFonts w:ascii="Arial" w:hAnsi="Arial" w:cs="Arial"/>
          <w:sz w:val="22"/>
          <w:szCs w:val="22"/>
        </w:rPr>
        <w:t xml:space="preserve">Goldmann kinetic visual field in before and after gene therapy for the right eye of both treated </w:t>
      </w:r>
      <w:r w:rsidRPr="00F370B1">
        <w:rPr>
          <w:rFonts w:ascii="Arial" w:hAnsi="Arial" w:cs="Arial"/>
          <w:i/>
          <w:sz w:val="22"/>
          <w:szCs w:val="22"/>
        </w:rPr>
        <w:t>RPE65</w:t>
      </w:r>
      <w:r w:rsidRPr="00F370B1">
        <w:rPr>
          <w:rFonts w:ascii="Arial" w:hAnsi="Arial" w:cs="Arial"/>
          <w:sz w:val="22"/>
          <w:szCs w:val="22"/>
        </w:rPr>
        <w:t>-LCA patients.</w:t>
      </w:r>
      <w:r w:rsidR="00384C2A" w:rsidRPr="00384C2A">
        <w:rPr>
          <w:rFonts w:ascii="Arial" w:hAnsi="Arial"/>
          <w:b/>
          <w:noProof/>
          <w:sz w:val="22"/>
          <w:szCs w:val="22"/>
        </w:rPr>
        <w:t xml:space="preserve"> </w:t>
      </w:r>
    </w:p>
    <w:p w:rsidR="00B93E91" w:rsidRDefault="00384C2A" w:rsidP="00C853AA">
      <w:pPr>
        <w:spacing w:line="480" w:lineRule="auto"/>
        <w:rPr>
          <w:rFonts w:ascii="Arial" w:hAnsi="Arial"/>
          <w:b/>
          <w:sz w:val="22"/>
          <w:szCs w:val="22"/>
        </w:rPr>
      </w:pPr>
      <w:r>
        <w:rPr>
          <w:rFonts w:ascii="Arial" w:hAnsi="Arial"/>
          <w:b/>
          <w:noProof/>
          <w:sz w:val="22"/>
          <w:szCs w:val="22"/>
        </w:rPr>
        <w:drawing>
          <wp:inline distT="0" distB="0" distL="0" distR="0" wp14:anchorId="42E65FB2" wp14:editId="1AF1F4FA">
            <wp:extent cx="4192448" cy="5851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man_VIR_SupplementalFig2_202011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6202" cy="5856868"/>
                    </a:xfrm>
                    <a:prstGeom prst="rect">
                      <a:avLst/>
                    </a:prstGeom>
                  </pic:spPr>
                </pic:pic>
              </a:graphicData>
            </a:graphic>
          </wp:inline>
        </w:drawing>
      </w:r>
      <w:bookmarkStart w:id="0" w:name="_GoBack"/>
      <w:bookmarkEnd w:id="0"/>
    </w:p>
    <w:p w:rsidR="00384C2A" w:rsidRDefault="00384C2A">
      <w:pPr>
        <w:spacing w:after="160" w:line="259" w:lineRule="auto"/>
        <w:rPr>
          <w:rFonts w:ascii="Arial" w:hAnsi="Arial"/>
          <w:b/>
          <w:sz w:val="22"/>
          <w:szCs w:val="22"/>
        </w:rPr>
      </w:pPr>
      <w:r>
        <w:rPr>
          <w:rFonts w:ascii="Arial" w:hAnsi="Arial"/>
          <w:b/>
          <w:sz w:val="22"/>
          <w:szCs w:val="22"/>
        </w:rPr>
        <w:br w:type="page"/>
      </w:r>
    </w:p>
    <w:p w:rsidR="00C853AA" w:rsidRPr="00F370B1" w:rsidRDefault="00C853AA" w:rsidP="00C853AA">
      <w:pPr>
        <w:spacing w:line="480" w:lineRule="auto"/>
        <w:rPr>
          <w:rFonts w:ascii="Arial" w:hAnsi="Arial" w:cs="Arial"/>
          <w:sz w:val="22"/>
          <w:szCs w:val="22"/>
        </w:rPr>
      </w:pPr>
      <w:r w:rsidRPr="00F370B1">
        <w:rPr>
          <w:rFonts w:ascii="Arial" w:hAnsi="Arial"/>
          <w:b/>
          <w:sz w:val="22"/>
          <w:szCs w:val="22"/>
        </w:rPr>
        <w:lastRenderedPageBreak/>
        <w:t xml:space="preserve">SUPPLEMENTAL </w:t>
      </w:r>
      <w:r w:rsidRPr="00F370B1">
        <w:rPr>
          <w:rFonts w:ascii="Arial" w:hAnsi="Arial" w:cs="Arial"/>
          <w:b/>
          <w:sz w:val="22"/>
          <w:szCs w:val="22"/>
        </w:rPr>
        <w:t>VIDEO</w:t>
      </w:r>
      <w:r w:rsidRPr="00F370B1">
        <w:rPr>
          <w:rFonts w:ascii="Arial" w:hAnsi="Arial" w:cs="Arial"/>
          <w:sz w:val="22"/>
          <w:szCs w:val="22"/>
        </w:rPr>
        <w:t xml:space="preserve"> </w:t>
      </w:r>
      <w:r w:rsidRPr="00F370B1">
        <w:rPr>
          <w:rFonts w:ascii="Arial" w:hAnsi="Arial" w:cs="Arial"/>
          <w:b/>
          <w:sz w:val="22"/>
          <w:szCs w:val="22"/>
        </w:rPr>
        <w:t>S1</w:t>
      </w:r>
      <w:r w:rsidRPr="00F370B1">
        <w:rPr>
          <w:rFonts w:ascii="Arial" w:hAnsi="Arial" w:cs="Arial"/>
          <w:sz w:val="22"/>
          <w:szCs w:val="22"/>
        </w:rPr>
        <w:t xml:space="preserve">. </w:t>
      </w:r>
      <w:r>
        <w:rPr>
          <w:rFonts w:ascii="Arial" w:hAnsi="Arial" w:cs="Arial"/>
          <w:sz w:val="22"/>
          <w:szCs w:val="22"/>
        </w:rPr>
        <w:t>Test giver’s view of a r</w:t>
      </w:r>
      <w:r w:rsidRPr="00F370B1">
        <w:rPr>
          <w:rFonts w:ascii="Arial" w:hAnsi="Arial" w:cs="Arial"/>
          <w:sz w:val="22"/>
          <w:szCs w:val="22"/>
        </w:rPr>
        <w:t xml:space="preserve">epresentative VR-O&amp;M practice course showing </w:t>
      </w:r>
      <w:r>
        <w:rPr>
          <w:rFonts w:ascii="Arial" w:hAnsi="Arial" w:cs="Arial"/>
          <w:sz w:val="22"/>
          <w:szCs w:val="22"/>
        </w:rPr>
        <w:t xml:space="preserve">the virtual obstacles, including holes in the floor and the </w:t>
      </w:r>
      <w:r w:rsidRPr="00F370B1">
        <w:rPr>
          <w:rFonts w:ascii="Arial" w:hAnsi="Arial" w:cs="Arial"/>
          <w:sz w:val="22"/>
          <w:szCs w:val="22"/>
        </w:rPr>
        <w:t>moving pendulum.</w:t>
      </w:r>
      <w:r>
        <w:rPr>
          <w:rFonts w:ascii="Arial" w:hAnsi="Arial" w:cs="Arial"/>
          <w:sz w:val="22"/>
          <w:szCs w:val="22"/>
        </w:rPr>
        <w:t xml:space="preserve"> Each individual obstacle can be highlighted during the practice session for training purposes.</w:t>
      </w:r>
    </w:p>
    <w:p w:rsidR="00B93E91" w:rsidRDefault="00B93E91" w:rsidP="00C853AA">
      <w:pPr>
        <w:spacing w:line="480" w:lineRule="auto"/>
        <w:rPr>
          <w:rFonts w:ascii="Arial" w:hAnsi="Arial"/>
          <w:b/>
          <w:sz w:val="22"/>
          <w:szCs w:val="22"/>
        </w:rPr>
      </w:pPr>
    </w:p>
    <w:p w:rsidR="00C853AA" w:rsidRPr="00F370B1" w:rsidRDefault="00C853AA" w:rsidP="00C853AA">
      <w:pPr>
        <w:spacing w:line="480" w:lineRule="auto"/>
        <w:rPr>
          <w:rFonts w:ascii="Arial" w:hAnsi="Arial" w:cs="Arial"/>
          <w:sz w:val="22"/>
          <w:szCs w:val="22"/>
        </w:rPr>
      </w:pPr>
      <w:r w:rsidRPr="00F370B1">
        <w:rPr>
          <w:rFonts w:ascii="Arial" w:hAnsi="Arial"/>
          <w:b/>
          <w:sz w:val="22"/>
          <w:szCs w:val="22"/>
        </w:rPr>
        <w:t xml:space="preserve">SUPPLEMENTAL </w:t>
      </w:r>
      <w:r w:rsidRPr="00F370B1">
        <w:rPr>
          <w:rFonts w:ascii="Arial" w:hAnsi="Arial" w:cs="Arial"/>
          <w:b/>
          <w:sz w:val="22"/>
          <w:szCs w:val="22"/>
        </w:rPr>
        <w:t>VIDEO</w:t>
      </w:r>
      <w:r w:rsidRPr="00F370B1">
        <w:rPr>
          <w:rFonts w:ascii="Arial" w:hAnsi="Arial" w:cs="Arial"/>
          <w:sz w:val="22"/>
          <w:szCs w:val="22"/>
        </w:rPr>
        <w:t xml:space="preserve"> </w:t>
      </w:r>
      <w:r w:rsidRPr="00F370B1">
        <w:rPr>
          <w:rFonts w:ascii="Arial" w:hAnsi="Arial" w:cs="Arial"/>
          <w:b/>
          <w:sz w:val="22"/>
          <w:szCs w:val="22"/>
        </w:rPr>
        <w:t>S2.</w:t>
      </w:r>
      <w:r w:rsidRPr="00F370B1">
        <w:rPr>
          <w:rFonts w:ascii="Arial" w:hAnsi="Arial" w:cs="Arial"/>
          <w:sz w:val="22"/>
          <w:szCs w:val="22"/>
        </w:rPr>
        <w:t xml:space="preserve"> </w:t>
      </w:r>
      <w:r>
        <w:rPr>
          <w:rFonts w:ascii="Arial" w:hAnsi="Arial" w:cs="Arial"/>
          <w:sz w:val="22"/>
          <w:szCs w:val="22"/>
        </w:rPr>
        <w:t>Test giver’s view of a r</w:t>
      </w:r>
      <w:r w:rsidRPr="00F370B1">
        <w:rPr>
          <w:rFonts w:ascii="Arial" w:hAnsi="Arial" w:cs="Arial"/>
          <w:sz w:val="22"/>
          <w:szCs w:val="22"/>
        </w:rPr>
        <w:t>epresentative VR-O&amp;M course navigated by a normal</w:t>
      </w:r>
      <w:r>
        <w:rPr>
          <w:rFonts w:ascii="Arial" w:hAnsi="Arial" w:cs="Arial"/>
          <w:sz w:val="22"/>
          <w:szCs w:val="22"/>
        </w:rPr>
        <w:t>ly</w:t>
      </w:r>
      <w:r w:rsidRPr="00F370B1">
        <w:rPr>
          <w:rFonts w:ascii="Arial" w:hAnsi="Arial" w:cs="Arial"/>
          <w:sz w:val="22"/>
          <w:szCs w:val="22"/>
        </w:rPr>
        <w:t xml:space="preserve">-sighted subject (VR30). </w:t>
      </w:r>
      <w:r w:rsidRPr="00F370B1">
        <w:rPr>
          <w:rFonts w:ascii="Arial" w:hAnsi="Arial" w:cs="Arial"/>
          <w:b/>
          <w:sz w:val="22"/>
          <w:szCs w:val="22"/>
        </w:rPr>
        <w:t>A.</w:t>
      </w:r>
      <w:r w:rsidRPr="00F370B1">
        <w:rPr>
          <w:rFonts w:ascii="Arial" w:hAnsi="Arial" w:cs="Arial"/>
          <w:sz w:val="22"/>
          <w:szCs w:val="22"/>
        </w:rPr>
        <w:t xml:space="preserve"> Navigation through arrow</w:t>
      </w:r>
      <w:r>
        <w:rPr>
          <w:rFonts w:ascii="Arial" w:hAnsi="Arial" w:cs="Arial"/>
          <w:sz w:val="22"/>
          <w:szCs w:val="22"/>
        </w:rPr>
        <w:t>-only</w:t>
      </w:r>
      <w:r w:rsidRPr="00F370B1">
        <w:rPr>
          <w:rFonts w:ascii="Arial" w:hAnsi="Arial" w:cs="Arial"/>
          <w:sz w:val="22"/>
          <w:szCs w:val="22"/>
        </w:rPr>
        <w:t xml:space="preserve"> course. Obstacles are visible to the observer but not the subject. </w:t>
      </w:r>
      <w:r>
        <w:rPr>
          <w:rFonts w:ascii="Arial" w:hAnsi="Arial" w:cs="Arial"/>
          <w:sz w:val="22"/>
          <w:szCs w:val="22"/>
        </w:rPr>
        <w:t xml:space="preserve">Collisions with obstacles are shown (indicated by a red circle with a green arrow pointing in the direction of movement of the tracker). The ratio of collisions compared to number of obstacles can be used to calculate the probability that a visually impaired person would collide with an obstacle. </w:t>
      </w:r>
      <w:r w:rsidRPr="00F370B1">
        <w:rPr>
          <w:rFonts w:ascii="Arial" w:hAnsi="Arial" w:cs="Arial"/>
          <w:b/>
          <w:sz w:val="22"/>
          <w:szCs w:val="22"/>
        </w:rPr>
        <w:t>B.</w:t>
      </w:r>
      <w:r w:rsidRPr="00F370B1">
        <w:rPr>
          <w:rFonts w:ascii="Arial" w:hAnsi="Arial" w:cs="Arial"/>
          <w:sz w:val="22"/>
          <w:szCs w:val="22"/>
        </w:rPr>
        <w:t xml:space="preserve"> Navigation through arrows plus obstacle course</w:t>
      </w:r>
      <w:r>
        <w:rPr>
          <w:rFonts w:ascii="Arial" w:hAnsi="Arial" w:cs="Arial"/>
          <w:sz w:val="22"/>
          <w:szCs w:val="22"/>
        </w:rPr>
        <w:t>, with obstacles now visible to the subject</w:t>
      </w:r>
      <w:r w:rsidRPr="00F370B1">
        <w:rPr>
          <w:rFonts w:ascii="Arial" w:hAnsi="Arial" w:cs="Arial"/>
          <w:sz w:val="22"/>
          <w:szCs w:val="22"/>
        </w:rPr>
        <w:t xml:space="preserve">. </w:t>
      </w:r>
    </w:p>
    <w:p w:rsidR="00C853AA" w:rsidRPr="00F370B1" w:rsidRDefault="00C853AA" w:rsidP="00C853AA">
      <w:pPr>
        <w:spacing w:line="480" w:lineRule="auto"/>
        <w:rPr>
          <w:rFonts w:ascii="Arial" w:hAnsi="Arial" w:cs="Arial"/>
          <w:sz w:val="22"/>
          <w:szCs w:val="22"/>
        </w:rPr>
      </w:pPr>
    </w:p>
    <w:p w:rsidR="00C853AA" w:rsidRDefault="00C853AA" w:rsidP="00A9407B">
      <w:pPr>
        <w:spacing w:line="480" w:lineRule="auto"/>
        <w:rPr>
          <w:rFonts w:ascii="Arial" w:hAnsi="Arial" w:cs="Arial"/>
          <w:sz w:val="22"/>
          <w:szCs w:val="22"/>
        </w:rPr>
      </w:pPr>
      <w:r w:rsidRPr="00F370B1">
        <w:rPr>
          <w:rFonts w:ascii="Arial" w:hAnsi="Arial"/>
          <w:b/>
          <w:sz w:val="22"/>
          <w:szCs w:val="22"/>
        </w:rPr>
        <w:t xml:space="preserve">SUPPLEMENTAL </w:t>
      </w:r>
      <w:r w:rsidRPr="00F370B1">
        <w:rPr>
          <w:rFonts w:ascii="Arial" w:hAnsi="Arial" w:cs="Arial"/>
          <w:b/>
          <w:sz w:val="22"/>
          <w:szCs w:val="22"/>
        </w:rPr>
        <w:t>VIDEO</w:t>
      </w:r>
      <w:r w:rsidRPr="00F370B1">
        <w:rPr>
          <w:rFonts w:ascii="Arial" w:hAnsi="Arial" w:cs="Arial"/>
          <w:sz w:val="22"/>
          <w:szCs w:val="22"/>
        </w:rPr>
        <w:t xml:space="preserve"> </w:t>
      </w:r>
      <w:r w:rsidRPr="00F370B1">
        <w:rPr>
          <w:rFonts w:ascii="Arial" w:hAnsi="Arial" w:cs="Arial"/>
          <w:b/>
          <w:sz w:val="22"/>
          <w:szCs w:val="22"/>
        </w:rPr>
        <w:t>S</w:t>
      </w:r>
      <w:r>
        <w:rPr>
          <w:rFonts w:ascii="Arial" w:hAnsi="Arial" w:cs="Arial"/>
          <w:b/>
          <w:sz w:val="22"/>
          <w:szCs w:val="22"/>
        </w:rPr>
        <w:t>3</w:t>
      </w:r>
      <w:r w:rsidRPr="00F370B1">
        <w:rPr>
          <w:rFonts w:ascii="Arial" w:hAnsi="Arial" w:cs="Arial"/>
          <w:sz w:val="22"/>
          <w:szCs w:val="22"/>
        </w:rPr>
        <w:t xml:space="preserve">. </w:t>
      </w:r>
      <w:r>
        <w:rPr>
          <w:rFonts w:ascii="Arial" w:hAnsi="Arial" w:cs="Arial"/>
          <w:sz w:val="22"/>
          <w:szCs w:val="22"/>
        </w:rPr>
        <w:t xml:space="preserve">Test giver’s view of </w:t>
      </w:r>
      <w:r w:rsidRPr="00F370B1">
        <w:rPr>
          <w:rFonts w:ascii="Arial" w:hAnsi="Arial" w:cs="Arial"/>
          <w:sz w:val="22"/>
          <w:szCs w:val="22"/>
        </w:rPr>
        <w:t>VR Mobility Test Performance of VR2</w:t>
      </w:r>
      <w:r>
        <w:rPr>
          <w:rFonts w:ascii="Arial" w:hAnsi="Arial" w:cs="Arial"/>
          <w:sz w:val="22"/>
          <w:szCs w:val="22"/>
        </w:rPr>
        <w:t xml:space="preserve">5 prior to (A) and following (B) treatment with Luxturna. </w:t>
      </w:r>
      <w:r w:rsidRPr="00AA19DD">
        <w:rPr>
          <w:rFonts w:ascii="Arial" w:hAnsi="Arial" w:cs="Arial"/>
          <w:b/>
          <w:sz w:val="22"/>
          <w:szCs w:val="22"/>
        </w:rPr>
        <w:t>A.</w:t>
      </w:r>
      <w:r>
        <w:rPr>
          <w:rFonts w:ascii="Arial" w:hAnsi="Arial" w:cs="Arial"/>
          <w:sz w:val="22"/>
          <w:szCs w:val="22"/>
        </w:rPr>
        <w:t xml:space="preserve"> The subject pre-treatment had a great deal of difficulty navigating the test (including the 9s delay when deciding to take the first step) and frequently went off course</w:t>
      </w:r>
      <w:r w:rsidRPr="00F370B1">
        <w:rPr>
          <w:rFonts w:ascii="Arial" w:hAnsi="Arial" w:cs="Arial"/>
          <w:sz w:val="22"/>
          <w:szCs w:val="22"/>
        </w:rPr>
        <w:t xml:space="preserve">. </w:t>
      </w:r>
      <w:r>
        <w:rPr>
          <w:rFonts w:ascii="Arial" w:hAnsi="Arial" w:cs="Arial"/>
          <w:sz w:val="22"/>
          <w:szCs w:val="22"/>
        </w:rPr>
        <w:t>It</w:t>
      </w:r>
      <w:r w:rsidRPr="00F370B1">
        <w:rPr>
          <w:rFonts w:ascii="Arial" w:hAnsi="Arial" w:cs="Arial"/>
          <w:sz w:val="22"/>
          <w:szCs w:val="22"/>
        </w:rPr>
        <w:t xml:space="preserve"> required a total of 133 sec</w:t>
      </w:r>
      <w:r>
        <w:rPr>
          <w:rFonts w:ascii="Arial" w:hAnsi="Arial" w:cs="Arial"/>
          <w:sz w:val="22"/>
          <w:szCs w:val="22"/>
        </w:rPr>
        <w:t>ond</w:t>
      </w:r>
      <w:r w:rsidRPr="00F370B1">
        <w:rPr>
          <w:rFonts w:ascii="Arial" w:hAnsi="Arial" w:cs="Arial"/>
          <w:sz w:val="22"/>
          <w:szCs w:val="22"/>
        </w:rPr>
        <w:t xml:space="preserve">s </w:t>
      </w:r>
      <w:r>
        <w:rPr>
          <w:rFonts w:ascii="Arial" w:hAnsi="Arial" w:cs="Arial"/>
          <w:sz w:val="22"/>
          <w:szCs w:val="22"/>
        </w:rPr>
        <w:t xml:space="preserve">to complete the test and there were </w:t>
      </w:r>
      <w:r w:rsidRPr="00F370B1">
        <w:rPr>
          <w:rFonts w:ascii="Arial" w:hAnsi="Arial" w:cs="Arial"/>
          <w:sz w:val="22"/>
          <w:szCs w:val="22"/>
        </w:rPr>
        <w:t xml:space="preserve">collisions (sometimes multiple) with 9 different obstacles. </w:t>
      </w:r>
      <w:r>
        <w:rPr>
          <w:rFonts w:ascii="Arial" w:hAnsi="Arial" w:cs="Arial"/>
          <w:sz w:val="22"/>
          <w:szCs w:val="22"/>
        </w:rPr>
        <w:t>Collisions with obstacles are shown (indicated by a red circle with a green arrow pointing in the direction of movement of the tracker).</w:t>
      </w:r>
      <w:r w:rsidR="00A9407B">
        <w:rPr>
          <w:rFonts w:ascii="Arial" w:hAnsi="Arial" w:cs="Arial"/>
          <w:sz w:val="22"/>
          <w:szCs w:val="22"/>
        </w:rPr>
        <w:t xml:space="preserve"> </w:t>
      </w:r>
      <w:r w:rsidRPr="00AA19DD">
        <w:rPr>
          <w:rFonts w:ascii="Arial" w:hAnsi="Arial" w:cs="Arial"/>
          <w:b/>
          <w:sz w:val="22"/>
          <w:szCs w:val="22"/>
        </w:rPr>
        <w:t>B</w:t>
      </w:r>
      <w:r>
        <w:rPr>
          <w:rFonts w:ascii="Arial" w:hAnsi="Arial" w:cs="Arial"/>
          <w:sz w:val="22"/>
          <w:szCs w:val="22"/>
        </w:rPr>
        <w:t>.</w:t>
      </w:r>
      <w:r w:rsidRPr="00F370B1">
        <w:rPr>
          <w:rFonts w:ascii="Arial" w:hAnsi="Arial" w:cs="Arial"/>
          <w:sz w:val="22"/>
          <w:szCs w:val="22"/>
        </w:rPr>
        <w:t xml:space="preserve"> </w:t>
      </w:r>
      <w:r>
        <w:rPr>
          <w:rFonts w:ascii="Arial" w:hAnsi="Arial" w:cs="Arial"/>
          <w:sz w:val="22"/>
          <w:szCs w:val="22"/>
        </w:rPr>
        <w:t>A</w:t>
      </w:r>
      <w:r w:rsidRPr="00F370B1">
        <w:rPr>
          <w:rFonts w:ascii="Arial" w:hAnsi="Arial" w:cs="Arial"/>
          <w:sz w:val="22"/>
          <w:szCs w:val="22"/>
        </w:rPr>
        <w:t xml:space="preserve">fter bilateral treatment with Luxturna </w:t>
      </w:r>
      <w:r>
        <w:rPr>
          <w:rFonts w:ascii="Arial" w:hAnsi="Arial" w:cs="Arial"/>
          <w:sz w:val="22"/>
          <w:szCs w:val="22"/>
        </w:rPr>
        <w:t>and under conditions whereby</w:t>
      </w:r>
      <w:r w:rsidRPr="00F370B1">
        <w:rPr>
          <w:rFonts w:ascii="Arial" w:hAnsi="Arial" w:cs="Arial"/>
          <w:sz w:val="22"/>
          <w:szCs w:val="22"/>
        </w:rPr>
        <w:t xml:space="preserve"> objects were at greatly reduced </w:t>
      </w:r>
      <w:r>
        <w:rPr>
          <w:rFonts w:ascii="Arial" w:hAnsi="Arial" w:cs="Arial"/>
          <w:sz w:val="22"/>
          <w:szCs w:val="22"/>
        </w:rPr>
        <w:t>luminance</w:t>
      </w:r>
      <w:r w:rsidRPr="00F370B1">
        <w:rPr>
          <w:rFonts w:ascii="Arial" w:hAnsi="Arial" w:cs="Arial"/>
          <w:sz w:val="22"/>
          <w:szCs w:val="22"/>
        </w:rPr>
        <w:t xml:space="preserve"> compared to baseline (5 cd.m</w:t>
      </w:r>
      <w:r w:rsidRPr="00F370B1">
        <w:rPr>
          <w:rFonts w:ascii="Arial" w:hAnsi="Arial" w:cs="Arial"/>
          <w:sz w:val="22"/>
          <w:szCs w:val="22"/>
          <w:vertAlign w:val="superscript"/>
        </w:rPr>
        <w:t xml:space="preserve">-2 </w:t>
      </w:r>
      <w:r w:rsidRPr="00F370B1">
        <w:rPr>
          <w:rFonts w:ascii="Arial" w:hAnsi="Arial" w:cs="Arial"/>
          <w:sz w:val="22"/>
          <w:szCs w:val="22"/>
        </w:rPr>
        <w:t>instead of 13 cd.m</w:t>
      </w:r>
      <w:r w:rsidRPr="00F370B1">
        <w:rPr>
          <w:rFonts w:ascii="Arial" w:hAnsi="Arial" w:cs="Arial"/>
          <w:sz w:val="22"/>
          <w:szCs w:val="22"/>
          <w:vertAlign w:val="superscript"/>
        </w:rPr>
        <w:t>-2</w:t>
      </w:r>
      <w:r w:rsidRPr="00962272">
        <w:rPr>
          <w:rFonts w:ascii="Arial" w:hAnsi="Arial" w:cs="Arial"/>
          <w:sz w:val="22"/>
          <w:szCs w:val="22"/>
        </w:rPr>
        <w:t>), VR25 rapidly assessed the course layout and took decisive steps (within 4 secs of starting) in the direction of the arrows. He avoided colliding with most of the obstacles. This test was graded</w:t>
      </w:r>
      <w:r w:rsidRPr="00F370B1">
        <w:rPr>
          <w:rFonts w:ascii="Arial" w:hAnsi="Arial" w:cs="Arial"/>
          <w:sz w:val="22"/>
          <w:szCs w:val="22"/>
        </w:rPr>
        <w:t xml:space="preserve"> as a “Pass”, </w:t>
      </w:r>
      <w:r>
        <w:rPr>
          <w:rFonts w:ascii="Arial" w:hAnsi="Arial" w:cs="Arial"/>
          <w:sz w:val="22"/>
          <w:szCs w:val="22"/>
        </w:rPr>
        <w:t xml:space="preserve">lasting </w:t>
      </w:r>
      <w:r w:rsidRPr="00F370B1">
        <w:rPr>
          <w:rFonts w:ascii="Arial" w:hAnsi="Arial" w:cs="Arial"/>
          <w:sz w:val="22"/>
          <w:szCs w:val="22"/>
        </w:rPr>
        <w:t>29 sec</w:t>
      </w:r>
      <w:r>
        <w:rPr>
          <w:rFonts w:ascii="Arial" w:hAnsi="Arial" w:cs="Arial"/>
          <w:sz w:val="22"/>
          <w:szCs w:val="22"/>
        </w:rPr>
        <w:t xml:space="preserve">onds and colliding </w:t>
      </w:r>
      <w:r w:rsidRPr="00F370B1">
        <w:rPr>
          <w:rFonts w:ascii="Arial" w:hAnsi="Arial" w:cs="Arial"/>
          <w:sz w:val="22"/>
          <w:szCs w:val="22"/>
        </w:rPr>
        <w:t>with 3 different obstacles.</w:t>
      </w:r>
    </w:p>
    <w:p w:rsidR="00C853AA" w:rsidRDefault="00C853AA" w:rsidP="00C853AA">
      <w:pPr>
        <w:spacing w:line="480" w:lineRule="auto"/>
        <w:textAlignment w:val="baseline"/>
        <w:rPr>
          <w:rFonts w:ascii="Arial" w:hAnsi="Arial"/>
          <w:b/>
          <w:sz w:val="22"/>
          <w:szCs w:val="22"/>
        </w:rPr>
      </w:pPr>
    </w:p>
    <w:p w:rsidR="00C853AA" w:rsidRDefault="00C853AA" w:rsidP="00C853AA">
      <w:pPr>
        <w:spacing w:line="480" w:lineRule="auto"/>
        <w:textAlignment w:val="baseline"/>
        <w:rPr>
          <w:rFonts w:ascii="Arial" w:hAnsi="Arial" w:cs="Arial"/>
          <w:sz w:val="22"/>
          <w:szCs w:val="22"/>
        </w:rPr>
      </w:pPr>
      <w:r w:rsidRPr="00F370B1">
        <w:rPr>
          <w:rFonts w:ascii="Arial" w:hAnsi="Arial"/>
          <w:b/>
          <w:sz w:val="22"/>
          <w:szCs w:val="22"/>
        </w:rPr>
        <w:t xml:space="preserve">SUPPLEMENTAL </w:t>
      </w:r>
      <w:r w:rsidRPr="00F370B1">
        <w:rPr>
          <w:rFonts w:ascii="Arial" w:hAnsi="Arial" w:cs="Arial"/>
          <w:b/>
          <w:sz w:val="22"/>
          <w:szCs w:val="22"/>
        </w:rPr>
        <w:t>VIDEO</w:t>
      </w:r>
      <w:r w:rsidRPr="00F370B1">
        <w:rPr>
          <w:rFonts w:ascii="Arial" w:hAnsi="Arial" w:cs="Arial"/>
          <w:sz w:val="22"/>
          <w:szCs w:val="22"/>
        </w:rPr>
        <w:t xml:space="preserve"> </w:t>
      </w:r>
      <w:r w:rsidRPr="00F370B1">
        <w:rPr>
          <w:rFonts w:ascii="Arial" w:hAnsi="Arial" w:cs="Arial"/>
          <w:b/>
          <w:sz w:val="22"/>
          <w:szCs w:val="22"/>
        </w:rPr>
        <w:t>S</w:t>
      </w:r>
      <w:r>
        <w:rPr>
          <w:rFonts w:ascii="Arial" w:hAnsi="Arial" w:cs="Arial"/>
          <w:b/>
          <w:sz w:val="22"/>
          <w:szCs w:val="22"/>
        </w:rPr>
        <w:t>4</w:t>
      </w:r>
      <w:r w:rsidRPr="00F370B1">
        <w:rPr>
          <w:rFonts w:ascii="Arial" w:hAnsi="Arial" w:cs="Arial"/>
          <w:sz w:val="22"/>
          <w:szCs w:val="22"/>
        </w:rPr>
        <w:t xml:space="preserve">. </w:t>
      </w:r>
      <w:r>
        <w:rPr>
          <w:rFonts w:ascii="Arial" w:hAnsi="Arial" w:cs="Arial"/>
          <w:sz w:val="22"/>
          <w:szCs w:val="22"/>
        </w:rPr>
        <w:t xml:space="preserve">Test giver’s view of post-intervention </w:t>
      </w:r>
      <w:r w:rsidRPr="00F370B1">
        <w:rPr>
          <w:rFonts w:ascii="Arial" w:hAnsi="Arial" w:cs="Arial"/>
          <w:sz w:val="22"/>
          <w:szCs w:val="22"/>
        </w:rPr>
        <w:t>VR Mobility Test Performance</w:t>
      </w:r>
      <w:r>
        <w:rPr>
          <w:rFonts w:ascii="Arial" w:hAnsi="Arial" w:cs="Arial"/>
          <w:sz w:val="22"/>
          <w:szCs w:val="22"/>
        </w:rPr>
        <w:t xml:space="preserve"> of VR21 using each eye individually</w:t>
      </w:r>
      <w:r w:rsidRPr="00F370B1">
        <w:rPr>
          <w:rFonts w:ascii="Arial" w:hAnsi="Arial" w:cs="Arial"/>
          <w:sz w:val="22"/>
          <w:szCs w:val="22"/>
        </w:rPr>
        <w:t xml:space="preserve"> under dim (2</w:t>
      </w:r>
      <w:r>
        <w:rPr>
          <w:rFonts w:ascii="Arial" w:hAnsi="Arial" w:cs="Arial"/>
          <w:sz w:val="22"/>
          <w:szCs w:val="22"/>
        </w:rPr>
        <w:t>.03</w:t>
      </w:r>
      <w:r w:rsidRPr="00F370B1">
        <w:rPr>
          <w:rFonts w:ascii="Arial" w:hAnsi="Arial" w:cs="Arial"/>
          <w:sz w:val="22"/>
          <w:szCs w:val="22"/>
        </w:rPr>
        <w:t xml:space="preserve"> cd.m</w:t>
      </w:r>
      <w:r w:rsidRPr="00F370B1">
        <w:rPr>
          <w:rFonts w:ascii="Arial" w:hAnsi="Arial" w:cs="Arial"/>
          <w:sz w:val="22"/>
          <w:szCs w:val="22"/>
          <w:vertAlign w:val="superscript"/>
        </w:rPr>
        <w:t>-2</w:t>
      </w:r>
      <w:r w:rsidRPr="00F370B1">
        <w:rPr>
          <w:rFonts w:ascii="Arial" w:hAnsi="Arial" w:cs="Arial"/>
          <w:sz w:val="22"/>
          <w:szCs w:val="22"/>
        </w:rPr>
        <w:t>) illumination</w:t>
      </w:r>
      <w:r>
        <w:rPr>
          <w:rFonts w:ascii="Arial" w:hAnsi="Arial" w:cs="Arial"/>
          <w:sz w:val="22"/>
          <w:szCs w:val="22"/>
        </w:rPr>
        <w:t>.</w:t>
      </w:r>
      <w:r w:rsidRPr="00F370B1">
        <w:rPr>
          <w:rFonts w:ascii="Arial" w:hAnsi="Arial" w:cs="Arial"/>
          <w:sz w:val="22"/>
          <w:szCs w:val="22"/>
        </w:rPr>
        <w:t xml:space="preserve"> VR21 </w:t>
      </w:r>
      <w:r w:rsidRPr="00F370B1">
        <w:rPr>
          <w:rFonts w:ascii="Arial" w:hAnsi="Arial" w:cs="Arial"/>
          <w:sz w:val="22"/>
          <w:szCs w:val="22"/>
        </w:rPr>
        <w:lastRenderedPageBreak/>
        <w:t>successfully navigated the course in 26 secs monocularly with both his right eye and left eye after intervention, bumping into only one obstacle in each test</w:t>
      </w:r>
      <w:r>
        <w:rPr>
          <w:rFonts w:ascii="Arial" w:hAnsi="Arial" w:cs="Arial"/>
          <w:sz w:val="22"/>
          <w:szCs w:val="22"/>
        </w:rPr>
        <w:t>. Collisions with obstacles are shown (indicated by a red circle with a green arrow pointing in the direction of movement of the tracker).</w:t>
      </w:r>
    </w:p>
    <w:p w:rsidR="00360C4A" w:rsidRDefault="00F87239"/>
    <w:sectPr w:rsidR="00360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AA"/>
    <w:rsid w:val="000076B3"/>
    <w:rsid w:val="002D7684"/>
    <w:rsid w:val="00384C2A"/>
    <w:rsid w:val="00480A32"/>
    <w:rsid w:val="004F43C3"/>
    <w:rsid w:val="00567852"/>
    <w:rsid w:val="005E7B06"/>
    <w:rsid w:val="00617C8D"/>
    <w:rsid w:val="007D3491"/>
    <w:rsid w:val="00890BE4"/>
    <w:rsid w:val="00A9407B"/>
    <w:rsid w:val="00B93E91"/>
    <w:rsid w:val="00C853AA"/>
    <w:rsid w:val="00D36EFD"/>
    <w:rsid w:val="00F25602"/>
    <w:rsid w:val="00F8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EE38"/>
  <w15:chartTrackingRefBased/>
  <w15:docId w15:val="{380CACAD-A35D-4F38-9556-D823AEE5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52"/>
    <w:pPr>
      <w:tabs>
        <w:tab w:val="center" w:pos="4680"/>
        <w:tab w:val="right" w:pos="936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567852"/>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Aleman, Tomas</dc:creator>
  <cp:keywords/>
  <dc:description/>
  <cp:lastModifiedBy>Aleman, Tomas</cp:lastModifiedBy>
  <cp:revision>2</cp:revision>
  <dcterms:created xsi:type="dcterms:W3CDTF">2021-01-19T14:52:00Z</dcterms:created>
  <dcterms:modified xsi:type="dcterms:W3CDTF">2021-01-19T14:52:00Z</dcterms:modified>
</cp:coreProperties>
</file>