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8100" w14:textId="77777777" w:rsidR="00333ED3" w:rsidRPr="008A765E" w:rsidRDefault="00333ED3" w:rsidP="00333ED3">
      <w:pPr>
        <w:pStyle w:val="Heading1"/>
        <w:rPr>
          <w:lang w:val="en-US"/>
        </w:rPr>
      </w:pPr>
      <w:r w:rsidRPr="008A765E">
        <w:rPr>
          <w:lang w:val="en-US"/>
        </w:rPr>
        <w:t>Supplementary materials</w:t>
      </w:r>
    </w:p>
    <w:p w14:paraId="4823AE12" w14:textId="77777777" w:rsidR="00333ED3" w:rsidRDefault="00333ED3" w:rsidP="00333ED3">
      <w:pPr>
        <w:spacing w:line="259" w:lineRule="auto"/>
        <w:rPr>
          <w:b/>
          <w:lang w:val="en-US"/>
        </w:rPr>
      </w:pPr>
      <w:r>
        <w:rPr>
          <w:b/>
          <w:lang w:val="en-US"/>
        </w:rPr>
        <w:t>Supplementary Methods</w:t>
      </w:r>
    </w:p>
    <w:p w14:paraId="1BD9D6E9" w14:textId="77777777" w:rsidR="00333ED3" w:rsidRPr="00E351E6" w:rsidRDefault="00333ED3" w:rsidP="00333ED3">
      <w:pPr>
        <w:spacing w:line="259" w:lineRule="auto"/>
        <w:rPr>
          <w:i/>
          <w:lang w:val="en-US"/>
        </w:rPr>
      </w:pPr>
      <w:r w:rsidRPr="00E351E6">
        <w:rPr>
          <w:i/>
          <w:lang w:val="en-US"/>
        </w:rPr>
        <w:t>Randomization</w:t>
      </w:r>
    </w:p>
    <w:p w14:paraId="0F16717A" w14:textId="77777777" w:rsidR="00333ED3" w:rsidRDefault="00333ED3" w:rsidP="00333ED3">
      <w:pPr>
        <w:spacing w:line="259" w:lineRule="auto"/>
        <w:rPr>
          <w:rFonts w:cstheme="minorHAnsi"/>
          <w:lang w:val="en-US"/>
        </w:rPr>
      </w:pPr>
      <w:r w:rsidRPr="008A765E">
        <w:rPr>
          <w:rFonts w:cstheme="minorHAnsi"/>
          <w:lang w:val="en-US"/>
        </w:rPr>
        <w:t>Randomization was stratified by maintenance bronchodilator use during the run-in period (0 or 1 long-acting bronchodilator per day).</w:t>
      </w:r>
    </w:p>
    <w:p w14:paraId="6B0C1E13" w14:textId="77777777" w:rsidR="00333ED3" w:rsidRPr="00E351E6" w:rsidRDefault="00333ED3" w:rsidP="00333ED3">
      <w:pPr>
        <w:spacing w:line="259" w:lineRule="auto"/>
        <w:rPr>
          <w:rFonts w:cstheme="minorHAnsi"/>
          <w:i/>
          <w:lang w:val="en-US"/>
        </w:rPr>
      </w:pPr>
      <w:r w:rsidRPr="00E351E6">
        <w:rPr>
          <w:rFonts w:cstheme="minorHAnsi"/>
          <w:i/>
          <w:lang w:val="en-US"/>
        </w:rPr>
        <w:t>Statistical analyses</w:t>
      </w:r>
    </w:p>
    <w:p w14:paraId="4AEAA70D" w14:textId="77777777" w:rsidR="00333ED3" w:rsidRDefault="00333ED3" w:rsidP="00333ED3">
      <w:pPr>
        <w:spacing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For the MMRM analysis of the primary endpoint, the model included covariates of </w:t>
      </w:r>
      <w:r w:rsidRPr="008B7352">
        <w:rPr>
          <w:rFonts w:cstheme="minorHAnsi"/>
          <w:lang w:val="en-US"/>
        </w:rPr>
        <w:t>baseline FEV</w:t>
      </w:r>
      <w:r w:rsidRPr="000823A9">
        <w:rPr>
          <w:rFonts w:cstheme="minorHAnsi"/>
          <w:vertAlign w:val="subscript"/>
          <w:lang w:val="en-US"/>
        </w:rPr>
        <w:t>1</w:t>
      </w:r>
      <w:r w:rsidRPr="008B7352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 w:rsidRPr="008B7352">
        <w:rPr>
          <w:rFonts w:cstheme="minorHAnsi"/>
          <w:lang w:val="en-US"/>
        </w:rPr>
        <w:t>geographical region, visit, treatment, visit by baseline</w:t>
      </w:r>
      <w:r>
        <w:rPr>
          <w:rFonts w:cstheme="minorHAnsi"/>
          <w:lang w:val="en-US"/>
        </w:rPr>
        <w:t xml:space="preserve"> FEV</w:t>
      </w:r>
      <w:r>
        <w:rPr>
          <w:rFonts w:cstheme="minorHAnsi"/>
          <w:vertAlign w:val="subscript"/>
          <w:lang w:val="en-US"/>
        </w:rPr>
        <w:t>1</w:t>
      </w:r>
      <w:r w:rsidRPr="008B7352">
        <w:rPr>
          <w:rFonts w:cstheme="minorHAnsi"/>
          <w:lang w:val="en-US"/>
        </w:rPr>
        <w:t xml:space="preserve"> and visit by treatment interactions,</w:t>
      </w:r>
      <w:r>
        <w:rPr>
          <w:rFonts w:cstheme="minorHAnsi"/>
          <w:lang w:val="en-US"/>
        </w:rPr>
        <w:t xml:space="preserve"> </w:t>
      </w:r>
      <w:r w:rsidRPr="008B7352">
        <w:rPr>
          <w:rFonts w:cstheme="minorHAnsi"/>
          <w:lang w:val="en-US"/>
        </w:rPr>
        <w:t>where visit is nominal.</w:t>
      </w:r>
      <w:r>
        <w:rPr>
          <w:rFonts w:cstheme="minorHAnsi"/>
          <w:lang w:val="en-US"/>
        </w:rPr>
        <w:t xml:space="preserve"> For the responder analyses of the primary endpoint, the generalized linear mixed model included </w:t>
      </w:r>
      <w:r w:rsidRPr="000823A9">
        <w:rPr>
          <w:rFonts w:cstheme="minorHAnsi"/>
          <w:lang w:val="en-US"/>
        </w:rPr>
        <w:t>treatment as an explanatory variable</w:t>
      </w:r>
      <w:r>
        <w:rPr>
          <w:rFonts w:cstheme="minorHAnsi"/>
          <w:lang w:val="en-US"/>
        </w:rPr>
        <w:t xml:space="preserve"> </w:t>
      </w:r>
      <w:r w:rsidRPr="000823A9">
        <w:rPr>
          <w:rFonts w:cstheme="minorHAnsi"/>
          <w:lang w:val="en-US"/>
        </w:rPr>
        <w:t>and</w:t>
      </w:r>
      <w:r>
        <w:rPr>
          <w:rFonts w:cstheme="minorHAnsi"/>
          <w:lang w:val="en-US"/>
        </w:rPr>
        <w:t xml:space="preserve"> covariates of</w:t>
      </w:r>
      <w:r w:rsidRPr="000823A9">
        <w:rPr>
          <w:rFonts w:cstheme="minorHAnsi"/>
          <w:lang w:val="en-US"/>
        </w:rPr>
        <w:t xml:space="preserve"> visit, baseline </w:t>
      </w:r>
      <w:proofErr w:type="spellStart"/>
      <w:r>
        <w:rPr>
          <w:rFonts w:cstheme="minorHAnsi"/>
          <w:lang w:val="en-US"/>
        </w:rPr>
        <w:t>t</w:t>
      </w:r>
      <w:r w:rsidRPr="000823A9">
        <w:rPr>
          <w:rFonts w:cstheme="minorHAnsi"/>
          <w:lang w:val="en-US"/>
        </w:rPr>
        <w:t>rough</w:t>
      </w:r>
      <w:proofErr w:type="spellEnd"/>
      <w:r w:rsidRPr="000823A9">
        <w:rPr>
          <w:rFonts w:cstheme="minorHAnsi"/>
          <w:lang w:val="en-US"/>
        </w:rPr>
        <w:t xml:space="preserve"> FEV</w:t>
      </w:r>
      <w:r w:rsidRPr="000823A9">
        <w:rPr>
          <w:rFonts w:cstheme="minorHAnsi"/>
          <w:vertAlign w:val="subscript"/>
          <w:lang w:val="en-US"/>
        </w:rPr>
        <w:t>1</w:t>
      </w:r>
      <w:r w:rsidRPr="000823A9">
        <w:rPr>
          <w:rFonts w:cstheme="minorHAnsi"/>
          <w:lang w:val="en-US"/>
        </w:rPr>
        <w:t>, geographical region, visit by baseline</w:t>
      </w:r>
      <w:r>
        <w:rPr>
          <w:rFonts w:cstheme="minorHAnsi"/>
          <w:lang w:val="en-US"/>
        </w:rPr>
        <w:t xml:space="preserve"> FEV</w:t>
      </w:r>
      <w:r>
        <w:rPr>
          <w:rFonts w:cstheme="minorHAnsi"/>
          <w:vertAlign w:val="subscript"/>
          <w:lang w:val="en-US"/>
        </w:rPr>
        <w:t>1</w:t>
      </w:r>
      <w:r w:rsidRPr="000823A9">
        <w:rPr>
          <w:rFonts w:cstheme="minorHAnsi"/>
          <w:lang w:val="en-US"/>
        </w:rPr>
        <w:t xml:space="preserve"> and visit by treatment</w:t>
      </w:r>
      <w:r>
        <w:rPr>
          <w:rFonts w:cstheme="minorHAnsi"/>
          <w:lang w:val="en-US"/>
        </w:rPr>
        <w:t xml:space="preserve"> </w:t>
      </w:r>
      <w:r w:rsidRPr="000823A9">
        <w:rPr>
          <w:rFonts w:cstheme="minorHAnsi"/>
          <w:lang w:val="en-US"/>
        </w:rPr>
        <w:t>interactions.</w:t>
      </w:r>
      <w:r>
        <w:rPr>
          <w:rFonts w:cstheme="minorHAnsi"/>
          <w:lang w:val="en-US"/>
        </w:rPr>
        <w:t xml:space="preserve"> </w:t>
      </w:r>
      <w:r w:rsidRPr="00135B0D">
        <w:rPr>
          <w:rFonts w:cstheme="minorHAnsi"/>
          <w:lang w:val="en-US"/>
        </w:rPr>
        <w:t>Unless stated otherwise, other efficacy endpoints were analyzed in a similar manner</w:t>
      </w:r>
      <w:r>
        <w:rPr>
          <w:rFonts w:cstheme="minorHAnsi"/>
          <w:lang w:val="en-US"/>
        </w:rPr>
        <w:t xml:space="preserve"> using the relevant baseline values for outcomes</w:t>
      </w:r>
      <w:r w:rsidRPr="00135B0D">
        <w:rPr>
          <w:rFonts w:cstheme="minorHAnsi"/>
          <w:lang w:val="en-US"/>
        </w:rPr>
        <w:t>; for analyses of E-RS score and rescue medication use, the 4</w:t>
      </w:r>
      <w:r>
        <w:rPr>
          <w:rFonts w:cstheme="minorHAnsi"/>
          <w:lang w:val="en-US"/>
        </w:rPr>
        <w:noBreakHyphen/>
      </w:r>
      <w:r w:rsidRPr="00135B0D">
        <w:rPr>
          <w:rFonts w:cstheme="minorHAnsi"/>
          <w:lang w:val="en-US"/>
        </w:rPr>
        <w:t xml:space="preserve">weekly period was included as a covariate </w:t>
      </w:r>
      <w:r>
        <w:rPr>
          <w:rFonts w:cstheme="minorHAnsi"/>
          <w:lang w:val="en-US"/>
        </w:rPr>
        <w:t>instead</w:t>
      </w:r>
      <w:r w:rsidRPr="00135B0D">
        <w:rPr>
          <w:rFonts w:cstheme="minorHAnsi"/>
          <w:lang w:val="en-US"/>
        </w:rPr>
        <w:t xml:space="preserve"> of visit.</w:t>
      </w:r>
    </w:p>
    <w:p w14:paraId="27178A25" w14:textId="77777777" w:rsidR="00333ED3" w:rsidRDefault="00333ED3" w:rsidP="00333ED3">
      <w:pPr>
        <w:spacing w:line="259" w:lineRule="auto"/>
        <w:rPr>
          <w:rFonts w:cstheme="minorHAnsi"/>
          <w:lang w:val="en-US"/>
        </w:rPr>
      </w:pPr>
      <w:r w:rsidRPr="00861803">
        <w:rPr>
          <w:rFonts w:cstheme="minorHAnsi"/>
          <w:lang w:val="en-US"/>
        </w:rPr>
        <w:t>Time to first exacerbation HR</w:t>
      </w:r>
      <w:r>
        <w:rPr>
          <w:rFonts w:cstheme="minorHAnsi"/>
          <w:lang w:val="en-US"/>
        </w:rPr>
        <w:t>s</w:t>
      </w:r>
      <w:r w:rsidRPr="00861803">
        <w:rPr>
          <w:rFonts w:cstheme="minorHAnsi"/>
          <w:lang w:val="en-US"/>
        </w:rPr>
        <w:t xml:space="preserve"> and 95% CIs were based on Cox proportional hazards model with covariates of treatment and geographical region. Time to first CID HRs and 95% CIs were based on a Cox proportional hazards model with covariates of treatment, geographical region, trough FEV</w:t>
      </w:r>
      <w:r w:rsidRPr="00E351E6">
        <w:rPr>
          <w:rFonts w:cstheme="minorHAnsi"/>
          <w:vertAlign w:val="subscript"/>
          <w:lang w:val="en-US"/>
        </w:rPr>
        <w:t>1</w:t>
      </w:r>
      <w:r w:rsidRPr="00861803">
        <w:rPr>
          <w:rFonts w:cstheme="minorHAnsi"/>
          <w:lang w:val="en-US"/>
        </w:rPr>
        <w:t xml:space="preserve"> at baseline, and SGRQ score at baseline. </w:t>
      </w:r>
    </w:p>
    <w:p w14:paraId="4D1B80E9" w14:textId="77777777" w:rsidR="00333ED3" w:rsidRPr="00FB2D81" w:rsidRDefault="00333ED3" w:rsidP="00333ED3">
      <w:pPr>
        <w:spacing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For the post hoc analysis of an interaction between change from baseline in trough FEV</w:t>
      </w:r>
      <w:r>
        <w:rPr>
          <w:rFonts w:cstheme="minorHAnsi"/>
          <w:vertAlign w:val="subscript"/>
          <w:lang w:val="en-US"/>
        </w:rPr>
        <w:t>1</w:t>
      </w:r>
      <w:r>
        <w:rPr>
          <w:rFonts w:cstheme="minorHAnsi"/>
          <w:lang w:val="en-US"/>
        </w:rPr>
        <w:t xml:space="preserve"> and maintenance therapy status, the MMRM model included </w:t>
      </w:r>
      <w:r w:rsidRPr="008A765E">
        <w:rPr>
          <w:lang w:val="en-US"/>
        </w:rPr>
        <w:t>covariates of baseline FEV</w:t>
      </w:r>
      <w:r w:rsidRPr="008A765E">
        <w:rPr>
          <w:vertAlign w:val="subscript"/>
          <w:lang w:val="en-US"/>
        </w:rPr>
        <w:t>1</w:t>
      </w:r>
      <w:r w:rsidRPr="008A765E">
        <w:rPr>
          <w:lang w:val="en-US"/>
        </w:rPr>
        <w:t>, geographical region, number of bronchodilators received during run-in (0 or 1), visit, treatment, MN status, visit by baseline FEV</w:t>
      </w:r>
      <w:r w:rsidRPr="008A765E">
        <w:rPr>
          <w:vertAlign w:val="subscript"/>
          <w:lang w:val="en-US"/>
        </w:rPr>
        <w:t>1</w:t>
      </w:r>
      <w:r w:rsidRPr="008A765E">
        <w:rPr>
          <w:lang w:val="en-US"/>
        </w:rPr>
        <w:t>, visit by treatment, visit by MN status, treatment by MN status, and visit by treatment by MN status interactions (where visit is nominal).</w:t>
      </w:r>
      <w:r>
        <w:rPr>
          <w:lang w:val="en-US"/>
        </w:rPr>
        <w:t xml:space="preserve"> The interaction test for SAC-TDI focal score was conducted in a similar manner, with SAC-baseline dyspnea index score as the baseline value.</w:t>
      </w:r>
    </w:p>
    <w:p w14:paraId="332D51D2" w14:textId="77777777" w:rsidR="00333ED3" w:rsidRDefault="00333ED3" w:rsidP="00333ED3">
      <w:pPr>
        <w:spacing w:line="259" w:lineRule="auto"/>
        <w:rPr>
          <w:rFonts w:cstheme="minorHAnsi"/>
          <w:lang w:val="en-US"/>
        </w:rPr>
      </w:pPr>
    </w:p>
    <w:p w14:paraId="6CA8C3B2" w14:textId="77777777" w:rsidR="00333ED3" w:rsidRDefault="00333ED3" w:rsidP="00333ED3">
      <w:pPr>
        <w:spacing w:line="259" w:lineRule="auto"/>
        <w:rPr>
          <w:b/>
          <w:lang w:val="en-US"/>
        </w:rPr>
      </w:pPr>
    </w:p>
    <w:p w14:paraId="21687EC6" w14:textId="77777777" w:rsidR="00333ED3" w:rsidRDefault="00333ED3" w:rsidP="00333ED3">
      <w:pPr>
        <w:spacing w:line="259" w:lineRule="auto"/>
        <w:rPr>
          <w:b/>
          <w:lang w:val="en-US"/>
        </w:rPr>
      </w:pPr>
    </w:p>
    <w:p w14:paraId="40D43631" w14:textId="77777777" w:rsidR="00333ED3" w:rsidRDefault="00333ED3" w:rsidP="00333ED3">
      <w:pPr>
        <w:spacing w:line="259" w:lineRule="auto"/>
        <w:rPr>
          <w:b/>
          <w:lang w:val="en-US"/>
        </w:rPr>
        <w:sectPr w:rsidR="00333ED3" w:rsidSect="00DC5FF0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6D1A592E" w14:textId="77777777" w:rsidR="0018446B" w:rsidRPr="004F79DE" w:rsidRDefault="0018446B" w:rsidP="0018446B">
      <w:pPr>
        <w:pStyle w:val="BodyText"/>
        <w:rPr>
          <w:lang w:eastAsia="en-US"/>
        </w:rPr>
      </w:pPr>
      <w:r>
        <w:rPr>
          <w:b/>
          <w:lang w:eastAsia="en-US"/>
        </w:rPr>
        <w:lastRenderedPageBreak/>
        <w:t xml:space="preserve">Supplementary </w:t>
      </w:r>
      <w:r w:rsidRPr="00213DCF">
        <w:rPr>
          <w:b/>
          <w:lang w:eastAsia="en-US"/>
        </w:rPr>
        <w:t>Table S</w:t>
      </w:r>
      <w:r>
        <w:rPr>
          <w:b/>
          <w:lang w:eastAsia="en-US"/>
        </w:rPr>
        <w:t>1</w:t>
      </w:r>
      <w:r w:rsidRPr="004F79DE">
        <w:rPr>
          <w:lang w:eastAsia="en-US"/>
        </w:rPr>
        <w:t xml:space="preserve"> </w:t>
      </w:r>
      <w:r w:rsidRPr="00213DCF">
        <w:rPr>
          <w:lang w:val="en-US"/>
        </w:rPr>
        <w:t>IEC/IRB committees that approved the EMAX trial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8446B" w:rsidRPr="00DA4E2C" w14:paraId="661760D3" w14:textId="77777777" w:rsidTr="00DC5FF0">
        <w:tc>
          <w:tcPr>
            <w:tcW w:w="9067" w:type="dxa"/>
          </w:tcPr>
          <w:p w14:paraId="26DC222A" w14:textId="77777777" w:rsidR="0018446B" w:rsidRPr="00E33520" w:rsidRDefault="0018446B" w:rsidP="00DC5FF0">
            <w:proofErr w:type="spellStart"/>
            <w:r w:rsidRPr="00E33520">
              <w:t>Comité</w:t>
            </w:r>
            <w:proofErr w:type="spellEnd"/>
            <w:r w:rsidRPr="00E33520">
              <w:t xml:space="preserve"> de </w:t>
            </w:r>
            <w:proofErr w:type="spellStart"/>
            <w:r w:rsidRPr="00E33520">
              <w:t>Ética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en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Investigación</w:t>
            </w:r>
            <w:proofErr w:type="spellEnd"/>
            <w:r w:rsidRPr="00E33520">
              <w:t xml:space="preserve">. INAER, </w:t>
            </w:r>
            <w:proofErr w:type="spellStart"/>
            <w:r w:rsidRPr="00E33520">
              <w:t>Arenales</w:t>
            </w:r>
            <w:proofErr w:type="spellEnd"/>
            <w:r w:rsidRPr="00E33520">
              <w:t xml:space="preserve"> 3146 1° B, Ciudad </w:t>
            </w:r>
            <w:proofErr w:type="spellStart"/>
            <w:r w:rsidRPr="00E33520">
              <w:t>Autónoma</w:t>
            </w:r>
            <w:proofErr w:type="spellEnd"/>
            <w:r w:rsidRPr="00E33520">
              <w:t xml:space="preserve"> de Buenos Aires, C1425BEN, Argentina</w:t>
            </w:r>
          </w:p>
        </w:tc>
      </w:tr>
      <w:tr w:rsidR="0018446B" w:rsidRPr="005D0C52" w14:paraId="20A4B0AD" w14:textId="77777777" w:rsidTr="00DC5FF0">
        <w:trPr>
          <w:trHeight w:val="322"/>
        </w:trPr>
        <w:tc>
          <w:tcPr>
            <w:tcW w:w="9067" w:type="dxa"/>
          </w:tcPr>
          <w:p w14:paraId="29EA6801" w14:textId="77777777" w:rsidR="0018446B" w:rsidRPr="005D0C52" w:rsidRDefault="0018446B" w:rsidP="00DC5FF0">
            <w:r w:rsidRPr="005D0C52">
              <w:t>CEICI, Italia 424, Rosario, Santa Fe, 2000, Argentina</w:t>
            </w:r>
          </w:p>
        </w:tc>
      </w:tr>
      <w:tr w:rsidR="0018446B" w:rsidRPr="005D0C52" w14:paraId="3F724009" w14:textId="77777777" w:rsidTr="00DC5FF0">
        <w:tc>
          <w:tcPr>
            <w:tcW w:w="9067" w:type="dxa"/>
          </w:tcPr>
          <w:p w14:paraId="691AAD2B" w14:textId="77777777" w:rsidR="0018446B" w:rsidRPr="005D0C52" w:rsidRDefault="0018446B" w:rsidP="00DC5FF0">
            <w:r w:rsidRPr="005D0C52">
              <w:t>CEMER, Esmeralda 1550, Florida, Buenos Aires, 1602, Argentina</w:t>
            </w:r>
          </w:p>
        </w:tc>
      </w:tr>
      <w:tr w:rsidR="0018446B" w:rsidRPr="00DA4E2C" w14:paraId="72A08349" w14:textId="77777777" w:rsidTr="00DC5FF0">
        <w:tc>
          <w:tcPr>
            <w:tcW w:w="9067" w:type="dxa"/>
          </w:tcPr>
          <w:p w14:paraId="1D0F64F3" w14:textId="77777777" w:rsidR="0018446B" w:rsidRPr="00E33520" w:rsidRDefault="0018446B" w:rsidP="00DC5FF0">
            <w:r w:rsidRPr="00E33520">
              <w:t xml:space="preserve">CECIC </w:t>
            </w:r>
            <w:proofErr w:type="spellStart"/>
            <w:r w:rsidRPr="00E33520">
              <w:t>Comité</w:t>
            </w:r>
            <w:proofErr w:type="spellEnd"/>
            <w:r w:rsidRPr="00E33520">
              <w:t xml:space="preserve"> de </w:t>
            </w:r>
            <w:proofErr w:type="spellStart"/>
            <w:r w:rsidRPr="00E33520">
              <w:t>Ética</w:t>
            </w:r>
            <w:proofErr w:type="spellEnd"/>
            <w:r w:rsidRPr="00E33520">
              <w:t xml:space="preserve"> de CER </w:t>
            </w:r>
            <w:proofErr w:type="spellStart"/>
            <w:r w:rsidRPr="00E33520">
              <w:t>Investigaciones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Clínicas</w:t>
            </w:r>
            <w:proofErr w:type="spellEnd"/>
            <w:r w:rsidRPr="00E33520">
              <w:t>, Vicente Lopez 1441, Quilmes, Buenos Aires, 1878, Argentina</w:t>
            </w:r>
          </w:p>
        </w:tc>
      </w:tr>
      <w:tr w:rsidR="0018446B" w:rsidRPr="005D0C52" w14:paraId="3A2524D3" w14:textId="77777777" w:rsidTr="00DC5FF0">
        <w:tc>
          <w:tcPr>
            <w:tcW w:w="9067" w:type="dxa"/>
          </w:tcPr>
          <w:p w14:paraId="12D96C87" w14:textId="77777777" w:rsidR="0018446B" w:rsidRPr="005D0C52" w:rsidRDefault="0018446B" w:rsidP="00DC5FF0">
            <w:proofErr w:type="spellStart"/>
            <w:r w:rsidRPr="005D0C52">
              <w:t>Comite</w:t>
            </w:r>
            <w:proofErr w:type="spellEnd"/>
            <w:r w:rsidRPr="005D0C52">
              <w:t xml:space="preserve"> Independiente de </w:t>
            </w:r>
            <w:proofErr w:type="spellStart"/>
            <w:r w:rsidRPr="005D0C52">
              <w:t>etica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Fundacion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Rusculleda</w:t>
            </w:r>
            <w:proofErr w:type="spellEnd"/>
            <w:r w:rsidRPr="005D0C52">
              <w:t xml:space="preserve">, Avenida Colon 2057, Cordoba, </w:t>
            </w:r>
            <w:proofErr w:type="spellStart"/>
            <w:r w:rsidRPr="005D0C52">
              <w:t>Córdova</w:t>
            </w:r>
            <w:proofErr w:type="spellEnd"/>
            <w:r w:rsidRPr="005D0C52">
              <w:t>, X5003DCE, Argentina</w:t>
            </w:r>
          </w:p>
        </w:tc>
      </w:tr>
      <w:tr w:rsidR="0018446B" w:rsidRPr="00DA4E2C" w14:paraId="02BAB09D" w14:textId="77777777" w:rsidTr="00DC5FF0">
        <w:tc>
          <w:tcPr>
            <w:tcW w:w="9067" w:type="dxa"/>
          </w:tcPr>
          <w:p w14:paraId="3E028BD1" w14:textId="77777777" w:rsidR="0018446B" w:rsidRPr="00E33520" w:rsidRDefault="0018446B" w:rsidP="00DC5FF0">
            <w:r w:rsidRPr="00E33520">
              <w:t xml:space="preserve">Framingham Centro </w:t>
            </w:r>
            <w:proofErr w:type="spellStart"/>
            <w:r w:rsidRPr="00E33520">
              <w:t>Médico</w:t>
            </w:r>
            <w:proofErr w:type="spellEnd"/>
            <w:r w:rsidRPr="00E33520">
              <w:t xml:space="preserve">, Calle 9 </w:t>
            </w:r>
            <w:proofErr w:type="spellStart"/>
            <w:r w:rsidRPr="00E33520">
              <w:t>Numero</w:t>
            </w:r>
            <w:proofErr w:type="spellEnd"/>
            <w:r w:rsidRPr="00E33520">
              <w:t xml:space="preserve"> 431, La Plata, Buenos Aires, B1902COS, Argentina</w:t>
            </w:r>
          </w:p>
        </w:tc>
      </w:tr>
      <w:tr w:rsidR="0018446B" w:rsidRPr="00DA4E2C" w14:paraId="2027983E" w14:textId="77777777" w:rsidTr="00DC5FF0">
        <w:tc>
          <w:tcPr>
            <w:tcW w:w="9067" w:type="dxa"/>
          </w:tcPr>
          <w:p w14:paraId="4F1628C9" w14:textId="77777777" w:rsidR="0018446B" w:rsidRPr="00E33520" w:rsidRDefault="0018446B" w:rsidP="00DC5FF0">
            <w:proofErr w:type="spellStart"/>
            <w:r w:rsidRPr="00E33520">
              <w:t>Comité</w:t>
            </w:r>
            <w:proofErr w:type="spellEnd"/>
            <w:r w:rsidRPr="00E33520">
              <w:t xml:space="preserve"> Independiente de </w:t>
            </w:r>
            <w:proofErr w:type="spellStart"/>
            <w:r w:rsidRPr="00E33520">
              <w:t>ética</w:t>
            </w:r>
            <w:proofErr w:type="spellEnd"/>
            <w:r w:rsidRPr="00E33520">
              <w:t xml:space="preserve"> para </w:t>
            </w:r>
            <w:proofErr w:type="spellStart"/>
            <w:r w:rsidRPr="00E33520">
              <w:t>ensayos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en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Farmacología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Clinica</w:t>
            </w:r>
            <w:proofErr w:type="spellEnd"/>
            <w:r w:rsidRPr="00E33520">
              <w:t xml:space="preserve"> del </w:t>
            </w:r>
            <w:proofErr w:type="spellStart"/>
            <w:r w:rsidRPr="00E33520">
              <w:t>centro</w:t>
            </w:r>
            <w:proofErr w:type="spellEnd"/>
            <w:r w:rsidRPr="00E33520">
              <w:t xml:space="preserve"> Medico Dra. De Salvo, Avenida Cabildo 1536 5° B, Ciudad </w:t>
            </w:r>
            <w:proofErr w:type="spellStart"/>
            <w:r w:rsidRPr="00E33520">
              <w:t>Autonoma</w:t>
            </w:r>
            <w:proofErr w:type="spellEnd"/>
            <w:r w:rsidRPr="00E33520">
              <w:t xml:space="preserve"> de Buenos Aires, Buenos Aires, C1426ABP, Argentina</w:t>
            </w:r>
          </w:p>
        </w:tc>
      </w:tr>
      <w:tr w:rsidR="0018446B" w:rsidRPr="005D0C52" w14:paraId="1862ABCB" w14:textId="77777777" w:rsidTr="00DC5FF0">
        <w:tc>
          <w:tcPr>
            <w:tcW w:w="9067" w:type="dxa"/>
          </w:tcPr>
          <w:p w14:paraId="2A083840" w14:textId="77777777" w:rsidR="0018446B" w:rsidRPr="005D0C52" w:rsidRDefault="0018446B" w:rsidP="00DC5FF0">
            <w:r w:rsidRPr="005D0C52">
              <w:t xml:space="preserve">Instituto </w:t>
            </w:r>
            <w:proofErr w:type="spellStart"/>
            <w:r w:rsidRPr="005D0C52">
              <w:t>Argentino</w:t>
            </w:r>
            <w:proofErr w:type="spellEnd"/>
            <w:r w:rsidRPr="005D0C52">
              <w:t xml:space="preserve"> de </w:t>
            </w:r>
            <w:proofErr w:type="spellStart"/>
            <w:r w:rsidRPr="005D0C52">
              <w:t>Investigacion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Neurologica</w:t>
            </w:r>
            <w:proofErr w:type="spellEnd"/>
            <w:r w:rsidRPr="005D0C52">
              <w:t xml:space="preserve">, Uruguay 824 1st floor, Ciudad </w:t>
            </w:r>
            <w:proofErr w:type="spellStart"/>
            <w:r w:rsidRPr="005D0C52">
              <w:t>Autonoma</w:t>
            </w:r>
            <w:proofErr w:type="spellEnd"/>
            <w:r w:rsidRPr="005D0C52">
              <w:t xml:space="preserve"> de </w:t>
            </w:r>
            <w:proofErr w:type="spellStart"/>
            <w:r w:rsidRPr="005D0C52">
              <w:t>Buenis</w:t>
            </w:r>
            <w:proofErr w:type="spellEnd"/>
            <w:r w:rsidRPr="005D0C52">
              <w:t xml:space="preserve"> Aires, C1015ABR, Argentina</w:t>
            </w:r>
          </w:p>
        </w:tc>
      </w:tr>
      <w:tr w:rsidR="0018446B" w:rsidRPr="005D0C52" w14:paraId="7777AFAE" w14:textId="77777777" w:rsidTr="00DC5FF0">
        <w:tc>
          <w:tcPr>
            <w:tcW w:w="9067" w:type="dxa"/>
          </w:tcPr>
          <w:p w14:paraId="1C655B99" w14:textId="77777777" w:rsidR="0018446B" w:rsidRPr="005D0C52" w:rsidRDefault="0018446B" w:rsidP="00DC5FF0">
            <w:r w:rsidRPr="005D0C52">
              <w:t xml:space="preserve">FUMELIT, Av. </w:t>
            </w:r>
            <w:proofErr w:type="spellStart"/>
            <w:r w:rsidRPr="005D0C52">
              <w:t>Gdor</w:t>
            </w:r>
            <w:proofErr w:type="spellEnd"/>
            <w:r w:rsidRPr="005D0C52">
              <w:t xml:space="preserve">. </w:t>
            </w:r>
            <w:proofErr w:type="spellStart"/>
            <w:r w:rsidRPr="005D0C52">
              <w:t>Freyre</w:t>
            </w:r>
            <w:proofErr w:type="spellEnd"/>
            <w:r w:rsidRPr="005D0C52">
              <w:t xml:space="preserve"> 3074, Santa Fe, 3000, Argentina</w:t>
            </w:r>
          </w:p>
        </w:tc>
      </w:tr>
      <w:tr w:rsidR="0018446B" w:rsidRPr="005D0C52" w14:paraId="7E99CA45" w14:textId="77777777" w:rsidTr="00DC5FF0">
        <w:tc>
          <w:tcPr>
            <w:tcW w:w="9067" w:type="dxa"/>
          </w:tcPr>
          <w:p w14:paraId="459BA1C5" w14:textId="77777777" w:rsidR="0018446B" w:rsidRPr="005D0C52" w:rsidRDefault="0018446B" w:rsidP="00DC5FF0">
            <w:r w:rsidRPr="005D0C52">
              <w:t xml:space="preserve">CIDEA, 3er Cuerpo - 2do </w:t>
            </w:r>
            <w:proofErr w:type="spellStart"/>
            <w:r w:rsidRPr="005D0C52">
              <w:t>Subsuelo</w:t>
            </w:r>
            <w:proofErr w:type="spellEnd"/>
            <w:r w:rsidRPr="005D0C52">
              <w:t xml:space="preserve">, Paraguay 2035, Ciudad </w:t>
            </w:r>
            <w:proofErr w:type="spellStart"/>
            <w:r w:rsidRPr="005D0C52">
              <w:t>Autónoma</w:t>
            </w:r>
            <w:proofErr w:type="spellEnd"/>
            <w:r w:rsidRPr="005D0C52">
              <w:t xml:space="preserve"> de Buenos Aires, C1121ABE, Argentina</w:t>
            </w:r>
          </w:p>
        </w:tc>
      </w:tr>
      <w:tr w:rsidR="0018446B" w:rsidRPr="005D0C52" w14:paraId="0F6348FE" w14:textId="77777777" w:rsidTr="00DC5FF0">
        <w:tc>
          <w:tcPr>
            <w:tcW w:w="9067" w:type="dxa"/>
          </w:tcPr>
          <w:p w14:paraId="6CF1B2BF" w14:textId="77777777" w:rsidR="0018446B" w:rsidRPr="005D0C52" w:rsidRDefault="0018446B" w:rsidP="00DC5FF0">
            <w:proofErr w:type="spellStart"/>
            <w:r w:rsidRPr="005D0C52">
              <w:t>Comite</w:t>
            </w:r>
            <w:proofErr w:type="spellEnd"/>
            <w:r w:rsidRPr="005D0C52">
              <w:t xml:space="preserve"> de </w:t>
            </w:r>
            <w:proofErr w:type="spellStart"/>
            <w:r w:rsidRPr="005D0C52">
              <w:t>Etica</w:t>
            </w:r>
            <w:proofErr w:type="spellEnd"/>
            <w:r w:rsidRPr="005D0C52">
              <w:t xml:space="preserve"> de San Isidro-CESI, Avenue </w:t>
            </w:r>
            <w:proofErr w:type="spellStart"/>
            <w:r w:rsidRPr="005D0C52">
              <w:t>Libertador</w:t>
            </w:r>
            <w:proofErr w:type="spellEnd"/>
            <w:r w:rsidRPr="005D0C52">
              <w:t xml:space="preserve"> 169581, San Isidro, Buenos Aires, CP 1643, Argentina</w:t>
            </w:r>
          </w:p>
        </w:tc>
      </w:tr>
      <w:tr w:rsidR="0018446B" w:rsidRPr="005D0C52" w14:paraId="2096602E" w14:textId="77777777" w:rsidTr="00DC5FF0">
        <w:tc>
          <w:tcPr>
            <w:tcW w:w="9067" w:type="dxa"/>
          </w:tcPr>
          <w:p w14:paraId="6EF3F8A2" w14:textId="77777777" w:rsidR="0018446B" w:rsidRPr="005D0C52" w:rsidRDefault="0018446B" w:rsidP="00DC5FF0">
            <w:proofErr w:type="spellStart"/>
            <w:r w:rsidRPr="005D0C52">
              <w:t>Comite</w:t>
            </w:r>
            <w:proofErr w:type="spellEnd"/>
            <w:r w:rsidRPr="005D0C52">
              <w:t xml:space="preserve"> de </w:t>
            </w:r>
            <w:proofErr w:type="spellStart"/>
            <w:r w:rsidRPr="005D0C52">
              <w:t>etica</w:t>
            </w:r>
            <w:proofErr w:type="spellEnd"/>
            <w:r w:rsidRPr="005D0C52">
              <w:t xml:space="preserve"> para la </w:t>
            </w:r>
            <w:proofErr w:type="spellStart"/>
            <w:r w:rsidRPr="005D0C52">
              <w:t>investigación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Clinica</w:t>
            </w:r>
            <w:proofErr w:type="spellEnd"/>
            <w:r w:rsidRPr="005D0C52">
              <w:t xml:space="preserve"> Fundación Dr. J.R. Villavicencio, </w:t>
            </w:r>
            <w:proofErr w:type="spellStart"/>
            <w:r w:rsidRPr="005D0C52">
              <w:t>Alvear</w:t>
            </w:r>
            <w:proofErr w:type="spellEnd"/>
            <w:r w:rsidRPr="005D0C52">
              <w:t xml:space="preserve"> 854, Rosario, Santa Fe, 2000QGB, Argentina</w:t>
            </w:r>
          </w:p>
        </w:tc>
      </w:tr>
      <w:tr w:rsidR="0018446B" w:rsidRPr="005D0C52" w14:paraId="17AA78F8" w14:textId="77777777" w:rsidTr="00DC5FF0">
        <w:tc>
          <w:tcPr>
            <w:tcW w:w="9067" w:type="dxa"/>
          </w:tcPr>
          <w:p w14:paraId="43F48BF8" w14:textId="77777777" w:rsidR="0018446B" w:rsidRPr="005D0C52" w:rsidRDefault="0018446B" w:rsidP="00DC5FF0">
            <w:proofErr w:type="spellStart"/>
            <w:r w:rsidRPr="005D0C52">
              <w:t>Comite</w:t>
            </w:r>
            <w:proofErr w:type="spellEnd"/>
            <w:r w:rsidRPr="005D0C52">
              <w:t xml:space="preserve"> de </w:t>
            </w:r>
            <w:proofErr w:type="spellStart"/>
            <w:r w:rsidRPr="005D0C52">
              <w:t>Etica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Iniciativa</w:t>
            </w:r>
            <w:proofErr w:type="spellEnd"/>
            <w:r w:rsidRPr="005D0C52">
              <w:t xml:space="preserve"> y </w:t>
            </w:r>
            <w:proofErr w:type="spellStart"/>
            <w:r w:rsidRPr="005D0C52">
              <w:t>Refelexion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Bioetica</w:t>
            </w:r>
            <w:proofErr w:type="spellEnd"/>
            <w:r w:rsidRPr="005D0C52">
              <w:t xml:space="preserve"> Rosario, Rioja 2926, Rosario, S2002OJN, Argentina</w:t>
            </w:r>
          </w:p>
        </w:tc>
      </w:tr>
      <w:tr w:rsidR="0018446B" w:rsidRPr="005D0C52" w14:paraId="5E1BCA11" w14:textId="77777777" w:rsidTr="00DC5FF0">
        <w:tc>
          <w:tcPr>
            <w:tcW w:w="9067" w:type="dxa"/>
          </w:tcPr>
          <w:p w14:paraId="01EF8DB3" w14:textId="77777777" w:rsidR="0018446B" w:rsidRPr="005D0C52" w:rsidRDefault="0018446B" w:rsidP="00DC5FF0">
            <w:r w:rsidRPr="005D0C52">
              <w:t xml:space="preserve">CESIM, </w:t>
            </w:r>
            <w:proofErr w:type="spellStart"/>
            <w:r w:rsidRPr="005D0C52">
              <w:t>Urquiza</w:t>
            </w:r>
            <w:proofErr w:type="spellEnd"/>
            <w:r w:rsidRPr="005D0C52">
              <w:t xml:space="preserve"> 646, Santa Rosa, 6300, Argentina</w:t>
            </w:r>
          </w:p>
        </w:tc>
      </w:tr>
      <w:tr w:rsidR="0018446B" w:rsidRPr="00DA4E2C" w14:paraId="59078FBF" w14:textId="77777777" w:rsidTr="00DC5FF0">
        <w:tc>
          <w:tcPr>
            <w:tcW w:w="9067" w:type="dxa"/>
          </w:tcPr>
          <w:p w14:paraId="6B23D74D" w14:textId="77777777" w:rsidR="0018446B" w:rsidRPr="00E33520" w:rsidRDefault="0018446B" w:rsidP="00DC5FF0">
            <w:r w:rsidRPr="00E33520">
              <w:t xml:space="preserve">Instituto de </w:t>
            </w:r>
            <w:proofErr w:type="spellStart"/>
            <w:r w:rsidRPr="00E33520">
              <w:t>Investigacion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Clinica</w:t>
            </w:r>
            <w:proofErr w:type="spellEnd"/>
            <w:r w:rsidRPr="00E33520">
              <w:t xml:space="preserve"> de Mar del Plata, Av. Colon 3364 PB, Mar del Plata, Buenos Aires, B7600FZN, Argentina</w:t>
            </w:r>
          </w:p>
        </w:tc>
      </w:tr>
      <w:tr w:rsidR="0018446B" w:rsidRPr="00DA4E2C" w14:paraId="4CB30959" w14:textId="77777777" w:rsidTr="00DC5FF0">
        <w:tc>
          <w:tcPr>
            <w:tcW w:w="9067" w:type="dxa"/>
          </w:tcPr>
          <w:p w14:paraId="12226616" w14:textId="77777777" w:rsidR="0018446B" w:rsidRPr="00E33520" w:rsidRDefault="0018446B" w:rsidP="00DC5FF0">
            <w:r w:rsidRPr="00E33520">
              <w:t xml:space="preserve">Centro de </w:t>
            </w:r>
            <w:proofErr w:type="spellStart"/>
            <w:r w:rsidRPr="00E33520">
              <w:t>Osteopatias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Medicas</w:t>
            </w:r>
            <w:proofErr w:type="spellEnd"/>
            <w:r w:rsidRPr="00E33520">
              <w:t xml:space="preserve">, </w:t>
            </w:r>
            <w:proofErr w:type="spellStart"/>
            <w:r w:rsidRPr="00E33520">
              <w:t>Azcuenaga</w:t>
            </w:r>
            <w:proofErr w:type="spellEnd"/>
            <w:r w:rsidRPr="00E33520">
              <w:t xml:space="preserve"> 1860, Buenos Aires, C1128AAF, Argentina</w:t>
            </w:r>
          </w:p>
        </w:tc>
      </w:tr>
      <w:tr w:rsidR="0018446B" w:rsidRPr="00DA4E2C" w14:paraId="72C2F81A" w14:textId="77777777" w:rsidTr="00DC5FF0">
        <w:tc>
          <w:tcPr>
            <w:tcW w:w="9067" w:type="dxa"/>
          </w:tcPr>
          <w:p w14:paraId="0B7A6D62" w14:textId="77777777" w:rsidR="0018446B" w:rsidRPr="00E33520" w:rsidRDefault="0018446B" w:rsidP="00DC5FF0">
            <w:proofErr w:type="spellStart"/>
            <w:r w:rsidRPr="00E33520">
              <w:t>Comite</w:t>
            </w:r>
            <w:proofErr w:type="spellEnd"/>
            <w:r w:rsidRPr="00E33520">
              <w:t xml:space="preserve"> de </w:t>
            </w:r>
            <w:proofErr w:type="spellStart"/>
            <w:r w:rsidRPr="00E33520">
              <w:t>Etica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en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Investigacion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Clinica</w:t>
            </w:r>
            <w:proofErr w:type="spellEnd"/>
            <w:r w:rsidRPr="00E33520">
              <w:t xml:space="preserve"> - CEIC, Larrea 1381, Ciudad </w:t>
            </w:r>
            <w:proofErr w:type="spellStart"/>
            <w:r w:rsidRPr="00E33520">
              <w:t>Autonoma</w:t>
            </w:r>
            <w:proofErr w:type="spellEnd"/>
            <w:r w:rsidRPr="00E33520">
              <w:t xml:space="preserve"> de Buenos Aires, Buenos Aires, C1117ABK, Argentina</w:t>
            </w:r>
          </w:p>
        </w:tc>
      </w:tr>
      <w:tr w:rsidR="0018446B" w:rsidRPr="005D0C52" w14:paraId="6E9E0D1D" w14:textId="77777777" w:rsidTr="00DC5FF0">
        <w:tc>
          <w:tcPr>
            <w:tcW w:w="9067" w:type="dxa"/>
          </w:tcPr>
          <w:p w14:paraId="3CB503CB" w14:textId="77777777" w:rsidR="0018446B" w:rsidRPr="005D0C52" w:rsidRDefault="0018446B" w:rsidP="00DC5FF0">
            <w:proofErr w:type="spellStart"/>
            <w:r w:rsidRPr="005D0C52">
              <w:t>Comite</w:t>
            </w:r>
            <w:proofErr w:type="spellEnd"/>
            <w:r w:rsidRPr="005D0C52">
              <w:t xml:space="preserve"> de </w:t>
            </w:r>
            <w:proofErr w:type="spellStart"/>
            <w:r w:rsidRPr="005D0C52">
              <w:t>Etica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en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Investigacion</w:t>
            </w:r>
            <w:proofErr w:type="spellEnd"/>
            <w:r w:rsidRPr="005D0C52">
              <w:t xml:space="preserve">, Instituto Ave </w:t>
            </w:r>
            <w:proofErr w:type="spellStart"/>
            <w:r w:rsidRPr="005D0C52">
              <w:t>Pulmo</w:t>
            </w:r>
            <w:proofErr w:type="spellEnd"/>
            <w:r w:rsidRPr="005D0C52">
              <w:t xml:space="preserve">, Carlos M. </w:t>
            </w:r>
            <w:proofErr w:type="spellStart"/>
            <w:r w:rsidRPr="005D0C52">
              <w:t>Alvear</w:t>
            </w:r>
            <w:proofErr w:type="spellEnd"/>
            <w:r w:rsidRPr="005D0C52">
              <w:t xml:space="preserve"> 3345, Mar del Plata,</w:t>
            </w:r>
          </w:p>
          <w:p w14:paraId="075F5073" w14:textId="77777777" w:rsidR="0018446B" w:rsidRPr="005D0C52" w:rsidRDefault="0018446B" w:rsidP="00DC5FF0">
            <w:pPr>
              <w:rPr>
                <w:b/>
              </w:rPr>
            </w:pPr>
            <w:r w:rsidRPr="005D0C52">
              <w:t>Buenos Aires, B7602DCK, Argentina</w:t>
            </w:r>
          </w:p>
        </w:tc>
      </w:tr>
      <w:tr w:rsidR="0018446B" w:rsidRPr="005D0C52" w14:paraId="3CB679C2" w14:textId="77777777" w:rsidTr="00DC5FF0">
        <w:tc>
          <w:tcPr>
            <w:tcW w:w="9067" w:type="dxa"/>
          </w:tcPr>
          <w:p w14:paraId="4069FA5C" w14:textId="77777777" w:rsidR="0018446B" w:rsidRPr="005D0C52" w:rsidRDefault="0018446B" w:rsidP="00DC5FF0">
            <w:proofErr w:type="spellStart"/>
            <w:r w:rsidRPr="005D0C52">
              <w:t>Bellberry</w:t>
            </w:r>
            <w:proofErr w:type="spellEnd"/>
            <w:r w:rsidRPr="005D0C52">
              <w:t xml:space="preserve"> Limited, 129 Glen Osmond Rd, Eastwood, South Australia, 5063, Australia</w:t>
            </w:r>
          </w:p>
        </w:tc>
      </w:tr>
      <w:tr w:rsidR="0018446B" w:rsidRPr="005D0C52" w14:paraId="5A26E6EB" w14:textId="77777777" w:rsidTr="00DC5FF0">
        <w:tc>
          <w:tcPr>
            <w:tcW w:w="9067" w:type="dxa"/>
          </w:tcPr>
          <w:p w14:paraId="3F69D541" w14:textId="77777777" w:rsidR="0018446B" w:rsidRPr="005D0C52" w:rsidRDefault="0018446B" w:rsidP="00DC5FF0">
            <w:r w:rsidRPr="005D0C52">
              <w:lastRenderedPageBreak/>
              <w:t xml:space="preserve">INSTITUTIONAL REVIEW BOARD Services, Suite 300, 372 </w:t>
            </w:r>
            <w:proofErr w:type="spellStart"/>
            <w:r w:rsidRPr="005D0C52">
              <w:t>Hollandview</w:t>
            </w:r>
            <w:proofErr w:type="spellEnd"/>
            <w:r w:rsidRPr="005D0C52">
              <w:t xml:space="preserve"> Trail, Aurora, Ontario, L4G 0A5, Canada</w:t>
            </w:r>
          </w:p>
        </w:tc>
      </w:tr>
      <w:tr w:rsidR="0018446B" w:rsidRPr="00DA4E2C" w14:paraId="3A0A798A" w14:textId="77777777" w:rsidTr="00DC5FF0">
        <w:tc>
          <w:tcPr>
            <w:tcW w:w="9067" w:type="dxa"/>
          </w:tcPr>
          <w:p w14:paraId="2175AA14" w14:textId="77777777" w:rsidR="0018446B" w:rsidRPr="00E33520" w:rsidRDefault="0018446B" w:rsidP="00DC5FF0">
            <w:proofErr w:type="spellStart"/>
            <w:r w:rsidRPr="00E33520">
              <w:t>Comité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d'éthique</w:t>
            </w:r>
            <w:proofErr w:type="spellEnd"/>
            <w:r w:rsidRPr="00E33520">
              <w:t xml:space="preserve"> de la recherche de </w:t>
            </w:r>
            <w:proofErr w:type="spellStart"/>
            <w:r w:rsidRPr="00E33520">
              <w:t>l'Institut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universitaire</w:t>
            </w:r>
            <w:proofErr w:type="spellEnd"/>
            <w:r w:rsidRPr="00E33520">
              <w:t xml:space="preserve"> de </w:t>
            </w:r>
            <w:proofErr w:type="spellStart"/>
            <w:r w:rsidRPr="00E33520">
              <w:t>cardiologie</w:t>
            </w:r>
            <w:proofErr w:type="spellEnd"/>
            <w:r w:rsidRPr="00E33520">
              <w:t xml:space="preserve"> et de </w:t>
            </w:r>
            <w:proofErr w:type="spellStart"/>
            <w:r w:rsidRPr="00E33520">
              <w:t>pneumologie</w:t>
            </w:r>
            <w:proofErr w:type="spellEnd"/>
            <w:r w:rsidRPr="00E33520">
              <w:t xml:space="preserve"> de </w:t>
            </w:r>
            <w:proofErr w:type="spellStart"/>
            <w:r w:rsidRPr="00E33520">
              <w:t>Qué</w:t>
            </w:r>
            <w:proofErr w:type="spellEnd"/>
            <w:r w:rsidRPr="00E33520">
              <w:t>, 2725 Chemin Ste-Foy, Quebec, G1V 4G5, Canada</w:t>
            </w:r>
          </w:p>
        </w:tc>
      </w:tr>
      <w:tr w:rsidR="0018446B" w:rsidRPr="00DA4E2C" w14:paraId="0196F50F" w14:textId="77777777" w:rsidTr="00DC5FF0">
        <w:tc>
          <w:tcPr>
            <w:tcW w:w="9067" w:type="dxa"/>
          </w:tcPr>
          <w:p w14:paraId="3EE5666B" w14:textId="77777777" w:rsidR="0018446B" w:rsidRPr="00E33520" w:rsidRDefault="0018446B" w:rsidP="00DC5FF0">
            <w:r w:rsidRPr="00E33520">
              <w:t xml:space="preserve">CHU </w:t>
            </w:r>
            <w:proofErr w:type="spellStart"/>
            <w:r w:rsidRPr="00E33520">
              <w:t>Pontachaillou</w:t>
            </w:r>
            <w:proofErr w:type="spellEnd"/>
            <w:r w:rsidRPr="00E33520">
              <w:t xml:space="preserve">, </w:t>
            </w:r>
            <w:proofErr w:type="spellStart"/>
            <w:r w:rsidRPr="00E33520">
              <w:t>Comité</w:t>
            </w:r>
            <w:proofErr w:type="spellEnd"/>
            <w:r w:rsidRPr="00E33520">
              <w:t xml:space="preserve"> de Protection des </w:t>
            </w:r>
            <w:proofErr w:type="spellStart"/>
            <w:r w:rsidRPr="00E33520">
              <w:t>Personnes</w:t>
            </w:r>
            <w:proofErr w:type="spellEnd"/>
            <w:r w:rsidRPr="00E33520">
              <w:t xml:space="preserve">, 9 Avenue de la </w:t>
            </w:r>
            <w:proofErr w:type="spellStart"/>
            <w:r w:rsidRPr="00E33520">
              <w:t>Bataille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Flandres</w:t>
            </w:r>
            <w:proofErr w:type="spellEnd"/>
            <w:r w:rsidRPr="00E33520">
              <w:t>-Dunkerque Mai 1940, Rennes, 35000, France</w:t>
            </w:r>
          </w:p>
        </w:tc>
      </w:tr>
      <w:tr w:rsidR="0018446B" w:rsidRPr="005D0C52" w14:paraId="26CBE76F" w14:textId="77777777" w:rsidTr="00DC5FF0">
        <w:tc>
          <w:tcPr>
            <w:tcW w:w="9067" w:type="dxa"/>
          </w:tcPr>
          <w:p w14:paraId="1744004A" w14:textId="77777777" w:rsidR="0018446B" w:rsidRPr="005D0C52" w:rsidRDefault="0018446B" w:rsidP="00DC5FF0">
            <w:proofErr w:type="spellStart"/>
            <w:r w:rsidRPr="005D0C52">
              <w:t>Ethik-Kommission</w:t>
            </w:r>
            <w:proofErr w:type="spellEnd"/>
            <w:r w:rsidRPr="005D0C52">
              <w:t xml:space="preserve"> der </w:t>
            </w:r>
            <w:proofErr w:type="spellStart"/>
            <w:r w:rsidRPr="005D0C52">
              <w:t>Landesaerztekammer</w:t>
            </w:r>
            <w:proofErr w:type="spellEnd"/>
            <w:r w:rsidRPr="005D0C52">
              <w:t xml:space="preserve"> Hessen, </w:t>
            </w:r>
            <w:proofErr w:type="spellStart"/>
            <w:r w:rsidRPr="005D0C52">
              <w:t>Im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Vogelsgesang</w:t>
            </w:r>
            <w:proofErr w:type="spellEnd"/>
            <w:r w:rsidRPr="005D0C52">
              <w:t xml:space="preserve"> 3, Frankfurt, Hessen, 60488, Germany</w:t>
            </w:r>
          </w:p>
        </w:tc>
      </w:tr>
      <w:tr w:rsidR="0018446B" w:rsidRPr="005D0C52" w14:paraId="2B5214D6" w14:textId="77777777" w:rsidTr="00DC5FF0">
        <w:tc>
          <w:tcPr>
            <w:tcW w:w="9067" w:type="dxa"/>
          </w:tcPr>
          <w:p w14:paraId="777A566A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IRCCS </w:t>
            </w:r>
            <w:proofErr w:type="spellStart"/>
            <w:r w:rsidRPr="005D0C52">
              <w:t>Istituto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Tumori</w:t>
            </w:r>
            <w:proofErr w:type="spellEnd"/>
            <w:r w:rsidRPr="005D0C52">
              <w:t xml:space="preserve"> "</w:t>
            </w:r>
            <w:proofErr w:type="spellStart"/>
            <w:r w:rsidRPr="005D0C52">
              <w:t>G.Paolo</w:t>
            </w:r>
            <w:proofErr w:type="spellEnd"/>
            <w:r w:rsidRPr="005D0C52">
              <w:t xml:space="preserve"> II", </w:t>
            </w:r>
            <w:proofErr w:type="spellStart"/>
            <w:r w:rsidRPr="005D0C52">
              <w:t>V.le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Orazio</w:t>
            </w:r>
            <w:proofErr w:type="spellEnd"/>
            <w:r w:rsidRPr="005D0C52">
              <w:t xml:space="preserve"> Flacco 65, Bari, Puglia, 70124, Italy</w:t>
            </w:r>
          </w:p>
        </w:tc>
      </w:tr>
      <w:tr w:rsidR="0018446B" w:rsidRPr="005D0C52" w14:paraId="2AAC59E9" w14:textId="77777777" w:rsidTr="00DC5FF0">
        <w:tc>
          <w:tcPr>
            <w:tcW w:w="9067" w:type="dxa"/>
          </w:tcPr>
          <w:p w14:paraId="06F61C67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Campania Nord c/o A.O. San Giuseppe </w:t>
            </w:r>
            <w:proofErr w:type="spellStart"/>
            <w:r w:rsidRPr="005D0C52">
              <w:t>Moscati</w:t>
            </w:r>
            <w:proofErr w:type="spellEnd"/>
            <w:r w:rsidRPr="005D0C52">
              <w:t xml:space="preserve"> di Avellino, </w:t>
            </w:r>
            <w:proofErr w:type="spellStart"/>
            <w:r w:rsidRPr="005D0C52">
              <w:t>Segreteria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Scientifico</w:t>
            </w:r>
            <w:proofErr w:type="spellEnd"/>
            <w:r w:rsidRPr="005D0C52">
              <w:t xml:space="preserve">- </w:t>
            </w:r>
            <w:proofErr w:type="spellStart"/>
            <w:r w:rsidRPr="005D0C52">
              <w:t>Amministrativa</w:t>
            </w:r>
            <w:proofErr w:type="spellEnd"/>
            <w:r w:rsidRPr="005D0C52">
              <w:t xml:space="preserve">, </w:t>
            </w:r>
            <w:proofErr w:type="spellStart"/>
            <w:r w:rsidRPr="005D0C52">
              <w:t>Città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Ospedaliera</w:t>
            </w:r>
            <w:proofErr w:type="spellEnd"/>
            <w:r w:rsidRPr="005D0C52">
              <w:t xml:space="preserve"> -Pal. </w:t>
            </w:r>
            <w:proofErr w:type="spellStart"/>
            <w:r w:rsidRPr="005D0C52">
              <w:t>Uffici</w:t>
            </w:r>
            <w:proofErr w:type="spellEnd"/>
            <w:r w:rsidRPr="005D0C52">
              <w:t xml:space="preserve">, </w:t>
            </w:r>
            <w:proofErr w:type="spellStart"/>
            <w:r w:rsidRPr="005D0C52">
              <w:t>Contrada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Amoretta</w:t>
            </w:r>
            <w:proofErr w:type="spellEnd"/>
            <w:r w:rsidRPr="005D0C52">
              <w:t>, Avellino, Campania, Italy</w:t>
            </w:r>
          </w:p>
        </w:tc>
      </w:tr>
      <w:tr w:rsidR="0018446B" w:rsidRPr="005D0C52" w14:paraId="35A75D9A" w14:textId="77777777" w:rsidTr="00DC5FF0">
        <w:tc>
          <w:tcPr>
            <w:tcW w:w="9067" w:type="dxa"/>
          </w:tcPr>
          <w:p w14:paraId="310205DB" w14:textId="77777777" w:rsidR="0018446B" w:rsidRPr="005D0C52" w:rsidRDefault="0018446B" w:rsidP="00DC5FF0">
            <w:r w:rsidRPr="005D0C52">
              <w:t xml:space="preserve">Com.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Reg. Toscano "Area </w:t>
            </w:r>
            <w:proofErr w:type="spellStart"/>
            <w:r w:rsidRPr="005D0C52">
              <w:t>Vasta</w:t>
            </w:r>
            <w:proofErr w:type="spellEnd"/>
            <w:r w:rsidRPr="005D0C52">
              <w:t xml:space="preserve"> Nord </w:t>
            </w:r>
            <w:proofErr w:type="spellStart"/>
            <w:r w:rsidRPr="005D0C52">
              <w:t>Ovest</w:t>
            </w:r>
            <w:proofErr w:type="spellEnd"/>
            <w:r w:rsidRPr="005D0C52">
              <w:t xml:space="preserve">", </w:t>
            </w:r>
            <w:proofErr w:type="spellStart"/>
            <w:r w:rsidRPr="005D0C52">
              <w:t>Segreteria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Scientifico-Amministrativa</w:t>
            </w:r>
            <w:proofErr w:type="spellEnd"/>
            <w:r w:rsidRPr="005D0C52">
              <w:t xml:space="preserve"> -</w:t>
            </w:r>
            <w:proofErr w:type="spellStart"/>
            <w:r w:rsidRPr="005D0C52">
              <w:t>Azienda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Ospedaliero-Universitaria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Pisana</w:t>
            </w:r>
            <w:proofErr w:type="spellEnd"/>
            <w:r w:rsidRPr="005D0C52">
              <w:t>, Via Roma, 67, Pisa, Toscana, 56126, Italy</w:t>
            </w:r>
          </w:p>
        </w:tc>
      </w:tr>
      <w:tr w:rsidR="0018446B" w:rsidRPr="005D0C52" w14:paraId="603A85E5" w14:textId="77777777" w:rsidTr="00DC5FF0">
        <w:tc>
          <w:tcPr>
            <w:tcW w:w="9067" w:type="dxa"/>
          </w:tcPr>
          <w:p w14:paraId="70BEBBE0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Palermo 1, c/o </w:t>
            </w:r>
            <w:proofErr w:type="spellStart"/>
            <w:r w:rsidRPr="005D0C52">
              <w:t>Azienda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Ospedaliera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Universitaria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Policlinico</w:t>
            </w:r>
            <w:proofErr w:type="spellEnd"/>
            <w:r w:rsidRPr="005D0C52">
              <w:t xml:space="preserve"> "Paolo </w:t>
            </w:r>
            <w:proofErr w:type="spellStart"/>
            <w:r w:rsidRPr="005D0C52">
              <w:t>Giaccone</w:t>
            </w:r>
            <w:proofErr w:type="spellEnd"/>
            <w:r w:rsidRPr="005D0C52">
              <w:t xml:space="preserve">", </w:t>
            </w:r>
            <w:proofErr w:type="spellStart"/>
            <w:r w:rsidRPr="005D0C52">
              <w:t>Segreteria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Scientifico-Amministrativa</w:t>
            </w:r>
            <w:proofErr w:type="spellEnd"/>
            <w:r w:rsidRPr="005D0C52">
              <w:t xml:space="preserve">, Via del </w:t>
            </w:r>
            <w:proofErr w:type="spellStart"/>
            <w:r w:rsidRPr="005D0C52">
              <w:t>Vespro</w:t>
            </w:r>
            <w:proofErr w:type="spellEnd"/>
            <w:r w:rsidRPr="005D0C52">
              <w:t xml:space="preserve"> 129, Palermo, Sicilia, 90127, Italy</w:t>
            </w:r>
          </w:p>
        </w:tc>
      </w:tr>
      <w:tr w:rsidR="0018446B" w:rsidRPr="005D0C52" w14:paraId="7CA9E30D" w14:textId="77777777" w:rsidTr="00DC5FF0">
        <w:tc>
          <w:tcPr>
            <w:tcW w:w="9067" w:type="dxa"/>
          </w:tcPr>
          <w:p w14:paraId="402F9668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Univ. </w:t>
            </w:r>
            <w:proofErr w:type="spellStart"/>
            <w:r w:rsidRPr="005D0C52">
              <w:t>Studi</w:t>
            </w:r>
            <w:proofErr w:type="spellEnd"/>
            <w:r w:rsidRPr="005D0C52">
              <w:t xml:space="preserve"> Campania </w:t>
            </w:r>
            <w:proofErr w:type="spellStart"/>
            <w:r w:rsidRPr="005D0C52">
              <w:t>L.Vanvitelli</w:t>
            </w:r>
            <w:proofErr w:type="spellEnd"/>
            <w:r w:rsidRPr="005D0C52">
              <w:t xml:space="preserve"> – AOU </w:t>
            </w:r>
            <w:proofErr w:type="spellStart"/>
            <w:r w:rsidRPr="005D0C52">
              <w:t>L.Vanvitelli</w:t>
            </w:r>
            <w:proofErr w:type="spellEnd"/>
            <w:r w:rsidRPr="005D0C52">
              <w:t xml:space="preserve"> - AORN </w:t>
            </w:r>
            <w:proofErr w:type="spellStart"/>
            <w:r w:rsidRPr="005D0C52">
              <w:t>Osp</w:t>
            </w:r>
            <w:proofErr w:type="spellEnd"/>
            <w:r w:rsidRPr="005D0C52">
              <w:t xml:space="preserve">. </w:t>
            </w:r>
            <w:proofErr w:type="spellStart"/>
            <w:r w:rsidRPr="005D0C52">
              <w:t>dei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Colli</w:t>
            </w:r>
            <w:proofErr w:type="spellEnd"/>
            <w:r w:rsidRPr="005D0C52">
              <w:t xml:space="preserve">, </w:t>
            </w:r>
            <w:proofErr w:type="spellStart"/>
            <w:r w:rsidRPr="005D0C52">
              <w:t>Sede</w:t>
            </w:r>
            <w:proofErr w:type="spellEnd"/>
            <w:r w:rsidRPr="005D0C52">
              <w:t xml:space="preserve"> AORN </w:t>
            </w:r>
            <w:proofErr w:type="spellStart"/>
            <w:r w:rsidRPr="005D0C52">
              <w:t>Ospedali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dei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Colli</w:t>
            </w:r>
            <w:proofErr w:type="spellEnd"/>
            <w:r w:rsidRPr="005D0C52">
              <w:t xml:space="preserve">, Via Leonardo Bianchi </w:t>
            </w:r>
            <w:proofErr w:type="spellStart"/>
            <w:r w:rsidRPr="005D0C52">
              <w:t>snc</w:t>
            </w:r>
            <w:proofErr w:type="spellEnd"/>
            <w:r w:rsidRPr="005D0C52">
              <w:t>, Napoli, Campania, 80131, Italy</w:t>
            </w:r>
          </w:p>
        </w:tc>
      </w:tr>
      <w:tr w:rsidR="0018446B" w:rsidRPr="00DA4E2C" w14:paraId="53872F34" w14:textId="77777777" w:rsidTr="00DC5FF0">
        <w:tc>
          <w:tcPr>
            <w:tcW w:w="9067" w:type="dxa"/>
          </w:tcPr>
          <w:p w14:paraId="1C7870AC" w14:textId="77777777" w:rsidR="0018446B" w:rsidRPr="00E33520" w:rsidRDefault="0018446B" w:rsidP="00DC5FF0">
            <w:r w:rsidRPr="005D0C52">
              <w:t xml:space="preserve">C.E.ROM. </w:t>
            </w:r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della</w:t>
            </w:r>
            <w:proofErr w:type="spellEnd"/>
            <w:r w:rsidRPr="005D0C52">
              <w:t xml:space="preserve"> Romagna, c/o </w:t>
            </w:r>
            <w:proofErr w:type="spellStart"/>
            <w:r w:rsidRPr="005D0C52">
              <w:t>Ist</w:t>
            </w:r>
            <w:proofErr w:type="spellEnd"/>
            <w:r w:rsidRPr="005D0C52">
              <w:t xml:space="preserve">. </w:t>
            </w:r>
            <w:proofErr w:type="spellStart"/>
            <w:r w:rsidRPr="00E33520">
              <w:t>Scientifico</w:t>
            </w:r>
            <w:proofErr w:type="spellEnd"/>
            <w:r w:rsidRPr="00E33520">
              <w:t xml:space="preserve"> Romagnolo per lo Studio e la </w:t>
            </w:r>
            <w:proofErr w:type="spellStart"/>
            <w:r w:rsidRPr="00E33520">
              <w:t>Cura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dei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Tumori</w:t>
            </w:r>
            <w:proofErr w:type="spellEnd"/>
            <w:r w:rsidRPr="00E33520">
              <w:t xml:space="preserve">, IRST - IRCCS </w:t>
            </w:r>
            <w:proofErr w:type="spellStart"/>
            <w:r w:rsidRPr="00E33520">
              <w:t>Srl</w:t>
            </w:r>
            <w:proofErr w:type="spellEnd"/>
            <w:r w:rsidRPr="00E33520">
              <w:t xml:space="preserve">, Via Piero </w:t>
            </w:r>
            <w:proofErr w:type="spellStart"/>
            <w:r w:rsidRPr="00E33520">
              <w:t>Maroncelli</w:t>
            </w:r>
            <w:proofErr w:type="spellEnd"/>
            <w:r w:rsidRPr="00E33520">
              <w:t xml:space="preserve"> 40, </w:t>
            </w:r>
            <w:proofErr w:type="spellStart"/>
            <w:r w:rsidRPr="00E33520">
              <w:t>Meldola</w:t>
            </w:r>
            <w:proofErr w:type="spellEnd"/>
            <w:r w:rsidRPr="00E33520">
              <w:t xml:space="preserve"> (FC), Emilia-Romagna, 47014, Italy</w:t>
            </w:r>
          </w:p>
        </w:tc>
      </w:tr>
      <w:tr w:rsidR="0018446B" w:rsidRPr="00DA4E2C" w14:paraId="78BA115E" w14:textId="77777777" w:rsidTr="00DC5FF0">
        <w:tc>
          <w:tcPr>
            <w:tcW w:w="9067" w:type="dxa"/>
          </w:tcPr>
          <w:p w14:paraId="042ACAFD" w14:textId="77777777" w:rsidR="0018446B" w:rsidRPr="00E33520" w:rsidRDefault="0018446B" w:rsidP="00DC5FF0">
            <w:proofErr w:type="spellStart"/>
            <w:r w:rsidRPr="00E33520">
              <w:t>Comitato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Etico</w:t>
            </w:r>
            <w:proofErr w:type="spellEnd"/>
            <w:r w:rsidRPr="00E33520">
              <w:t xml:space="preserve"> Unico </w:t>
            </w:r>
            <w:proofErr w:type="spellStart"/>
            <w:r w:rsidRPr="00E33520">
              <w:t>Regionale</w:t>
            </w:r>
            <w:proofErr w:type="spellEnd"/>
            <w:r w:rsidRPr="00E33520">
              <w:t xml:space="preserve"> del Friuli Venezia Giulia, </w:t>
            </w:r>
            <w:proofErr w:type="spellStart"/>
            <w:r w:rsidRPr="00E33520">
              <w:t>Segreteria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Tecnico-Scientifica</w:t>
            </w:r>
            <w:proofErr w:type="spellEnd"/>
            <w:r w:rsidRPr="00E33520">
              <w:t xml:space="preserve"> c/o Dir. </w:t>
            </w:r>
            <w:proofErr w:type="spellStart"/>
            <w:r w:rsidRPr="00E33520">
              <w:t>Scientifica</w:t>
            </w:r>
            <w:proofErr w:type="spellEnd"/>
            <w:r w:rsidRPr="00E33520">
              <w:t xml:space="preserve">, IRCCS CRO di Aviano, Via </w:t>
            </w:r>
            <w:proofErr w:type="spellStart"/>
            <w:r w:rsidRPr="00E33520">
              <w:t>Gallini</w:t>
            </w:r>
            <w:proofErr w:type="spellEnd"/>
            <w:r w:rsidRPr="00E33520">
              <w:t>, 2, Aviano (PN), Friuli-Venezia-Giulia, 33081, Italy</w:t>
            </w:r>
          </w:p>
        </w:tc>
      </w:tr>
      <w:tr w:rsidR="0018446B" w:rsidRPr="005D0C52" w14:paraId="3B7E80F1" w14:textId="77777777" w:rsidTr="00DC5FF0">
        <w:tc>
          <w:tcPr>
            <w:tcW w:w="9067" w:type="dxa"/>
          </w:tcPr>
          <w:p w14:paraId="15392B9A" w14:textId="77777777" w:rsidR="0018446B" w:rsidRPr="00E33520" w:rsidRDefault="0018446B" w:rsidP="00DC5FF0">
            <w:proofErr w:type="spellStart"/>
            <w:r w:rsidRPr="00E33520">
              <w:t>Comitato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Etico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dell'Area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Vasta</w:t>
            </w:r>
            <w:proofErr w:type="spellEnd"/>
            <w:r w:rsidRPr="00E33520">
              <w:t xml:space="preserve"> Emilia Nord, Via </w:t>
            </w:r>
            <w:proofErr w:type="spellStart"/>
            <w:r w:rsidRPr="00E33520">
              <w:t>Vertoiba</w:t>
            </w:r>
            <w:proofErr w:type="spellEnd"/>
            <w:r w:rsidRPr="00E33520">
              <w:t>, 10A, Reggio Emilia, Emilia-Romagna,</w:t>
            </w:r>
          </w:p>
          <w:p w14:paraId="4D4A6E83" w14:textId="77777777" w:rsidR="0018446B" w:rsidRPr="005D0C52" w:rsidRDefault="0018446B" w:rsidP="00DC5FF0">
            <w:pPr>
              <w:rPr>
                <w:b/>
              </w:rPr>
            </w:pPr>
            <w:r w:rsidRPr="005D0C52">
              <w:t>42124, Italy</w:t>
            </w:r>
          </w:p>
        </w:tc>
      </w:tr>
      <w:tr w:rsidR="0018446B" w:rsidRPr="00DA4E2C" w14:paraId="57DB719B" w14:textId="77777777" w:rsidTr="00DC5FF0">
        <w:tc>
          <w:tcPr>
            <w:tcW w:w="9067" w:type="dxa"/>
          </w:tcPr>
          <w:p w14:paraId="7F255FDC" w14:textId="77777777" w:rsidR="0018446B" w:rsidRPr="00E33520" w:rsidRDefault="0018446B" w:rsidP="00DC5FF0">
            <w:proofErr w:type="spellStart"/>
            <w:r w:rsidRPr="00E33520">
              <w:t>Comitato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Etico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Aziende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Sanitarie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dell'Umbria</w:t>
            </w:r>
            <w:proofErr w:type="spellEnd"/>
            <w:r w:rsidRPr="00E33520">
              <w:t xml:space="preserve">, </w:t>
            </w:r>
            <w:proofErr w:type="spellStart"/>
            <w:r w:rsidRPr="00E33520">
              <w:t>Segreteria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Scientifico-Amministrativa</w:t>
            </w:r>
            <w:proofErr w:type="spellEnd"/>
            <w:r w:rsidRPr="00E33520">
              <w:t xml:space="preserve">, Via </w:t>
            </w:r>
            <w:proofErr w:type="spellStart"/>
            <w:r w:rsidRPr="00E33520">
              <w:t>della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Rivoluzione</w:t>
            </w:r>
            <w:proofErr w:type="spellEnd"/>
            <w:r w:rsidRPr="00E33520">
              <w:t xml:space="preserve">, 16, </w:t>
            </w:r>
            <w:proofErr w:type="spellStart"/>
            <w:r w:rsidRPr="00E33520">
              <w:t>Ellera</w:t>
            </w:r>
            <w:proofErr w:type="spellEnd"/>
            <w:r w:rsidRPr="00E33520">
              <w:t xml:space="preserve"> di </w:t>
            </w:r>
            <w:proofErr w:type="spellStart"/>
            <w:r w:rsidRPr="00E33520">
              <w:t>Corciano</w:t>
            </w:r>
            <w:proofErr w:type="spellEnd"/>
            <w:r w:rsidRPr="00E33520">
              <w:t xml:space="preserve"> (PG), Umbria, 6070, Italy</w:t>
            </w:r>
          </w:p>
        </w:tc>
      </w:tr>
      <w:tr w:rsidR="0018446B" w:rsidRPr="005D0C52" w14:paraId="230050E3" w14:textId="77777777" w:rsidTr="00DC5FF0">
        <w:tc>
          <w:tcPr>
            <w:tcW w:w="9067" w:type="dxa"/>
          </w:tcPr>
          <w:p w14:paraId="18A23CB9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Area 4 – ASL Brindisi, </w:t>
            </w:r>
            <w:proofErr w:type="spellStart"/>
            <w:r w:rsidRPr="005D0C52">
              <w:t>Segreteria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Scientificoamministrativa</w:t>
            </w:r>
            <w:proofErr w:type="spellEnd"/>
            <w:r w:rsidRPr="005D0C52">
              <w:t>, Via Napoli, 8, Brindisi, Puglia, 72100, Italy</w:t>
            </w:r>
          </w:p>
        </w:tc>
      </w:tr>
      <w:tr w:rsidR="0018446B" w:rsidRPr="005D0C52" w14:paraId="5342DBF6" w14:textId="77777777" w:rsidTr="00DC5FF0">
        <w:tc>
          <w:tcPr>
            <w:tcW w:w="9067" w:type="dxa"/>
          </w:tcPr>
          <w:p w14:paraId="5E2BD979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Univ. </w:t>
            </w:r>
            <w:proofErr w:type="spellStart"/>
            <w:r w:rsidRPr="005D0C52">
              <w:t>Studi</w:t>
            </w:r>
            <w:proofErr w:type="spellEnd"/>
            <w:r w:rsidRPr="005D0C52">
              <w:t xml:space="preserve"> Campania </w:t>
            </w:r>
            <w:proofErr w:type="spellStart"/>
            <w:r w:rsidRPr="005D0C52">
              <w:t>L.Vanvitelli</w:t>
            </w:r>
            <w:proofErr w:type="spellEnd"/>
            <w:r w:rsidRPr="005D0C52">
              <w:t xml:space="preserve"> – AOU </w:t>
            </w:r>
            <w:proofErr w:type="spellStart"/>
            <w:r w:rsidRPr="005D0C52">
              <w:t>L.Vanvitelli</w:t>
            </w:r>
            <w:proofErr w:type="spellEnd"/>
            <w:r w:rsidRPr="005D0C52">
              <w:t xml:space="preserve"> - AORN </w:t>
            </w:r>
            <w:proofErr w:type="spellStart"/>
            <w:r w:rsidRPr="005D0C52">
              <w:t>Osp</w:t>
            </w:r>
            <w:proofErr w:type="spellEnd"/>
            <w:r w:rsidRPr="005D0C52">
              <w:t xml:space="preserve">. </w:t>
            </w:r>
            <w:proofErr w:type="spellStart"/>
            <w:r w:rsidRPr="005D0C52">
              <w:t>dei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Colli</w:t>
            </w:r>
            <w:proofErr w:type="spellEnd"/>
            <w:r w:rsidRPr="005D0C52">
              <w:t xml:space="preserve">, </w:t>
            </w:r>
            <w:proofErr w:type="spellStart"/>
            <w:r w:rsidRPr="005D0C52">
              <w:t>Sede</w:t>
            </w:r>
            <w:proofErr w:type="spellEnd"/>
            <w:r w:rsidRPr="005D0C52">
              <w:t xml:space="preserve"> AORN </w:t>
            </w:r>
            <w:proofErr w:type="spellStart"/>
            <w:r w:rsidRPr="005D0C52">
              <w:t>Ospedali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dei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Colli</w:t>
            </w:r>
            <w:proofErr w:type="spellEnd"/>
            <w:r w:rsidRPr="005D0C52">
              <w:t xml:space="preserve">, Via Leonardo Bianchi </w:t>
            </w:r>
            <w:proofErr w:type="spellStart"/>
            <w:r w:rsidRPr="005D0C52">
              <w:t>snc</w:t>
            </w:r>
            <w:proofErr w:type="spellEnd"/>
            <w:r w:rsidRPr="005D0C52">
              <w:t>, Napoli, Campania, 80131, Italy</w:t>
            </w:r>
          </w:p>
        </w:tc>
      </w:tr>
      <w:tr w:rsidR="0018446B" w:rsidRPr="00DA4E2C" w14:paraId="7CA0BAC0" w14:textId="77777777" w:rsidTr="00DC5FF0">
        <w:tc>
          <w:tcPr>
            <w:tcW w:w="9067" w:type="dxa"/>
          </w:tcPr>
          <w:p w14:paraId="46FD4083" w14:textId="77777777" w:rsidR="0018446B" w:rsidRPr="00E33520" w:rsidRDefault="0018446B" w:rsidP="00DC5FF0">
            <w:proofErr w:type="spellStart"/>
            <w:r w:rsidRPr="00E33520">
              <w:t>Comitato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Etico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degli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Istituti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Clinici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Scientifici</w:t>
            </w:r>
            <w:proofErr w:type="spellEnd"/>
            <w:r w:rsidRPr="00E33520">
              <w:t xml:space="preserve"> Maugeri </w:t>
            </w:r>
            <w:proofErr w:type="spellStart"/>
            <w:r w:rsidRPr="00E33520">
              <w:t>SpA</w:t>
            </w:r>
            <w:proofErr w:type="spellEnd"/>
            <w:r w:rsidRPr="00E33520">
              <w:t xml:space="preserve"> – SB, Via Salvatore Maugeri 4, Pavia, </w:t>
            </w:r>
            <w:proofErr w:type="spellStart"/>
            <w:r w:rsidRPr="00E33520">
              <w:t>Lombardia</w:t>
            </w:r>
            <w:proofErr w:type="spellEnd"/>
            <w:r w:rsidRPr="00E33520">
              <w:t>, 27100, Italy</w:t>
            </w:r>
          </w:p>
        </w:tc>
      </w:tr>
      <w:tr w:rsidR="0018446B" w:rsidRPr="005D0C52" w14:paraId="7700334C" w14:textId="77777777" w:rsidTr="00DC5FF0">
        <w:tc>
          <w:tcPr>
            <w:tcW w:w="9067" w:type="dxa"/>
          </w:tcPr>
          <w:p w14:paraId="3D295DCC" w14:textId="77777777" w:rsidR="0018446B" w:rsidRPr="005D0C52" w:rsidRDefault="0018446B" w:rsidP="00DC5FF0">
            <w:proofErr w:type="spellStart"/>
            <w:r w:rsidRPr="005D0C52">
              <w:t>Comitato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Etico</w:t>
            </w:r>
            <w:proofErr w:type="spellEnd"/>
            <w:r w:rsidRPr="005D0C52">
              <w:t xml:space="preserve"> Campania Sud c/o ASL Napoli 3 Sud, </w:t>
            </w:r>
            <w:proofErr w:type="spellStart"/>
            <w:r w:rsidRPr="005D0C52">
              <w:t>Segreteria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Scientifico-Amministrativa</w:t>
            </w:r>
            <w:proofErr w:type="spellEnd"/>
            <w:r w:rsidRPr="005D0C52">
              <w:t xml:space="preserve">, Piazza San Giovanni, 7, </w:t>
            </w:r>
            <w:proofErr w:type="spellStart"/>
            <w:r w:rsidRPr="005D0C52">
              <w:t>Brusciano</w:t>
            </w:r>
            <w:proofErr w:type="spellEnd"/>
            <w:r w:rsidRPr="005D0C52">
              <w:t xml:space="preserve"> (NA), Campania, 80031, Italy</w:t>
            </w:r>
          </w:p>
        </w:tc>
      </w:tr>
      <w:tr w:rsidR="0018446B" w:rsidRPr="005D0C52" w14:paraId="32556D13" w14:textId="77777777" w:rsidTr="00DC5FF0">
        <w:tc>
          <w:tcPr>
            <w:tcW w:w="9067" w:type="dxa"/>
          </w:tcPr>
          <w:p w14:paraId="5DBCE2CB" w14:textId="77777777" w:rsidR="0018446B" w:rsidRPr="005D0C52" w:rsidRDefault="0018446B" w:rsidP="00DC5FF0">
            <w:r w:rsidRPr="005D0C52">
              <w:lastRenderedPageBreak/>
              <w:t xml:space="preserve">Hospital Real San Jose, Av </w:t>
            </w:r>
            <w:proofErr w:type="spellStart"/>
            <w:r w:rsidRPr="005D0C52">
              <w:t>Lázaro</w:t>
            </w:r>
            <w:proofErr w:type="spellEnd"/>
            <w:r w:rsidRPr="005D0C52">
              <w:t xml:space="preserve"> Cárdenas 4149 Colonia </w:t>
            </w:r>
            <w:proofErr w:type="spellStart"/>
            <w:r w:rsidRPr="005D0C52">
              <w:t>Jardines</w:t>
            </w:r>
            <w:proofErr w:type="spellEnd"/>
            <w:r w:rsidRPr="005D0C52">
              <w:t xml:space="preserve"> de San Ignacio, Zapopan, Jalisco, 45040, Mexico</w:t>
            </w:r>
          </w:p>
        </w:tc>
      </w:tr>
      <w:tr w:rsidR="0018446B" w:rsidRPr="00DA4E2C" w14:paraId="2ADACBF8" w14:textId="77777777" w:rsidTr="00DC5FF0">
        <w:tc>
          <w:tcPr>
            <w:tcW w:w="9067" w:type="dxa"/>
          </w:tcPr>
          <w:p w14:paraId="124637E3" w14:textId="77777777" w:rsidR="0018446B" w:rsidRPr="00E33520" w:rsidRDefault="0018446B" w:rsidP="00DC5FF0">
            <w:r w:rsidRPr="00E33520">
              <w:t xml:space="preserve">Instituto </w:t>
            </w:r>
            <w:proofErr w:type="spellStart"/>
            <w:r w:rsidRPr="00E33520">
              <w:t>Jalisciense</w:t>
            </w:r>
            <w:proofErr w:type="spellEnd"/>
            <w:r w:rsidRPr="00E33520">
              <w:t xml:space="preserve"> de </w:t>
            </w:r>
            <w:proofErr w:type="spellStart"/>
            <w:r w:rsidRPr="00E33520">
              <w:t>Investigación</w:t>
            </w:r>
            <w:proofErr w:type="spellEnd"/>
            <w:r w:rsidRPr="00E33520">
              <w:t xml:space="preserve"> </w:t>
            </w:r>
            <w:proofErr w:type="spellStart"/>
            <w:r w:rsidRPr="00E33520">
              <w:t>Clínica</w:t>
            </w:r>
            <w:proofErr w:type="spellEnd"/>
            <w:r w:rsidRPr="00E33520">
              <w:t xml:space="preserve">, S.A. de C.V., </w:t>
            </w:r>
            <w:proofErr w:type="spellStart"/>
            <w:r w:rsidRPr="00E33520">
              <w:t>Penitenciaria</w:t>
            </w:r>
            <w:proofErr w:type="spellEnd"/>
            <w:r w:rsidRPr="00E33520">
              <w:t xml:space="preserve"> 20, Guadalajara, Jalisco, 44100, Mexico</w:t>
            </w:r>
          </w:p>
        </w:tc>
      </w:tr>
      <w:tr w:rsidR="0018446B" w:rsidRPr="005D0C52" w14:paraId="08542095" w14:textId="77777777" w:rsidTr="00DC5FF0">
        <w:tc>
          <w:tcPr>
            <w:tcW w:w="9067" w:type="dxa"/>
          </w:tcPr>
          <w:p w14:paraId="26CFAE08" w14:textId="77777777" w:rsidR="0018446B" w:rsidRPr="005D0C52" w:rsidRDefault="0018446B" w:rsidP="00DC5FF0">
            <w:r w:rsidRPr="005D0C52">
              <w:t xml:space="preserve">St. Antonius </w:t>
            </w:r>
            <w:proofErr w:type="spellStart"/>
            <w:r w:rsidRPr="005D0C52">
              <w:t>Ziekenhuis</w:t>
            </w:r>
            <w:proofErr w:type="spellEnd"/>
            <w:r w:rsidRPr="005D0C52">
              <w:t xml:space="preserve">, </w:t>
            </w:r>
            <w:proofErr w:type="spellStart"/>
            <w:r w:rsidRPr="005D0C52">
              <w:t>Koekoekslaan</w:t>
            </w:r>
            <w:proofErr w:type="spellEnd"/>
            <w:r w:rsidRPr="005D0C52">
              <w:t xml:space="preserve"> 1, NIEUWEGEIN, 3435 CM, Netherlands</w:t>
            </w:r>
          </w:p>
        </w:tc>
      </w:tr>
      <w:tr w:rsidR="0018446B" w:rsidRPr="005D0C52" w14:paraId="2F5859B3" w14:textId="77777777" w:rsidTr="00DC5FF0">
        <w:tc>
          <w:tcPr>
            <w:tcW w:w="9067" w:type="dxa"/>
          </w:tcPr>
          <w:p w14:paraId="1E72A609" w14:textId="77777777" w:rsidR="0018446B" w:rsidRPr="005D0C52" w:rsidRDefault="0018446B" w:rsidP="00DC5FF0">
            <w:r w:rsidRPr="005D0C52">
              <w:t xml:space="preserve">Pharma Ethics, 123 Amcor Road, </w:t>
            </w:r>
            <w:proofErr w:type="spellStart"/>
            <w:r w:rsidRPr="005D0C52">
              <w:t>Lyttelton</w:t>
            </w:r>
            <w:proofErr w:type="spellEnd"/>
            <w:r w:rsidRPr="005D0C52">
              <w:t xml:space="preserve"> Manor, 157, South Africa</w:t>
            </w:r>
          </w:p>
        </w:tc>
      </w:tr>
      <w:tr w:rsidR="0018446B" w:rsidRPr="005D0C52" w14:paraId="24DA055F" w14:textId="77777777" w:rsidTr="00DC5FF0">
        <w:tc>
          <w:tcPr>
            <w:tcW w:w="9067" w:type="dxa"/>
          </w:tcPr>
          <w:p w14:paraId="6B75E4DE" w14:textId="77777777" w:rsidR="0018446B" w:rsidRPr="005D0C52" w:rsidRDefault="0018446B" w:rsidP="00DC5FF0">
            <w:r w:rsidRPr="005D0C52">
              <w:t>University of Cape Town, Human Research Ethics Committee, Room E52.24, Old Main Building, Groote Schuur Hospital, Main Road, Observatory, 7925, South Africa</w:t>
            </w:r>
          </w:p>
        </w:tc>
      </w:tr>
      <w:tr w:rsidR="0018446B" w:rsidRPr="005D0C52" w14:paraId="16905657" w14:textId="77777777" w:rsidTr="00DC5FF0">
        <w:tc>
          <w:tcPr>
            <w:tcW w:w="9067" w:type="dxa"/>
          </w:tcPr>
          <w:p w14:paraId="5B0CD691" w14:textId="77777777" w:rsidR="0018446B" w:rsidRPr="005D0C52" w:rsidRDefault="0018446B" w:rsidP="00DC5FF0">
            <w:proofErr w:type="spellStart"/>
            <w:r w:rsidRPr="005D0C52">
              <w:t>Fundació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Unió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Catalana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d’Hospitals</w:t>
            </w:r>
            <w:proofErr w:type="spellEnd"/>
            <w:r w:rsidRPr="005D0C52">
              <w:t>, 1ºA, C/</w:t>
            </w:r>
            <w:proofErr w:type="spellStart"/>
            <w:r w:rsidRPr="005D0C52">
              <w:t>Bruc</w:t>
            </w:r>
            <w:proofErr w:type="spellEnd"/>
            <w:r w:rsidRPr="005D0C52">
              <w:t xml:space="preserve"> 72-74, Barcelona, 8009, Spain</w:t>
            </w:r>
          </w:p>
        </w:tc>
      </w:tr>
      <w:tr w:rsidR="0018446B" w:rsidRPr="005D0C52" w14:paraId="3693E2F0" w14:textId="77777777" w:rsidTr="00DC5FF0">
        <w:tc>
          <w:tcPr>
            <w:tcW w:w="9067" w:type="dxa"/>
          </w:tcPr>
          <w:p w14:paraId="3A4CFD08" w14:textId="77777777" w:rsidR="0018446B" w:rsidRPr="005D0C52" w:rsidRDefault="0018446B" w:rsidP="00DC5FF0">
            <w:proofErr w:type="spellStart"/>
            <w:r w:rsidRPr="005D0C52">
              <w:t>Regionala</w:t>
            </w:r>
            <w:proofErr w:type="spellEnd"/>
            <w:r w:rsidRPr="005D0C52">
              <w:t xml:space="preserve"> </w:t>
            </w:r>
            <w:proofErr w:type="spellStart"/>
            <w:r w:rsidRPr="005D0C52">
              <w:t>Etikprövningsnämnden</w:t>
            </w:r>
            <w:proofErr w:type="spellEnd"/>
            <w:r w:rsidRPr="005D0C52">
              <w:t xml:space="preserve"> I </w:t>
            </w:r>
            <w:proofErr w:type="spellStart"/>
            <w:r w:rsidRPr="005D0C52">
              <w:t>Göteborg</w:t>
            </w:r>
            <w:proofErr w:type="spellEnd"/>
            <w:r w:rsidRPr="005D0C52">
              <w:t xml:space="preserve">, </w:t>
            </w:r>
            <w:proofErr w:type="spellStart"/>
            <w:r w:rsidRPr="005D0C52">
              <w:t>Guldhedsgatan</w:t>
            </w:r>
            <w:proofErr w:type="spellEnd"/>
            <w:r w:rsidRPr="005D0C52">
              <w:t xml:space="preserve"> 5A, GÖTEBORG, SE-413 20, Sweden</w:t>
            </w:r>
          </w:p>
        </w:tc>
      </w:tr>
      <w:tr w:rsidR="0018446B" w:rsidRPr="005D0C52" w14:paraId="61E5B048" w14:textId="77777777" w:rsidTr="00DC5FF0">
        <w:tc>
          <w:tcPr>
            <w:tcW w:w="9067" w:type="dxa"/>
          </w:tcPr>
          <w:p w14:paraId="6275F284" w14:textId="77777777" w:rsidR="0018446B" w:rsidRPr="005D0C52" w:rsidRDefault="0018446B" w:rsidP="00DC5FF0">
            <w:r w:rsidRPr="005D0C52">
              <w:t>Advarra Institutional Review Board, Suite 110, 6940 Columbia Gateway Drive, Columbia, Maryland, 21046, United States</w:t>
            </w:r>
          </w:p>
        </w:tc>
      </w:tr>
      <w:tr w:rsidR="0018446B" w:rsidRPr="005D0C52" w14:paraId="36AC9F04" w14:textId="77777777" w:rsidTr="00DC5FF0">
        <w:tc>
          <w:tcPr>
            <w:tcW w:w="9067" w:type="dxa"/>
          </w:tcPr>
          <w:p w14:paraId="43A89D70" w14:textId="77777777" w:rsidR="0018446B" w:rsidRPr="005D0C52" w:rsidRDefault="0018446B" w:rsidP="00DC5FF0">
            <w:r w:rsidRPr="005D0C52">
              <w:t>Saint Luke’s Hospital Institutional Review Board, 232 South Woods Mill Road, Chesterfield, Missouri, 63017, United States</w:t>
            </w:r>
          </w:p>
        </w:tc>
      </w:tr>
      <w:tr w:rsidR="0018446B" w:rsidRPr="005D0C52" w14:paraId="6AD3D120" w14:textId="77777777" w:rsidTr="00DC5FF0">
        <w:tc>
          <w:tcPr>
            <w:tcW w:w="9067" w:type="dxa"/>
          </w:tcPr>
          <w:p w14:paraId="175D2151" w14:textId="77777777" w:rsidR="0018446B" w:rsidRPr="005D0C52" w:rsidRDefault="0018446B" w:rsidP="00DC5FF0">
            <w:r w:rsidRPr="005D0C52">
              <w:t>South Carolina Pharmaceutical Research, 141 Harold Fleming Court, Spartanburg, South Carolina, 29303, United States</w:t>
            </w:r>
          </w:p>
        </w:tc>
      </w:tr>
    </w:tbl>
    <w:p w14:paraId="5B0ABB60" w14:textId="0D9B6A9A" w:rsidR="0018446B" w:rsidRDefault="0018446B" w:rsidP="0018446B">
      <w:pPr>
        <w:pStyle w:val="BodyText"/>
        <w:rPr>
          <w:lang w:eastAsia="en-US"/>
        </w:rPr>
      </w:pPr>
    </w:p>
    <w:p w14:paraId="1E555B55" w14:textId="4B9D86FF" w:rsidR="0018446B" w:rsidRDefault="0018446B" w:rsidP="0018446B">
      <w:pPr>
        <w:pStyle w:val="BodyText"/>
        <w:rPr>
          <w:lang w:eastAsia="en-US"/>
        </w:rPr>
      </w:pPr>
    </w:p>
    <w:p w14:paraId="7550CA89" w14:textId="77777777" w:rsidR="0018446B" w:rsidRDefault="0018446B" w:rsidP="0018446B">
      <w:pPr>
        <w:pStyle w:val="BodyText"/>
        <w:rPr>
          <w:lang w:eastAsia="en-US"/>
        </w:rPr>
      </w:pPr>
    </w:p>
    <w:p w14:paraId="226772FE" w14:textId="77777777" w:rsidR="00FB6EE6" w:rsidRDefault="00FB6EE6" w:rsidP="00333ED3">
      <w:pPr>
        <w:spacing w:line="259" w:lineRule="auto"/>
        <w:rPr>
          <w:b/>
          <w:lang w:val="en-US"/>
        </w:rPr>
        <w:sectPr w:rsidR="00FB6EE6" w:rsidSect="00907C2F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282FBB7C" w14:textId="28AD1C3C" w:rsidR="00333ED3" w:rsidRDefault="00333ED3" w:rsidP="00333ED3">
      <w:pPr>
        <w:spacing w:line="259" w:lineRule="auto"/>
        <w:rPr>
          <w:lang w:val="en-US"/>
        </w:rPr>
      </w:pPr>
      <w:r>
        <w:rPr>
          <w:b/>
          <w:lang w:val="en-US"/>
        </w:rPr>
        <w:lastRenderedPageBreak/>
        <w:t xml:space="preserve">Supplementary Table </w:t>
      </w:r>
      <w:r w:rsidR="0085546E">
        <w:rPr>
          <w:b/>
          <w:lang w:val="en-US"/>
        </w:rPr>
        <w:t>S</w:t>
      </w:r>
      <w:r w:rsidR="00D77305">
        <w:rPr>
          <w:b/>
          <w:lang w:val="en-US"/>
        </w:rPr>
        <w:t>2</w:t>
      </w:r>
      <w:r>
        <w:rPr>
          <w:lang w:val="en-US"/>
        </w:rPr>
        <w:t xml:space="preserve"> </w:t>
      </w:r>
      <w:r w:rsidRPr="008A765E">
        <w:rPr>
          <w:lang w:val="en-US"/>
        </w:rPr>
        <w:t>Baseline demographics and clinical characteristics</w:t>
      </w:r>
      <w:r>
        <w:rPr>
          <w:lang w:val="en-US"/>
        </w:rPr>
        <w:t xml:space="preserve"> by treatment arm</w:t>
      </w:r>
    </w:p>
    <w:tbl>
      <w:tblPr>
        <w:tblW w:w="1389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1512"/>
        <w:gridCol w:w="1512"/>
        <w:gridCol w:w="1512"/>
        <w:gridCol w:w="1512"/>
        <w:gridCol w:w="1512"/>
        <w:gridCol w:w="1512"/>
      </w:tblGrid>
      <w:tr w:rsidR="00333ED3" w:rsidRPr="008A765E" w14:paraId="1AE00F9B" w14:textId="77777777" w:rsidTr="00DC5FF0">
        <w:trPr>
          <w:trHeight w:val="5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385B0A" w14:textId="77777777" w:rsidR="00333ED3" w:rsidRPr="008A765E" w:rsidRDefault="00333ED3" w:rsidP="00DC5FF0">
            <w:pPr>
              <w:spacing w:after="200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640C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MN</w:t>
            </w:r>
          </w:p>
          <w:p w14:paraId="56502342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(N=749)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58167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MT</w:t>
            </w:r>
          </w:p>
          <w:p w14:paraId="602231DF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(N=1676)</w:t>
            </w:r>
          </w:p>
        </w:tc>
      </w:tr>
      <w:tr w:rsidR="00333ED3" w:rsidRPr="008A765E" w14:paraId="76E5C1A1" w14:textId="77777777" w:rsidTr="00DC5FF0">
        <w:trPr>
          <w:trHeight w:val="5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C36DC0" w14:textId="77777777" w:rsidR="00333ED3" w:rsidRPr="008A765E" w:rsidRDefault="00333ED3" w:rsidP="00DC5FF0">
            <w:pPr>
              <w:spacing w:after="200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61A52" w14:textId="77777777" w:rsidR="00333ED3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UMEC/VI</w:t>
            </w:r>
          </w:p>
          <w:p w14:paraId="763C7EC6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N=250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5A9C" w14:textId="77777777" w:rsidR="00333ED3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UMEC</w:t>
            </w:r>
          </w:p>
          <w:p w14:paraId="4C18BCB5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N=250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C41C5" w14:textId="77777777" w:rsidR="00333ED3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SAL</w:t>
            </w:r>
          </w:p>
          <w:p w14:paraId="2D44107D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N=249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950DF" w14:textId="77777777" w:rsidR="00333ED3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UMEC/VI</w:t>
            </w:r>
          </w:p>
          <w:p w14:paraId="5CE03D19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N=562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C9DE" w14:textId="77777777" w:rsidR="00333ED3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UMEC</w:t>
            </w:r>
          </w:p>
          <w:p w14:paraId="6410FEB2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N=554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7E394" w14:textId="77777777" w:rsidR="00333ED3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SAL</w:t>
            </w:r>
          </w:p>
          <w:p w14:paraId="78B29AB3" w14:textId="77777777" w:rsidR="00333ED3" w:rsidRPr="008A765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N=560</w:t>
            </w:r>
          </w:p>
        </w:tc>
      </w:tr>
      <w:tr w:rsidR="00333ED3" w:rsidRPr="008A765E" w14:paraId="0B739C0E" w14:textId="77777777" w:rsidTr="00DC5FF0">
        <w:trPr>
          <w:trHeight w:val="328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4063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Age, years, mean (SD)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FC64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63.3 (8.0)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4E5B6DC8" w14:textId="77777777" w:rsidR="00333ED3" w:rsidRPr="00A30CB8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A30CB8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63.4 (8.2)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248F6966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62.2 (8.8)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2CCB3C6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65.2 (8.5)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0BDA21A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65.5 (8.5)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4A49C76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65.3 (8.2)</w:t>
            </w:r>
          </w:p>
        </w:tc>
      </w:tr>
      <w:tr w:rsidR="00333ED3" w:rsidRPr="008A765E" w14:paraId="5DE84FD0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6C32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Female, n (%)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B35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112 (45)</w:t>
            </w:r>
          </w:p>
        </w:tc>
        <w:tc>
          <w:tcPr>
            <w:tcW w:w="1512" w:type="dxa"/>
            <w:vAlign w:val="center"/>
          </w:tcPr>
          <w:p w14:paraId="7CA9460C" w14:textId="77777777" w:rsidR="00333ED3" w:rsidRPr="00A30CB8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A30CB8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121 (48)</w:t>
            </w:r>
          </w:p>
        </w:tc>
        <w:tc>
          <w:tcPr>
            <w:tcW w:w="1512" w:type="dxa"/>
            <w:vAlign w:val="center"/>
          </w:tcPr>
          <w:p w14:paraId="04F144D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110 (44)</w:t>
            </w:r>
          </w:p>
        </w:tc>
        <w:tc>
          <w:tcPr>
            <w:tcW w:w="1512" w:type="dxa"/>
            <w:vAlign w:val="center"/>
          </w:tcPr>
          <w:p w14:paraId="36EA4644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207 (37)</w:t>
            </w:r>
          </w:p>
        </w:tc>
        <w:tc>
          <w:tcPr>
            <w:tcW w:w="1512" w:type="dxa"/>
            <w:vAlign w:val="center"/>
          </w:tcPr>
          <w:p w14:paraId="549682F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206 (37)</w:t>
            </w:r>
          </w:p>
        </w:tc>
        <w:tc>
          <w:tcPr>
            <w:tcW w:w="1512" w:type="dxa"/>
            <w:vAlign w:val="center"/>
          </w:tcPr>
          <w:p w14:paraId="2D2ACC3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232 (41)</w:t>
            </w:r>
          </w:p>
        </w:tc>
      </w:tr>
      <w:tr w:rsidR="00333ED3" w:rsidRPr="008A765E" w14:paraId="1B3000B4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BA80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Current smoker, n (%)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957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Times New Roman" w:cstheme="minorHAnsi"/>
                <w:sz w:val="20"/>
                <w:szCs w:val="20"/>
                <w:lang w:val="en-US" w:eastAsia="en-GB"/>
              </w:rPr>
              <w:t>161 (64)</w:t>
            </w:r>
          </w:p>
        </w:tc>
        <w:tc>
          <w:tcPr>
            <w:tcW w:w="1512" w:type="dxa"/>
            <w:vAlign w:val="center"/>
          </w:tcPr>
          <w:p w14:paraId="362FF5A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169 (68)</w:t>
            </w:r>
          </w:p>
        </w:tc>
        <w:tc>
          <w:tcPr>
            <w:tcW w:w="1512" w:type="dxa"/>
            <w:vAlign w:val="center"/>
          </w:tcPr>
          <w:p w14:paraId="68F1134A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163 (65)</w:t>
            </w:r>
          </w:p>
        </w:tc>
        <w:tc>
          <w:tcPr>
            <w:tcW w:w="1512" w:type="dxa"/>
            <w:vAlign w:val="center"/>
          </w:tcPr>
          <w:p w14:paraId="037DDA20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233 (41)</w:t>
            </w:r>
          </w:p>
        </w:tc>
        <w:tc>
          <w:tcPr>
            <w:tcW w:w="1512" w:type="dxa"/>
            <w:vAlign w:val="center"/>
          </w:tcPr>
          <w:p w14:paraId="0E25A1B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227 (41)</w:t>
            </w:r>
          </w:p>
        </w:tc>
        <w:tc>
          <w:tcPr>
            <w:tcW w:w="1512" w:type="dxa"/>
            <w:vAlign w:val="center"/>
          </w:tcPr>
          <w:p w14:paraId="54BABEA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250 (45)</w:t>
            </w:r>
          </w:p>
        </w:tc>
      </w:tr>
      <w:tr w:rsidR="00333ED3" w:rsidRPr="008A765E" w14:paraId="4A86563E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C78B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Smoking pack-years,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E44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53.2 (25.9)</w:t>
            </w:r>
          </w:p>
        </w:tc>
        <w:tc>
          <w:tcPr>
            <w:tcW w:w="1512" w:type="dxa"/>
            <w:vAlign w:val="center"/>
          </w:tcPr>
          <w:p w14:paraId="24186E4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46.6 (24.1)</w:t>
            </w:r>
          </w:p>
        </w:tc>
        <w:tc>
          <w:tcPr>
            <w:tcW w:w="1512" w:type="dxa"/>
            <w:vAlign w:val="center"/>
          </w:tcPr>
          <w:p w14:paraId="584A941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49.8 (25.3)</w:t>
            </w:r>
          </w:p>
        </w:tc>
        <w:tc>
          <w:tcPr>
            <w:tcW w:w="1512" w:type="dxa"/>
            <w:vAlign w:val="center"/>
          </w:tcPr>
          <w:p w14:paraId="4021414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47.7 (28.4)</w:t>
            </w:r>
          </w:p>
        </w:tc>
        <w:tc>
          <w:tcPr>
            <w:tcW w:w="1512" w:type="dxa"/>
            <w:vAlign w:val="center"/>
          </w:tcPr>
          <w:p w14:paraId="56D3113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48.1 (26.7)</w:t>
            </w:r>
          </w:p>
        </w:tc>
        <w:tc>
          <w:tcPr>
            <w:tcW w:w="1512" w:type="dxa"/>
            <w:vAlign w:val="center"/>
          </w:tcPr>
          <w:p w14:paraId="7A4880E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47.3 (26.0)</w:t>
            </w:r>
          </w:p>
        </w:tc>
      </w:tr>
      <w:tr w:rsidR="00333ED3" w:rsidRPr="008A765E" w14:paraId="109F050D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5C12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Duration of COPD, years,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E653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8.7 (7.4)</w:t>
            </w:r>
          </w:p>
        </w:tc>
        <w:tc>
          <w:tcPr>
            <w:tcW w:w="1512" w:type="dxa"/>
            <w:vAlign w:val="center"/>
          </w:tcPr>
          <w:p w14:paraId="0027B21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7.8 (5.9)</w:t>
            </w:r>
          </w:p>
        </w:tc>
        <w:tc>
          <w:tcPr>
            <w:tcW w:w="1512" w:type="dxa"/>
            <w:vAlign w:val="center"/>
          </w:tcPr>
          <w:p w14:paraId="0DE77E63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8.4 (6.9)</w:t>
            </w:r>
          </w:p>
        </w:tc>
        <w:tc>
          <w:tcPr>
            <w:tcW w:w="1512" w:type="dxa"/>
            <w:vAlign w:val="center"/>
          </w:tcPr>
          <w:p w14:paraId="04E85CA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8.8 (6.8)</w:t>
            </w:r>
          </w:p>
        </w:tc>
        <w:tc>
          <w:tcPr>
            <w:tcW w:w="1512" w:type="dxa"/>
            <w:vAlign w:val="center"/>
          </w:tcPr>
          <w:p w14:paraId="61366B54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7.8 (6.0)</w:t>
            </w:r>
          </w:p>
        </w:tc>
        <w:tc>
          <w:tcPr>
            <w:tcW w:w="1512" w:type="dxa"/>
            <w:vAlign w:val="center"/>
          </w:tcPr>
          <w:p w14:paraId="7FC0558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8.2 (6.6)</w:t>
            </w:r>
          </w:p>
        </w:tc>
      </w:tr>
      <w:tr w:rsidR="00333ED3" w:rsidRPr="008A765E" w14:paraId="01CF07C0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7CE5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 xml:space="preserve">Moderate COPD exacerbation in past 12 </w:t>
            </w:r>
            <w:proofErr w:type="spellStart"/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months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vertAlign w:val="superscript"/>
                <w:lang w:val="en-US" w:eastAsia="en-GB"/>
              </w:rPr>
              <w:t>a</w:t>
            </w:r>
            <w:proofErr w:type="spellEnd"/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, n (%)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275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Times New Roman" w:cstheme="minorHAnsi"/>
                <w:sz w:val="20"/>
                <w:szCs w:val="20"/>
                <w:lang w:val="en-US" w:eastAsia="en-GB"/>
              </w:rPr>
              <w:t>27 (11)</w:t>
            </w:r>
          </w:p>
        </w:tc>
        <w:tc>
          <w:tcPr>
            <w:tcW w:w="1512" w:type="dxa"/>
            <w:vAlign w:val="center"/>
          </w:tcPr>
          <w:p w14:paraId="4F003A9B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24 (10)</w:t>
            </w:r>
          </w:p>
        </w:tc>
        <w:tc>
          <w:tcPr>
            <w:tcW w:w="1512" w:type="dxa"/>
            <w:vAlign w:val="center"/>
          </w:tcPr>
          <w:p w14:paraId="56D5370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26 (10)</w:t>
            </w:r>
          </w:p>
        </w:tc>
        <w:tc>
          <w:tcPr>
            <w:tcW w:w="1512" w:type="dxa"/>
            <w:vAlign w:val="center"/>
          </w:tcPr>
          <w:p w14:paraId="4CAC146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96 (17)</w:t>
            </w:r>
          </w:p>
        </w:tc>
        <w:tc>
          <w:tcPr>
            <w:tcW w:w="1512" w:type="dxa"/>
            <w:vAlign w:val="center"/>
          </w:tcPr>
          <w:p w14:paraId="0096A01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100 (18)</w:t>
            </w:r>
          </w:p>
        </w:tc>
        <w:tc>
          <w:tcPr>
            <w:tcW w:w="1512" w:type="dxa"/>
            <w:vAlign w:val="center"/>
          </w:tcPr>
          <w:p w14:paraId="2D8927F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120 (21)</w:t>
            </w:r>
          </w:p>
        </w:tc>
      </w:tr>
      <w:tr w:rsidR="00333ED3" w:rsidRPr="008A765E" w14:paraId="46759213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07A2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Post-albuterol percent predicted FEV</w:t>
            </w:r>
            <w:r w:rsidRPr="008A765E">
              <w:rPr>
                <w:rFonts w:eastAsia="Calibri" w:cstheme="minorHAnsi"/>
                <w:b/>
                <w:bCs/>
                <w:kern w:val="24"/>
                <w:position w:val="-5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C0D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57.7 (12.1)</w:t>
            </w:r>
          </w:p>
        </w:tc>
        <w:tc>
          <w:tcPr>
            <w:tcW w:w="1512" w:type="dxa"/>
            <w:vAlign w:val="center"/>
          </w:tcPr>
          <w:p w14:paraId="0131998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57.7 (12.0)</w:t>
            </w:r>
          </w:p>
        </w:tc>
        <w:tc>
          <w:tcPr>
            <w:tcW w:w="1512" w:type="dxa"/>
            <w:vAlign w:val="center"/>
          </w:tcPr>
          <w:p w14:paraId="66DCAA0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55.7 (12.6)</w:t>
            </w:r>
          </w:p>
        </w:tc>
        <w:tc>
          <w:tcPr>
            <w:tcW w:w="1512" w:type="dxa"/>
            <w:vAlign w:val="center"/>
          </w:tcPr>
          <w:p w14:paraId="3A74FA9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53.6 (12.9)</w:t>
            </w:r>
          </w:p>
        </w:tc>
        <w:tc>
          <w:tcPr>
            <w:tcW w:w="1512" w:type="dxa"/>
            <w:vAlign w:val="center"/>
          </w:tcPr>
          <w:p w14:paraId="34BF0CF6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55.1 (12.8)</w:t>
            </w:r>
          </w:p>
        </w:tc>
        <w:tc>
          <w:tcPr>
            <w:tcW w:w="1512" w:type="dxa"/>
            <w:vAlign w:val="center"/>
          </w:tcPr>
          <w:p w14:paraId="20610E7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55.5 (12.9)</w:t>
            </w:r>
          </w:p>
        </w:tc>
      </w:tr>
      <w:tr w:rsidR="00333ED3" w:rsidRPr="008A765E" w14:paraId="59282BCE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B361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Post-albuterol FEV</w:t>
            </w:r>
            <w:r w:rsidRPr="008A765E">
              <w:rPr>
                <w:rFonts w:eastAsia="Calibri" w:cstheme="minorHAnsi"/>
                <w:b/>
                <w:bCs/>
                <w:kern w:val="24"/>
                <w:position w:val="-5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/FVC,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46D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0.55 (0.09)</w:t>
            </w:r>
          </w:p>
        </w:tc>
        <w:tc>
          <w:tcPr>
            <w:tcW w:w="1512" w:type="dxa"/>
            <w:vAlign w:val="center"/>
          </w:tcPr>
          <w:p w14:paraId="75DA4FB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0.54 (0.09)</w:t>
            </w:r>
          </w:p>
        </w:tc>
        <w:tc>
          <w:tcPr>
            <w:tcW w:w="1512" w:type="dxa"/>
            <w:vAlign w:val="center"/>
          </w:tcPr>
          <w:p w14:paraId="533131F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0.53 (0.10)</w:t>
            </w:r>
          </w:p>
        </w:tc>
        <w:tc>
          <w:tcPr>
            <w:tcW w:w="1512" w:type="dxa"/>
            <w:vAlign w:val="center"/>
          </w:tcPr>
          <w:p w14:paraId="2156AEC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0.50 (0.11)</w:t>
            </w:r>
          </w:p>
        </w:tc>
        <w:tc>
          <w:tcPr>
            <w:tcW w:w="1512" w:type="dxa"/>
            <w:vAlign w:val="center"/>
          </w:tcPr>
          <w:p w14:paraId="157B6D7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0.51 (0.10)</w:t>
            </w:r>
          </w:p>
        </w:tc>
        <w:tc>
          <w:tcPr>
            <w:tcW w:w="1512" w:type="dxa"/>
            <w:vAlign w:val="center"/>
          </w:tcPr>
          <w:p w14:paraId="3B236D6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0.51 (0.10)</w:t>
            </w:r>
          </w:p>
        </w:tc>
      </w:tr>
      <w:tr w:rsidR="00333ED3" w:rsidRPr="008A765E" w14:paraId="6A0FE9EC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6A8E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Percent reversibility to albuterol,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B8E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12.6 (13.2)</w:t>
            </w:r>
          </w:p>
        </w:tc>
        <w:tc>
          <w:tcPr>
            <w:tcW w:w="1512" w:type="dxa"/>
            <w:vAlign w:val="center"/>
          </w:tcPr>
          <w:p w14:paraId="3A44594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13.0 (13.4)</w:t>
            </w:r>
          </w:p>
        </w:tc>
        <w:tc>
          <w:tcPr>
            <w:tcW w:w="1512" w:type="dxa"/>
            <w:vAlign w:val="center"/>
          </w:tcPr>
          <w:p w14:paraId="6B22CCD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12.9 (12.0)</w:t>
            </w:r>
          </w:p>
        </w:tc>
        <w:tc>
          <w:tcPr>
            <w:tcW w:w="1512" w:type="dxa"/>
            <w:vAlign w:val="center"/>
          </w:tcPr>
          <w:p w14:paraId="311852B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9.4 (12.6)</w:t>
            </w:r>
          </w:p>
        </w:tc>
        <w:tc>
          <w:tcPr>
            <w:tcW w:w="1512" w:type="dxa"/>
            <w:vAlign w:val="center"/>
          </w:tcPr>
          <w:p w14:paraId="0D29A91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8.9 (13.0)</w:t>
            </w:r>
          </w:p>
        </w:tc>
        <w:tc>
          <w:tcPr>
            <w:tcW w:w="1512" w:type="dxa"/>
            <w:vAlign w:val="center"/>
          </w:tcPr>
          <w:p w14:paraId="1247DDA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9.8 (13.7)</w:t>
            </w:r>
          </w:p>
        </w:tc>
      </w:tr>
      <w:tr w:rsidR="00333ED3" w:rsidRPr="008A765E" w14:paraId="1623FCF2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E5C9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GOLD grade</w:t>
            </w:r>
            <w:r w:rsidRPr="008A765E">
              <w:rPr>
                <w:rFonts w:eastAsia="Times New Roman" w:cstheme="minorHAnsi"/>
                <w:kern w:val="24"/>
                <w:position w:val="7"/>
                <w:sz w:val="20"/>
                <w:szCs w:val="20"/>
                <w:vertAlign w:val="superscript"/>
                <w:lang w:val="en-US" w:eastAsia="en-GB"/>
              </w:rPr>
              <w:t>b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, n (%)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552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1512" w:type="dxa"/>
            <w:vAlign w:val="center"/>
          </w:tcPr>
          <w:p w14:paraId="249123E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512" w:type="dxa"/>
            <w:vAlign w:val="center"/>
          </w:tcPr>
          <w:p w14:paraId="6F1BCB4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512" w:type="dxa"/>
            <w:vAlign w:val="center"/>
          </w:tcPr>
          <w:p w14:paraId="185282F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512" w:type="dxa"/>
            <w:vAlign w:val="center"/>
          </w:tcPr>
          <w:p w14:paraId="30780B3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512" w:type="dxa"/>
            <w:vAlign w:val="center"/>
          </w:tcPr>
          <w:p w14:paraId="0853E926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333ED3" w:rsidRPr="008A765E" w14:paraId="6CD11700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94D8" w14:textId="77777777" w:rsidR="00333ED3" w:rsidRPr="008A765E" w:rsidRDefault="00333ED3" w:rsidP="00DC5FF0">
            <w:pPr>
              <w:spacing w:after="0" w:line="240" w:lineRule="auto"/>
              <w:ind w:left="302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26D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187 (75)</w:t>
            </w:r>
          </w:p>
        </w:tc>
        <w:tc>
          <w:tcPr>
            <w:tcW w:w="1512" w:type="dxa"/>
            <w:vAlign w:val="center"/>
          </w:tcPr>
          <w:p w14:paraId="7B31EAF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177 (71)</w:t>
            </w:r>
          </w:p>
        </w:tc>
        <w:tc>
          <w:tcPr>
            <w:tcW w:w="1512" w:type="dxa"/>
            <w:vAlign w:val="center"/>
          </w:tcPr>
          <w:p w14:paraId="4510CBAB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162 (65)</w:t>
            </w:r>
          </w:p>
        </w:tc>
        <w:tc>
          <w:tcPr>
            <w:tcW w:w="1512" w:type="dxa"/>
            <w:vAlign w:val="center"/>
          </w:tcPr>
          <w:p w14:paraId="30623E5B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331 (59)</w:t>
            </w:r>
          </w:p>
        </w:tc>
        <w:tc>
          <w:tcPr>
            <w:tcW w:w="1512" w:type="dxa"/>
            <w:vAlign w:val="center"/>
          </w:tcPr>
          <w:p w14:paraId="43FEFDBA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352 (64)</w:t>
            </w:r>
          </w:p>
        </w:tc>
        <w:tc>
          <w:tcPr>
            <w:tcW w:w="1512" w:type="dxa"/>
            <w:vAlign w:val="center"/>
          </w:tcPr>
          <w:p w14:paraId="2858AC2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360 (64)</w:t>
            </w:r>
          </w:p>
        </w:tc>
      </w:tr>
      <w:tr w:rsidR="00333ED3" w:rsidRPr="008A765E" w14:paraId="6015E01B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5C1A" w14:textId="77777777" w:rsidR="00333ED3" w:rsidRPr="008A765E" w:rsidRDefault="00333ED3" w:rsidP="00DC5FF0">
            <w:pPr>
              <w:spacing w:after="0" w:line="240" w:lineRule="auto"/>
              <w:ind w:left="302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2A16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63 (25)</w:t>
            </w:r>
          </w:p>
        </w:tc>
        <w:tc>
          <w:tcPr>
            <w:tcW w:w="1512" w:type="dxa"/>
            <w:vAlign w:val="center"/>
          </w:tcPr>
          <w:p w14:paraId="7159634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72 (29)</w:t>
            </w:r>
          </w:p>
        </w:tc>
        <w:tc>
          <w:tcPr>
            <w:tcW w:w="1512" w:type="dxa"/>
            <w:vAlign w:val="center"/>
          </w:tcPr>
          <w:p w14:paraId="0D41CFF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87 (35)</w:t>
            </w:r>
          </w:p>
        </w:tc>
        <w:tc>
          <w:tcPr>
            <w:tcW w:w="1512" w:type="dxa"/>
            <w:vAlign w:val="center"/>
          </w:tcPr>
          <w:p w14:paraId="30D318D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231 (41)</w:t>
            </w:r>
          </w:p>
        </w:tc>
        <w:tc>
          <w:tcPr>
            <w:tcW w:w="1512" w:type="dxa"/>
            <w:vAlign w:val="center"/>
          </w:tcPr>
          <w:p w14:paraId="2D6D6E44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199 (36)</w:t>
            </w:r>
          </w:p>
        </w:tc>
        <w:tc>
          <w:tcPr>
            <w:tcW w:w="1512" w:type="dxa"/>
            <w:vAlign w:val="center"/>
          </w:tcPr>
          <w:p w14:paraId="5A2BDEF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199 (36)</w:t>
            </w:r>
          </w:p>
        </w:tc>
      </w:tr>
      <w:tr w:rsidR="00333ED3" w:rsidRPr="008A765E" w14:paraId="76804B90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349FE" w14:textId="77777777" w:rsidR="00333ED3" w:rsidRPr="008A765E" w:rsidRDefault="00333ED3" w:rsidP="00DC5FF0">
            <w:pPr>
              <w:spacing w:after="0" w:line="240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Baseline FEV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vertAlign w:val="subscript"/>
                <w:lang w:val="en-US" w:eastAsia="en-GB"/>
              </w:rPr>
              <w:t>1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, mL,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A7B7A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1559 (511)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7DFC7DE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1528 (513)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03739B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1536 (569)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276C09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1436 (509)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0C88043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1491 (501)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6ED3E6B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1477 (516)</w:t>
            </w:r>
          </w:p>
        </w:tc>
      </w:tr>
      <w:tr w:rsidR="00333ED3" w:rsidRPr="008A765E" w14:paraId="371A5F7A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BD99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BDI focal score,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9769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Times New Roman" w:cstheme="minorHAnsi"/>
                <w:sz w:val="20"/>
                <w:szCs w:val="20"/>
                <w:lang w:val="en-US" w:eastAsia="en-GB"/>
              </w:rPr>
              <w:t>7.2 (2.0)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AC6664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7.1 (2.1)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84F78B4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7.1 (2.0)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BD67E6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6.9 (1.8)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EBC66F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7.0 (1.9)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CC8315B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7.0 (1.8)</w:t>
            </w:r>
          </w:p>
        </w:tc>
      </w:tr>
      <w:tr w:rsidR="00333ED3" w:rsidRPr="008A765E" w14:paraId="3765D3D9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DA8FC" w14:textId="77777777" w:rsidR="00333ED3" w:rsidRPr="008A765E" w:rsidRDefault="00333ED3" w:rsidP="00DC5FF0">
            <w:pPr>
              <w:spacing w:after="0" w:line="240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E-RS total score,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880F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11.4 (5.7)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9D8977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11.9 (6.4)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53877B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11.5 (6.0)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2568BFD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10.4 (5.6)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D454C3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10.2 (5.5)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688C12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9.9 (5.5)</w:t>
            </w:r>
          </w:p>
        </w:tc>
      </w:tr>
      <w:tr w:rsidR="00333ED3" w:rsidRPr="008A765E" w14:paraId="163A8E25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D02E6" w14:textId="77777777" w:rsidR="00333ED3" w:rsidRPr="008A765E" w:rsidRDefault="00333ED3" w:rsidP="00DC5FF0">
            <w:pPr>
              <w:spacing w:after="0" w:line="240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SGRQ score,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50DF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47.2 (16.5)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454AEF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48.1 (17.8)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FC92074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49.0 (17.1)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1EF037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43.3 (15.8)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964D9DA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43.7 (15.1)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D065012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42.6 (15.6)</w:t>
            </w:r>
          </w:p>
        </w:tc>
      </w:tr>
      <w:tr w:rsidR="00333ED3" w:rsidRPr="008A765E" w14:paraId="649F67D7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DF7B" w14:textId="77777777" w:rsidR="00333ED3" w:rsidRPr="008A765E" w:rsidRDefault="00333ED3" w:rsidP="00DC5F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CAT score,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95AC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Times New Roman" w:cstheme="minorHAnsi"/>
                <w:sz w:val="20"/>
                <w:szCs w:val="20"/>
                <w:lang w:val="en-US" w:eastAsia="en-GB"/>
              </w:rPr>
              <w:t>20.7 (6.2)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CCD8AF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21.4 (6.7)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45928C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21.2 (6.7)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B7E4E9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18.4 (5.6)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7998060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18.3 (5.7)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6DE98F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18.4 (5.9)</w:t>
            </w:r>
          </w:p>
        </w:tc>
      </w:tr>
      <w:tr w:rsidR="00333ED3" w:rsidRPr="008A765E" w14:paraId="1C7E2343" w14:textId="77777777" w:rsidTr="00DC5FF0">
        <w:trPr>
          <w:trHeight w:val="328"/>
        </w:trPr>
        <w:tc>
          <w:tcPr>
            <w:tcW w:w="4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85B6" w14:textId="77777777" w:rsidR="00333ED3" w:rsidRPr="008A765E" w:rsidRDefault="00333ED3" w:rsidP="00DC5FF0">
            <w:pPr>
              <w:spacing w:after="0" w:line="240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R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 xml:space="preserve">escue medication </w:t>
            </w:r>
            <w:proofErr w:type="spellStart"/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use</w:t>
            </w: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vertAlign w:val="superscript"/>
                <w:lang w:val="en-US" w:eastAsia="en-GB"/>
              </w:rPr>
              <w:t>c</w:t>
            </w:r>
            <w:proofErr w:type="spellEnd"/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, puffs/day, mean (SD)</w:t>
            </w:r>
          </w:p>
        </w:tc>
        <w:tc>
          <w:tcPr>
            <w:tcW w:w="15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97275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3F330E">
              <w:rPr>
                <w:rFonts w:eastAsia="Times New Roman" w:cstheme="minorHAnsi"/>
                <w:sz w:val="20"/>
                <w:szCs w:val="20"/>
                <w:lang w:val="en-US" w:eastAsia="en-GB"/>
              </w:rPr>
              <w:t>2.8 (3.1)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AC8B617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2.7 (2.8)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0FE640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2.9 (3.0)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A511C71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1.9 (2.2)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4BCED1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1.9 (2.1)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EE0ADF3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1.8 (2.1)</w:t>
            </w:r>
          </w:p>
        </w:tc>
      </w:tr>
      <w:tr w:rsidR="00333ED3" w:rsidRPr="008A765E" w14:paraId="5E608E52" w14:textId="77777777" w:rsidTr="00DC5FF0">
        <w:trPr>
          <w:trHeight w:val="32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B8EF8" w14:textId="77777777" w:rsidR="00333ED3" w:rsidRPr="008A765E" w:rsidRDefault="00333ED3" w:rsidP="00DC5FF0">
            <w:pPr>
              <w:spacing w:after="0" w:line="240" w:lineRule="auto"/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R</w:t>
            </w:r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 xml:space="preserve">escue-free </w:t>
            </w:r>
            <w:proofErr w:type="spellStart"/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days</w:t>
            </w:r>
            <w:r>
              <w:rPr>
                <w:rFonts w:eastAsia="Calibri" w:cstheme="minorHAnsi"/>
                <w:b/>
                <w:bCs/>
                <w:kern w:val="24"/>
                <w:sz w:val="20"/>
                <w:szCs w:val="20"/>
                <w:vertAlign w:val="superscript"/>
                <w:lang w:val="en-US" w:eastAsia="en-GB"/>
              </w:rPr>
              <w:t>c</w:t>
            </w:r>
            <w:proofErr w:type="spellEnd"/>
            <w:r w:rsidRPr="008A765E">
              <w:rPr>
                <w:rFonts w:eastAsia="Calibri" w:cstheme="minorHAnsi"/>
                <w:b/>
                <w:bCs/>
                <w:kern w:val="24"/>
                <w:sz w:val="20"/>
                <w:szCs w:val="20"/>
                <w:lang w:val="en-US" w:eastAsia="en-GB"/>
              </w:rPr>
              <w:t>, % (SD)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87A76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Times New Roman" w:cstheme="minorHAnsi"/>
                <w:sz w:val="20"/>
                <w:szCs w:val="20"/>
                <w:lang w:val="en-US" w:eastAsia="en-GB"/>
              </w:rPr>
              <w:t>35.7 (41.4)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EEDD0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37.9 (42.5)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2299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33.2 (40.4)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A1FD8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40.5 (42.1)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4A09F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41.0 (41.3)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2D70C" w14:textId="77777777" w:rsidR="00333ED3" w:rsidRPr="003F330E" w:rsidRDefault="00333ED3" w:rsidP="00DC5FF0">
            <w:pPr>
              <w:spacing w:after="0" w:line="240" w:lineRule="auto"/>
              <w:jc w:val="center"/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</w:pPr>
            <w:r w:rsidRPr="003F330E">
              <w:rPr>
                <w:rFonts w:eastAsia="Calibri" w:cstheme="minorHAnsi"/>
                <w:kern w:val="24"/>
                <w:sz w:val="20"/>
                <w:szCs w:val="20"/>
                <w:lang w:val="en-US" w:eastAsia="en-GB"/>
              </w:rPr>
              <w:t>41.6 (41.5)</w:t>
            </w:r>
          </w:p>
        </w:tc>
      </w:tr>
    </w:tbl>
    <w:p w14:paraId="3940CB03" w14:textId="77777777" w:rsidR="00333ED3" w:rsidRPr="0050251B" w:rsidRDefault="00333ED3" w:rsidP="00333ED3">
      <w:pPr>
        <w:spacing w:line="259" w:lineRule="auto"/>
        <w:rPr>
          <w:b/>
          <w:bCs/>
          <w:lang w:val="en-US"/>
        </w:rPr>
      </w:pPr>
      <w:proofErr w:type="spellStart"/>
      <w:r w:rsidRPr="001F18A3">
        <w:rPr>
          <w:vertAlign w:val="superscript"/>
          <w:lang w:val="en-US"/>
        </w:rPr>
        <w:t>a</w:t>
      </w:r>
      <w:r w:rsidRPr="001F18A3">
        <w:rPr>
          <w:lang w:val="en-US"/>
        </w:rPr>
        <w:t>Number</w:t>
      </w:r>
      <w:proofErr w:type="spellEnd"/>
      <w:r w:rsidRPr="001F18A3">
        <w:rPr>
          <w:lang w:val="en-US"/>
        </w:rPr>
        <w:t xml:space="preserve"> of patients with an exacerbation requiring oral or systemic corticosteroids and/or antibiotics (moderate) in 12 months prior to screening (patients with &gt;1 moderate exacerbation or with a severe exacerbation [requiring hospitalization] were excluded from the study); </w:t>
      </w:r>
      <w:r w:rsidRPr="001F18A3">
        <w:rPr>
          <w:vertAlign w:val="superscript"/>
          <w:lang w:val="en-US"/>
        </w:rPr>
        <w:t>b</w:t>
      </w:r>
      <w:r w:rsidRPr="001F18A3">
        <w:rPr>
          <w:lang w:val="en-US"/>
        </w:rPr>
        <w:t>an additional 4 (&lt;1%) patients with GOLD grade 1 (MN n=1; MT n=3) were randomized</w:t>
      </w:r>
      <w:r>
        <w:rPr>
          <w:lang w:val="en-US"/>
        </w:rPr>
        <w:t>;</w:t>
      </w:r>
      <w:r w:rsidRPr="0050251B">
        <w:rPr>
          <w:lang w:val="en-US"/>
        </w:rPr>
        <w:t xml:space="preserve"> </w:t>
      </w:r>
      <w:proofErr w:type="spellStart"/>
      <w:r w:rsidRPr="0050251B">
        <w:rPr>
          <w:rFonts w:eastAsia="Calibri" w:cstheme="minorHAnsi"/>
          <w:bCs/>
          <w:kern w:val="24"/>
          <w:vertAlign w:val="superscript"/>
          <w:lang w:val="en-US" w:eastAsia="en-GB"/>
        </w:rPr>
        <w:t>c</w:t>
      </w:r>
      <w:r w:rsidRPr="0050251B">
        <w:rPr>
          <w:rFonts w:eastAsia="Calibri" w:cstheme="minorHAnsi"/>
          <w:bCs/>
          <w:kern w:val="24"/>
          <w:lang w:val="en-US" w:eastAsia="en-GB"/>
        </w:rPr>
        <w:t>during</w:t>
      </w:r>
      <w:proofErr w:type="spellEnd"/>
      <w:r w:rsidRPr="0050251B">
        <w:rPr>
          <w:rFonts w:eastAsia="Calibri" w:cstheme="minorHAnsi"/>
          <w:bCs/>
          <w:kern w:val="24"/>
          <w:lang w:val="en-US" w:eastAsia="en-GB"/>
        </w:rPr>
        <w:t xml:space="preserve"> the 4-week run-in period.</w:t>
      </w:r>
    </w:p>
    <w:p w14:paraId="05B90929" w14:textId="77777777" w:rsidR="00333ED3" w:rsidRDefault="00333ED3" w:rsidP="00333ED3">
      <w:pPr>
        <w:spacing w:line="259" w:lineRule="auto"/>
        <w:rPr>
          <w:lang w:val="en-US"/>
        </w:rPr>
      </w:pPr>
      <w:r w:rsidRPr="001F18A3">
        <w:rPr>
          <w:lang w:val="en-US"/>
        </w:rPr>
        <w:lastRenderedPageBreak/>
        <w:t xml:space="preserve">BDI, </w:t>
      </w:r>
      <w:r>
        <w:rPr>
          <w:lang w:val="en-US"/>
        </w:rPr>
        <w:t>B</w:t>
      </w:r>
      <w:r w:rsidRPr="001F18A3">
        <w:rPr>
          <w:lang w:val="en-US"/>
        </w:rPr>
        <w:t xml:space="preserve">aseline </w:t>
      </w:r>
      <w:r>
        <w:rPr>
          <w:lang w:val="en-US"/>
        </w:rPr>
        <w:t>D</w:t>
      </w:r>
      <w:r w:rsidRPr="001F18A3">
        <w:rPr>
          <w:lang w:val="en-US"/>
        </w:rPr>
        <w:t xml:space="preserve">yspnea </w:t>
      </w:r>
      <w:r>
        <w:rPr>
          <w:lang w:val="en-US"/>
        </w:rPr>
        <w:t>I</w:t>
      </w:r>
      <w:r w:rsidRPr="001F18A3">
        <w:rPr>
          <w:lang w:val="en-US"/>
        </w:rPr>
        <w:t>ndex; CAT, COPD Assessment Test; COPD, chronic obstructive pulmonary disease; E-RS, Evaluating Respiratory Symptoms–COPD; FEV</w:t>
      </w:r>
      <w:r w:rsidRPr="005359A7">
        <w:rPr>
          <w:vertAlign w:val="subscript"/>
          <w:lang w:val="en-US"/>
        </w:rPr>
        <w:t>1</w:t>
      </w:r>
      <w:r w:rsidRPr="001F18A3">
        <w:rPr>
          <w:lang w:val="en-US"/>
        </w:rPr>
        <w:t xml:space="preserve">; forced expiratory volume in 1 second; FVC, forced vital capacity; GOLD, Global initiative for chronic Obstructive Lung Disease; ITT, intent-to-treat; </w:t>
      </w:r>
      <w:r>
        <w:rPr>
          <w:lang w:val="en-US"/>
        </w:rPr>
        <w:br/>
      </w:r>
      <w:r w:rsidRPr="001F18A3">
        <w:rPr>
          <w:lang w:val="en-US"/>
        </w:rPr>
        <w:t>MN, maintenance-naïve; MT, maintenance-treated; SD, standard deviation; SGRQ, St George’s Respiratory Questionnaire</w:t>
      </w:r>
      <w:r>
        <w:rPr>
          <w:lang w:val="en-US"/>
        </w:rPr>
        <w:t>.</w:t>
      </w:r>
    </w:p>
    <w:p w14:paraId="4DB662E1" w14:textId="68FC35D7" w:rsidR="00FD76BB" w:rsidRDefault="00FD76BB" w:rsidP="00333ED3">
      <w:pPr>
        <w:spacing w:line="259" w:lineRule="auto"/>
        <w:rPr>
          <w:lang w:val="en-US"/>
        </w:rPr>
      </w:pPr>
    </w:p>
    <w:p w14:paraId="2EAA6CB9" w14:textId="77777777" w:rsidR="00FD76BB" w:rsidRDefault="00FD76BB" w:rsidP="00333ED3">
      <w:pPr>
        <w:spacing w:line="259" w:lineRule="auto"/>
        <w:rPr>
          <w:lang w:val="en-US"/>
        </w:rPr>
      </w:pPr>
    </w:p>
    <w:p w14:paraId="79EB6282" w14:textId="77777777" w:rsidR="00FB6EE6" w:rsidRDefault="00FB6EE6" w:rsidP="003415E8">
      <w:pPr>
        <w:spacing w:line="259" w:lineRule="auto"/>
        <w:rPr>
          <w:b/>
          <w:lang w:val="en-US"/>
        </w:rPr>
        <w:sectPr w:rsidR="00FB6EE6" w:rsidSect="00DC5FF0">
          <w:pgSz w:w="16838" w:h="11906" w:orient="landscape"/>
          <w:pgMar w:top="1440" w:right="1440" w:bottom="991" w:left="1440" w:header="708" w:footer="708" w:gutter="0"/>
          <w:cols w:space="708"/>
          <w:docGrid w:linePitch="360"/>
        </w:sectPr>
      </w:pPr>
      <w:bookmarkStart w:id="0" w:name="_Hlk68184847"/>
    </w:p>
    <w:p w14:paraId="1F6B95C3" w14:textId="6887BE1E" w:rsidR="003B0769" w:rsidRDefault="003B0769" w:rsidP="003B0769">
      <w:pPr>
        <w:spacing w:line="259" w:lineRule="auto"/>
        <w:rPr>
          <w:b/>
          <w:lang w:val="en-US"/>
        </w:rPr>
      </w:pPr>
      <w:bookmarkStart w:id="1" w:name="_Hlk29545428"/>
      <w:bookmarkEnd w:id="0"/>
      <w:r>
        <w:rPr>
          <w:b/>
          <w:lang w:val="en-US"/>
        </w:rPr>
        <w:lastRenderedPageBreak/>
        <w:t xml:space="preserve">Supplementary Table </w:t>
      </w:r>
      <w:r w:rsidR="0085546E">
        <w:rPr>
          <w:b/>
          <w:lang w:val="en-US"/>
        </w:rPr>
        <w:t>S</w:t>
      </w:r>
      <w:r>
        <w:rPr>
          <w:b/>
          <w:lang w:val="en-US"/>
        </w:rPr>
        <w:t>3</w:t>
      </w:r>
      <w:r>
        <w:rPr>
          <w:lang w:val="en-US"/>
        </w:rPr>
        <w:t xml:space="preserve"> C</w:t>
      </w:r>
      <w:r w:rsidRPr="008A765E">
        <w:rPr>
          <w:lang w:val="en-US"/>
        </w:rPr>
        <w:t>hange from baseline in lung function</w:t>
      </w:r>
      <w:r>
        <w:rPr>
          <w:lang w:val="en-US"/>
        </w:rPr>
        <w:t xml:space="preserve"> and symptoms outcomes with UMEC versus SAL</w:t>
      </w:r>
      <w:r w:rsidRPr="008A765E">
        <w:rPr>
          <w:lang w:val="en-US"/>
        </w:rPr>
        <w:t xml:space="preserve"> in MN and MT patients </w:t>
      </w:r>
      <w:r w:rsidRPr="008A765E">
        <w:rPr>
          <w:b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89"/>
        <w:gridCol w:w="2289"/>
        <w:gridCol w:w="899"/>
        <w:gridCol w:w="1390"/>
        <w:gridCol w:w="2290"/>
      </w:tblGrid>
      <w:tr w:rsidR="003B0769" w14:paraId="2F426CA3" w14:textId="77777777" w:rsidTr="003241A0">
        <w:trPr>
          <w:trHeight w:val="28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D5D15A1" w14:textId="77777777" w:rsidR="003B0769" w:rsidRDefault="003B0769" w:rsidP="003241A0">
            <w:pPr>
              <w:spacing w:line="259" w:lineRule="auto"/>
              <w:rPr>
                <w:b/>
              </w:rPr>
            </w:pPr>
          </w:p>
        </w:tc>
        <w:tc>
          <w:tcPr>
            <w:tcW w:w="54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13BFBD" w14:textId="77777777" w:rsidR="003B0769" w:rsidRDefault="003B0769" w:rsidP="003241A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MN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FB869" w14:textId="77777777" w:rsidR="003B0769" w:rsidRDefault="003B0769" w:rsidP="003241A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MT</w:t>
            </w:r>
          </w:p>
        </w:tc>
      </w:tr>
      <w:tr w:rsidR="003B0769" w14:paraId="0F230314" w14:textId="77777777" w:rsidTr="003241A0">
        <w:trPr>
          <w:trHeight w:val="52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24E708C" w14:textId="77777777" w:rsidR="003B0769" w:rsidRDefault="003B0769" w:rsidP="003241A0">
            <w:pPr>
              <w:spacing w:line="259" w:lineRule="auto"/>
              <w:rPr>
                <w:b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81B4" w14:textId="77777777" w:rsidR="003B0769" w:rsidRDefault="003B0769" w:rsidP="003241A0">
            <w:pPr>
              <w:spacing w:line="259" w:lineRule="auto"/>
              <w:jc w:val="center"/>
              <w:rPr>
                <w:b/>
              </w:rPr>
            </w:pPr>
            <w:r w:rsidRPr="008A765E">
              <w:rPr>
                <w:rFonts w:cstheme="minorHAnsi"/>
                <w:b/>
                <w:bCs/>
                <w:sz w:val="20"/>
                <w:szCs w:val="16"/>
              </w:rPr>
              <w:t xml:space="preserve">UMEC </w:t>
            </w:r>
            <w:r w:rsidRPr="008A765E">
              <w:rPr>
                <w:rFonts w:cstheme="minorHAnsi"/>
                <w:b/>
                <w:bCs/>
                <w:sz w:val="20"/>
                <w:szCs w:val="16"/>
              </w:rPr>
              <w:br/>
              <w:t>(N=250)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C9DDF" w14:textId="77777777" w:rsidR="003B0769" w:rsidRDefault="003B0769" w:rsidP="003241A0">
            <w:pPr>
              <w:spacing w:line="259" w:lineRule="auto"/>
              <w:jc w:val="center"/>
              <w:rPr>
                <w:b/>
              </w:rPr>
            </w:pPr>
            <w:r w:rsidRPr="008A765E">
              <w:rPr>
                <w:rFonts w:cstheme="minorHAnsi"/>
                <w:b/>
                <w:bCs/>
                <w:sz w:val="20"/>
                <w:szCs w:val="16"/>
              </w:rPr>
              <w:t xml:space="preserve">SAL </w:t>
            </w:r>
            <w:r w:rsidRPr="008A765E">
              <w:rPr>
                <w:rFonts w:cstheme="minorHAnsi"/>
                <w:b/>
                <w:bCs/>
                <w:sz w:val="20"/>
                <w:szCs w:val="16"/>
              </w:rPr>
              <w:br/>
              <w:t>(N=249)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158CA" w14:textId="77777777" w:rsidR="003B0769" w:rsidRDefault="003B0769" w:rsidP="003241A0">
            <w:pPr>
              <w:spacing w:line="259" w:lineRule="auto"/>
              <w:jc w:val="center"/>
              <w:rPr>
                <w:b/>
              </w:rPr>
            </w:pPr>
            <w:r w:rsidRPr="008A765E">
              <w:rPr>
                <w:rFonts w:cstheme="minorHAnsi"/>
                <w:b/>
                <w:bCs/>
                <w:sz w:val="20"/>
                <w:szCs w:val="16"/>
              </w:rPr>
              <w:t xml:space="preserve">UMEC </w:t>
            </w:r>
            <w:r w:rsidRPr="008A765E">
              <w:rPr>
                <w:rFonts w:cstheme="minorHAnsi"/>
                <w:b/>
                <w:bCs/>
                <w:sz w:val="20"/>
                <w:szCs w:val="16"/>
              </w:rPr>
              <w:br/>
              <w:t>(N=554)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822FD" w14:textId="77777777" w:rsidR="003B0769" w:rsidRDefault="003B0769" w:rsidP="003241A0">
            <w:pPr>
              <w:spacing w:line="259" w:lineRule="auto"/>
              <w:jc w:val="center"/>
              <w:rPr>
                <w:b/>
              </w:rPr>
            </w:pPr>
            <w:r w:rsidRPr="008A765E">
              <w:rPr>
                <w:rFonts w:cstheme="minorHAnsi"/>
                <w:b/>
                <w:bCs/>
                <w:sz w:val="20"/>
                <w:szCs w:val="16"/>
              </w:rPr>
              <w:t xml:space="preserve">SAL </w:t>
            </w:r>
            <w:r w:rsidRPr="008A765E">
              <w:rPr>
                <w:rFonts w:cstheme="minorHAnsi"/>
                <w:b/>
                <w:bCs/>
                <w:sz w:val="20"/>
                <w:szCs w:val="16"/>
              </w:rPr>
              <w:br/>
              <w:t>(N=560)</w:t>
            </w:r>
          </w:p>
        </w:tc>
      </w:tr>
      <w:tr w:rsidR="003B0769" w14:paraId="3DB2678C" w14:textId="77777777" w:rsidTr="003241A0">
        <w:trPr>
          <w:trHeight w:val="252"/>
        </w:trPr>
        <w:tc>
          <w:tcPr>
            <w:tcW w:w="12418" w:type="dxa"/>
            <w:gridSpan w:val="6"/>
            <w:tcBorders>
              <w:top w:val="single" w:sz="4" w:space="0" w:color="auto"/>
            </w:tcBorders>
            <w:vAlign w:val="center"/>
          </w:tcPr>
          <w:p w14:paraId="4D39CE76" w14:textId="77777777" w:rsidR="003B0769" w:rsidRPr="00CE0D88" w:rsidRDefault="003B0769" w:rsidP="003241A0">
            <w:pPr>
              <w:spacing w:line="259" w:lineRule="auto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b/>
                <w:sz w:val="20"/>
                <w:szCs w:val="20"/>
              </w:rPr>
              <w:t>Lung function outcomes</w:t>
            </w:r>
          </w:p>
        </w:tc>
      </w:tr>
      <w:tr w:rsidR="003B0769" w14:paraId="7F9D3519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003B482B" w14:textId="77777777" w:rsidR="003B0769" w:rsidRPr="00CE0D88" w:rsidRDefault="003B0769" w:rsidP="003241A0">
            <w:pPr>
              <w:spacing w:line="259" w:lineRule="auto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i/>
                <w:sz w:val="20"/>
                <w:szCs w:val="20"/>
              </w:rPr>
              <w:t>Trough FEV</w:t>
            </w:r>
            <w:r w:rsidRPr="00CE0D88">
              <w:rPr>
                <w:rFonts w:cstheme="minorHAnsi"/>
                <w:i/>
                <w:sz w:val="20"/>
                <w:szCs w:val="20"/>
                <w:vertAlign w:val="subscript"/>
              </w:rPr>
              <w:t>1</w:t>
            </w:r>
            <w:r w:rsidRPr="00CE0D88">
              <w:rPr>
                <w:rFonts w:cstheme="minorHAnsi"/>
                <w:i/>
                <w:sz w:val="20"/>
                <w:szCs w:val="20"/>
              </w:rPr>
              <w:t xml:space="preserve"> at Week 24, mL</w:t>
            </w:r>
          </w:p>
        </w:tc>
        <w:tc>
          <w:tcPr>
            <w:tcW w:w="2289" w:type="dxa"/>
          </w:tcPr>
          <w:p w14:paraId="7D4C591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7502750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7A51C76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2E5B4CC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5FE0EC34" w14:textId="77777777" w:rsidTr="003241A0">
        <w:trPr>
          <w:trHeight w:val="297"/>
        </w:trPr>
        <w:tc>
          <w:tcPr>
            <w:tcW w:w="3261" w:type="dxa"/>
            <w:vAlign w:val="center"/>
          </w:tcPr>
          <w:p w14:paraId="4D0AF2DF" w14:textId="77777777" w:rsidR="003B0769" w:rsidRPr="007F0B4D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3814395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150 (120, 181)</w:t>
            </w:r>
          </w:p>
        </w:tc>
        <w:tc>
          <w:tcPr>
            <w:tcW w:w="2289" w:type="dxa"/>
            <w:vAlign w:val="center"/>
          </w:tcPr>
          <w:p w14:paraId="7AE8A0C2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66 (36, 97)</w:t>
            </w:r>
          </w:p>
        </w:tc>
        <w:tc>
          <w:tcPr>
            <w:tcW w:w="2289" w:type="dxa"/>
            <w:gridSpan w:val="2"/>
            <w:vAlign w:val="center"/>
          </w:tcPr>
          <w:p w14:paraId="496C30B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12 (-8, 32)</w:t>
            </w:r>
          </w:p>
        </w:tc>
        <w:tc>
          <w:tcPr>
            <w:tcW w:w="2290" w:type="dxa"/>
            <w:vAlign w:val="center"/>
          </w:tcPr>
          <w:p w14:paraId="56965252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-56 (-75, -37)</w:t>
            </w:r>
          </w:p>
        </w:tc>
      </w:tr>
      <w:tr w:rsidR="003B0769" w14:paraId="56B4D7E3" w14:textId="77777777" w:rsidTr="003241A0">
        <w:trPr>
          <w:trHeight w:val="520"/>
        </w:trPr>
        <w:tc>
          <w:tcPr>
            <w:tcW w:w="3261" w:type="dxa"/>
            <w:vAlign w:val="center"/>
          </w:tcPr>
          <w:p w14:paraId="52D26D9E" w14:textId="77777777" w:rsidR="003B0769" w:rsidRPr="007F0B4D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</w:tcPr>
          <w:p w14:paraId="6DC4215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9" w:type="dxa"/>
          </w:tcPr>
          <w:p w14:paraId="1840B3E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E0D88">
              <w:rPr>
                <w:b/>
                <w:sz w:val="20"/>
                <w:szCs w:val="20"/>
              </w:rPr>
              <w:t>84 (</w:t>
            </w:r>
            <w:r>
              <w:rPr>
                <w:b/>
                <w:sz w:val="20"/>
                <w:szCs w:val="20"/>
              </w:rPr>
              <w:t>41</w:t>
            </w:r>
            <w:r w:rsidRPr="00CE0D88">
              <w:rPr>
                <w:b/>
                <w:sz w:val="20"/>
                <w:szCs w:val="20"/>
              </w:rPr>
              <w:t>, 127)</w:t>
            </w:r>
          </w:p>
          <w:p w14:paraId="05421A3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E0D88">
              <w:rPr>
                <w:b/>
                <w:i/>
                <w:iCs/>
                <w:sz w:val="20"/>
                <w:szCs w:val="20"/>
              </w:rPr>
              <w:t>P</w:t>
            </w:r>
            <w:r w:rsidRPr="00CE0D88">
              <w:rPr>
                <w:b/>
                <w:sz w:val="20"/>
                <w:szCs w:val="20"/>
              </w:rPr>
              <w:t>&lt;0.001</w:t>
            </w:r>
          </w:p>
        </w:tc>
        <w:tc>
          <w:tcPr>
            <w:tcW w:w="2289" w:type="dxa"/>
            <w:gridSpan w:val="2"/>
          </w:tcPr>
          <w:p w14:paraId="53F417B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</w:tcPr>
          <w:p w14:paraId="563E33EC" w14:textId="77777777" w:rsidR="003B0769" w:rsidRPr="004338B3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4338B3">
              <w:rPr>
                <w:b/>
                <w:sz w:val="20"/>
                <w:szCs w:val="20"/>
              </w:rPr>
              <w:t>68 (40, 95)</w:t>
            </w:r>
          </w:p>
          <w:p w14:paraId="2B5AD54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4338B3">
              <w:rPr>
                <w:b/>
                <w:i/>
                <w:iCs/>
                <w:sz w:val="20"/>
                <w:szCs w:val="20"/>
              </w:rPr>
              <w:t>P</w:t>
            </w:r>
            <w:r w:rsidRPr="004338B3">
              <w:rPr>
                <w:b/>
                <w:sz w:val="20"/>
                <w:szCs w:val="20"/>
              </w:rPr>
              <w:t>&lt;0.001</w:t>
            </w:r>
          </w:p>
        </w:tc>
      </w:tr>
      <w:tr w:rsidR="003B0769" w14:paraId="06D19243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72CB0A29" w14:textId="77777777" w:rsidR="003B0769" w:rsidRPr="00CE0D88" w:rsidRDefault="003B0769" w:rsidP="003241A0">
            <w:pPr>
              <w:spacing w:line="259" w:lineRule="auto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i/>
                <w:sz w:val="20"/>
                <w:szCs w:val="20"/>
              </w:rPr>
              <w:t>Trough FVC at Week 24, mL</w:t>
            </w:r>
          </w:p>
        </w:tc>
        <w:tc>
          <w:tcPr>
            <w:tcW w:w="2289" w:type="dxa"/>
          </w:tcPr>
          <w:p w14:paraId="7251B9E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4455F29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304867B1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64BECD29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3EEE3048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30E4CB30" w14:textId="77777777" w:rsidR="003B0769" w:rsidRPr="00CE0D88" w:rsidRDefault="003B0769" w:rsidP="003241A0">
            <w:pPr>
              <w:spacing w:line="259" w:lineRule="auto"/>
              <w:ind w:left="175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5453C8C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161 (114, 209)</w:t>
            </w:r>
          </w:p>
        </w:tc>
        <w:tc>
          <w:tcPr>
            <w:tcW w:w="2289" w:type="dxa"/>
            <w:vAlign w:val="center"/>
          </w:tcPr>
          <w:p w14:paraId="2D4A5A0E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66 (19, 114)</w:t>
            </w:r>
          </w:p>
        </w:tc>
        <w:tc>
          <w:tcPr>
            <w:tcW w:w="2289" w:type="dxa"/>
            <w:gridSpan w:val="2"/>
            <w:vAlign w:val="center"/>
          </w:tcPr>
          <w:p w14:paraId="186D83C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-8 (-40, 24)</w:t>
            </w:r>
          </w:p>
        </w:tc>
        <w:tc>
          <w:tcPr>
            <w:tcW w:w="2290" w:type="dxa"/>
            <w:vAlign w:val="center"/>
          </w:tcPr>
          <w:p w14:paraId="3C6662E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-120 (-151, -89)</w:t>
            </w:r>
          </w:p>
        </w:tc>
      </w:tr>
      <w:tr w:rsidR="003B0769" w14:paraId="1E395156" w14:textId="77777777" w:rsidTr="003241A0">
        <w:trPr>
          <w:trHeight w:val="535"/>
        </w:trPr>
        <w:tc>
          <w:tcPr>
            <w:tcW w:w="3261" w:type="dxa"/>
            <w:vAlign w:val="center"/>
          </w:tcPr>
          <w:p w14:paraId="52BF229B" w14:textId="77777777" w:rsidR="003B0769" w:rsidRPr="00CE0D88" w:rsidRDefault="003B0769" w:rsidP="003241A0">
            <w:pPr>
              <w:spacing w:line="259" w:lineRule="auto"/>
              <w:ind w:left="175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</w:tcPr>
          <w:p w14:paraId="099F761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9" w:type="dxa"/>
          </w:tcPr>
          <w:p w14:paraId="45822BC5" w14:textId="77777777" w:rsidR="003B0769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 (28, 162)</w:t>
            </w:r>
          </w:p>
          <w:p w14:paraId="2DD5EF1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4338B3">
              <w:rPr>
                <w:b/>
                <w:i/>
                <w:iCs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=0.006</w:t>
            </w:r>
          </w:p>
        </w:tc>
        <w:tc>
          <w:tcPr>
            <w:tcW w:w="2289" w:type="dxa"/>
            <w:gridSpan w:val="2"/>
          </w:tcPr>
          <w:p w14:paraId="034347D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</w:tcPr>
          <w:p w14:paraId="4727B2D6" w14:textId="77777777" w:rsidR="003B0769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 (68, 157)</w:t>
            </w:r>
          </w:p>
          <w:p w14:paraId="59048A4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E0D88">
              <w:rPr>
                <w:b/>
                <w:i/>
                <w:iCs/>
                <w:sz w:val="20"/>
                <w:szCs w:val="20"/>
              </w:rPr>
              <w:t>P</w:t>
            </w:r>
            <w:r w:rsidRPr="00CE0D88">
              <w:rPr>
                <w:b/>
                <w:sz w:val="20"/>
                <w:szCs w:val="20"/>
              </w:rPr>
              <w:t>&lt;0.001</w:t>
            </w:r>
          </w:p>
        </w:tc>
      </w:tr>
      <w:tr w:rsidR="003B0769" w14:paraId="0C9CDDA9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17F202AC" w14:textId="77777777" w:rsidR="003B0769" w:rsidRPr="00CE0D88" w:rsidRDefault="003B0769" w:rsidP="003241A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i/>
                <w:sz w:val="20"/>
                <w:szCs w:val="20"/>
              </w:rPr>
              <w:t>Trough IC at Week 24, mL</w:t>
            </w:r>
          </w:p>
        </w:tc>
        <w:tc>
          <w:tcPr>
            <w:tcW w:w="2289" w:type="dxa"/>
          </w:tcPr>
          <w:p w14:paraId="3A5D3D5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260685E0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634AAB5A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429C98C0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23F0F2A7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78F0630C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i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3914CE9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127 (80, 174)</w:t>
            </w:r>
          </w:p>
        </w:tc>
        <w:tc>
          <w:tcPr>
            <w:tcW w:w="2289" w:type="dxa"/>
            <w:vAlign w:val="center"/>
          </w:tcPr>
          <w:p w14:paraId="6E45CA1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85 (38, 131)</w:t>
            </w:r>
          </w:p>
        </w:tc>
        <w:tc>
          <w:tcPr>
            <w:tcW w:w="2289" w:type="dxa"/>
            <w:gridSpan w:val="2"/>
            <w:vAlign w:val="center"/>
          </w:tcPr>
          <w:p w14:paraId="0667F69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39 (7, 70)</w:t>
            </w:r>
          </w:p>
        </w:tc>
        <w:tc>
          <w:tcPr>
            <w:tcW w:w="2290" w:type="dxa"/>
            <w:vAlign w:val="center"/>
          </w:tcPr>
          <w:p w14:paraId="5D6C6F26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-50 (-81, -20)</w:t>
            </w:r>
          </w:p>
        </w:tc>
      </w:tr>
      <w:tr w:rsidR="003B0769" w14:paraId="0FA2AE38" w14:textId="77777777" w:rsidTr="003241A0">
        <w:trPr>
          <w:trHeight w:val="520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D99AF15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3BDE9E3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66922F6" w14:textId="77777777" w:rsidR="003B0769" w:rsidRPr="004338B3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4338B3">
              <w:rPr>
                <w:bCs/>
                <w:sz w:val="20"/>
                <w:szCs w:val="20"/>
              </w:rPr>
              <w:t>42 (-23, 108)</w:t>
            </w:r>
          </w:p>
          <w:p w14:paraId="6A6F15ED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4338B3">
              <w:rPr>
                <w:bCs/>
                <w:i/>
                <w:iCs/>
                <w:sz w:val="20"/>
                <w:szCs w:val="20"/>
              </w:rPr>
              <w:t>P</w:t>
            </w:r>
            <w:r w:rsidRPr="004338B3">
              <w:rPr>
                <w:bCs/>
                <w:sz w:val="20"/>
                <w:szCs w:val="20"/>
              </w:rPr>
              <w:t>=0.207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42A907C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99C3F99" w14:textId="77777777" w:rsidR="003B0769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 (45, 133)</w:t>
            </w:r>
          </w:p>
          <w:p w14:paraId="2A40B669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E0D88">
              <w:rPr>
                <w:b/>
                <w:i/>
                <w:iCs/>
                <w:sz w:val="20"/>
                <w:szCs w:val="20"/>
              </w:rPr>
              <w:t>P</w:t>
            </w:r>
            <w:r w:rsidRPr="00CE0D88">
              <w:rPr>
                <w:b/>
                <w:sz w:val="20"/>
                <w:szCs w:val="20"/>
              </w:rPr>
              <w:t>&lt;0.001</w:t>
            </w:r>
          </w:p>
        </w:tc>
      </w:tr>
      <w:tr w:rsidR="003B0769" w14:paraId="454B1027" w14:textId="77777777" w:rsidTr="003241A0">
        <w:trPr>
          <w:trHeight w:val="267"/>
        </w:trPr>
        <w:tc>
          <w:tcPr>
            <w:tcW w:w="12418" w:type="dxa"/>
            <w:gridSpan w:val="6"/>
            <w:tcBorders>
              <w:top w:val="single" w:sz="4" w:space="0" w:color="auto"/>
            </w:tcBorders>
            <w:vAlign w:val="center"/>
          </w:tcPr>
          <w:p w14:paraId="6F02462D" w14:textId="77777777" w:rsidR="003B0769" w:rsidRPr="00CE0D88" w:rsidRDefault="003B0769" w:rsidP="003241A0">
            <w:pPr>
              <w:spacing w:line="259" w:lineRule="auto"/>
              <w:rPr>
                <w:b/>
                <w:sz w:val="20"/>
                <w:szCs w:val="20"/>
              </w:rPr>
            </w:pPr>
            <w:r w:rsidRPr="00CE0D88">
              <w:rPr>
                <w:rFonts w:cstheme="minorHAnsi"/>
                <w:b/>
                <w:sz w:val="20"/>
                <w:szCs w:val="20"/>
              </w:rPr>
              <w:t>Symptom outcomes/severity changes</w:t>
            </w:r>
          </w:p>
        </w:tc>
      </w:tr>
      <w:tr w:rsidR="003B0769" w14:paraId="42C481C6" w14:textId="77777777" w:rsidTr="003241A0">
        <w:trPr>
          <w:trHeight w:val="261"/>
        </w:trPr>
        <w:tc>
          <w:tcPr>
            <w:tcW w:w="3261" w:type="dxa"/>
            <w:vAlign w:val="center"/>
          </w:tcPr>
          <w:p w14:paraId="6BB77FE8" w14:textId="77777777" w:rsidR="003B0769" w:rsidRPr="003A3FD4" w:rsidRDefault="003B0769" w:rsidP="003241A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SAC-TDI focal score at Week 24</w:t>
            </w:r>
          </w:p>
        </w:tc>
        <w:tc>
          <w:tcPr>
            <w:tcW w:w="2289" w:type="dxa"/>
          </w:tcPr>
          <w:p w14:paraId="79B2DC0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5DAF85A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31A74FC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7AAC65A6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692F403A" w14:textId="77777777" w:rsidTr="003241A0">
        <w:trPr>
          <w:trHeight w:val="265"/>
        </w:trPr>
        <w:tc>
          <w:tcPr>
            <w:tcW w:w="3261" w:type="dxa"/>
            <w:vAlign w:val="center"/>
          </w:tcPr>
          <w:p w14:paraId="07B35523" w14:textId="77777777" w:rsidR="003B0769" w:rsidRPr="00CE0D88" w:rsidRDefault="003B0769" w:rsidP="003241A0">
            <w:pPr>
              <w:spacing w:line="259" w:lineRule="auto"/>
              <w:ind w:left="179"/>
              <w:rPr>
                <w:rFonts w:cstheme="minorHAnsi"/>
                <w:i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05D5C8C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1.65 (1.24, 2.07)</w:t>
            </w:r>
          </w:p>
        </w:tc>
        <w:tc>
          <w:tcPr>
            <w:tcW w:w="2289" w:type="dxa"/>
            <w:vAlign w:val="center"/>
          </w:tcPr>
          <w:p w14:paraId="75844272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1.55 (1.14, 1.96)</w:t>
            </w:r>
          </w:p>
        </w:tc>
        <w:tc>
          <w:tcPr>
            <w:tcW w:w="2289" w:type="dxa"/>
            <w:gridSpan w:val="2"/>
            <w:vAlign w:val="center"/>
          </w:tcPr>
          <w:p w14:paraId="6DF60C8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1.13 (0.87, 1.39)</w:t>
            </w:r>
          </w:p>
        </w:tc>
        <w:tc>
          <w:tcPr>
            <w:tcW w:w="2290" w:type="dxa"/>
            <w:vAlign w:val="center"/>
          </w:tcPr>
          <w:p w14:paraId="134C178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1.08 (0.83, 1.34)</w:t>
            </w:r>
          </w:p>
        </w:tc>
      </w:tr>
      <w:tr w:rsidR="003B0769" w14:paraId="580DEA23" w14:textId="77777777" w:rsidTr="003241A0">
        <w:trPr>
          <w:trHeight w:val="265"/>
        </w:trPr>
        <w:tc>
          <w:tcPr>
            <w:tcW w:w="3261" w:type="dxa"/>
            <w:vAlign w:val="center"/>
          </w:tcPr>
          <w:p w14:paraId="54BFD506" w14:textId="77777777" w:rsidR="003B0769" w:rsidRPr="00CE0D88" w:rsidRDefault="003B0769" w:rsidP="003241A0">
            <w:pPr>
              <w:spacing w:line="259" w:lineRule="auto"/>
              <w:ind w:left="179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</w:tcPr>
          <w:p w14:paraId="5E5C2CD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1131BA0F" w14:textId="77777777" w:rsidR="003B0769" w:rsidRDefault="003B0769" w:rsidP="003241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201777">
              <w:rPr>
                <w:sz w:val="20"/>
                <w:szCs w:val="20"/>
              </w:rPr>
              <w:t>0.10 (-0.48, 0.69)</w:t>
            </w:r>
          </w:p>
          <w:p w14:paraId="3BBB8586" w14:textId="77777777" w:rsidR="003B0769" w:rsidRPr="00201777" w:rsidRDefault="003B0769" w:rsidP="003241A0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=0.735</w:t>
            </w:r>
          </w:p>
        </w:tc>
        <w:tc>
          <w:tcPr>
            <w:tcW w:w="2289" w:type="dxa"/>
            <w:gridSpan w:val="2"/>
          </w:tcPr>
          <w:p w14:paraId="23FE48BD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6D393314" w14:textId="77777777" w:rsidR="003B0769" w:rsidRPr="00706B9C" w:rsidRDefault="003B0769" w:rsidP="003241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706B9C">
              <w:rPr>
                <w:sz w:val="20"/>
                <w:szCs w:val="20"/>
              </w:rPr>
              <w:t>0.05 (-0.32, 0.41)</w:t>
            </w:r>
          </w:p>
          <w:p w14:paraId="46697DDA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=0.808</w:t>
            </w:r>
          </w:p>
        </w:tc>
      </w:tr>
      <w:tr w:rsidR="003B0769" w14:paraId="6D0C8F17" w14:textId="77777777" w:rsidTr="003241A0">
        <w:trPr>
          <w:trHeight w:val="265"/>
        </w:trPr>
        <w:tc>
          <w:tcPr>
            <w:tcW w:w="3261" w:type="dxa"/>
            <w:vAlign w:val="center"/>
          </w:tcPr>
          <w:p w14:paraId="28DC27AB" w14:textId="77777777" w:rsidR="003B0769" w:rsidRPr="00CE0D88" w:rsidRDefault="003B0769" w:rsidP="003241A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8A765E">
              <w:rPr>
                <w:rFonts w:cstheme="minorHAnsi"/>
                <w:i/>
                <w:sz w:val="20"/>
                <w:szCs w:val="16"/>
              </w:rPr>
              <w:t>E-RS total score at Weeks 21–24</w:t>
            </w:r>
          </w:p>
        </w:tc>
        <w:tc>
          <w:tcPr>
            <w:tcW w:w="2289" w:type="dxa"/>
            <w:vAlign w:val="center"/>
          </w:tcPr>
          <w:p w14:paraId="20EA94A1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62549F3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636D83D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vAlign w:val="center"/>
          </w:tcPr>
          <w:p w14:paraId="7B685833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50D3C4D2" w14:textId="77777777" w:rsidTr="003241A0">
        <w:trPr>
          <w:trHeight w:val="265"/>
        </w:trPr>
        <w:tc>
          <w:tcPr>
            <w:tcW w:w="3261" w:type="dxa"/>
            <w:vAlign w:val="center"/>
          </w:tcPr>
          <w:p w14:paraId="15DA5B38" w14:textId="77777777" w:rsidR="003B0769" w:rsidRPr="00DC5FF0" w:rsidRDefault="003B0769" w:rsidP="003241A0">
            <w:pPr>
              <w:spacing w:line="259" w:lineRule="auto"/>
              <w:ind w:left="179"/>
              <w:rPr>
                <w:rFonts w:cstheme="minorHAnsi"/>
                <w:sz w:val="20"/>
                <w:szCs w:val="16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74EA428A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-2.02 (-2.58, -1.46)</w:t>
            </w:r>
          </w:p>
        </w:tc>
        <w:tc>
          <w:tcPr>
            <w:tcW w:w="2289" w:type="dxa"/>
            <w:vAlign w:val="center"/>
          </w:tcPr>
          <w:p w14:paraId="5A07A81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-1.70 (-2.25, -1.14)</w:t>
            </w:r>
          </w:p>
        </w:tc>
        <w:tc>
          <w:tcPr>
            <w:tcW w:w="2289" w:type="dxa"/>
            <w:gridSpan w:val="2"/>
            <w:vAlign w:val="center"/>
          </w:tcPr>
          <w:p w14:paraId="72C91D4D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-0.52 (-0.88, -0.17)</w:t>
            </w:r>
          </w:p>
        </w:tc>
        <w:tc>
          <w:tcPr>
            <w:tcW w:w="2290" w:type="dxa"/>
            <w:vAlign w:val="center"/>
          </w:tcPr>
          <w:p w14:paraId="2875F8BA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-0.24 (-0.59, 0.11)</w:t>
            </w:r>
          </w:p>
        </w:tc>
      </w:tr>
      <w:tr w:rsidR="003B0769" w14:paraId="037C416E" w14:textId="77777777" w:rsidTr="003241A0">
        <w:trPr>
          <w:trHeight w:val="265"/>
        </w:trPr>
        <w:tc>
          <w:tcPr>
            <w:tcW w:w="3261" w:type="dxa"/>
            <w:vAlign w:val="center"/>
          </w:tcPr>
          <w:p w14:paraId="6732908B" w14:textId="77777777" w:rsidR="003B0769" w:rsidRPr="00DC5FF0" w:rsidRDefault="003B0769" w:rsidP="003241A0">
            <w:pPr>
              <w:spacing w:line="259" w:lineRule="auto"/>
              <w:ind w:left="179"/>
              <w:rPr>
                <w:rFonts w:cstheme="minorHAnsi"/>
                <w:sz w:val="20"/>
                <w:szCs w:val="16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</w:tcPr>
          <w:p w14:paraId="19DFFFB0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4160B896" w14:textId="77777777" w:rsidR="003B0769" w:rsidRPr="00706B9C" w:rsidRDefault="003B0769" w:rsidP="003241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706B9C">
              <w:rPr>
                <w:sz w:val="20"/>
                <w:szCs w:val="20"/>
              </w:rPr>
              <w:t>-0.32 (-1.11, 0.46)</w:t>
            </w:r>
          </w:p>
          <w:p w14:paraId="36962E6E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=0.421</w:t>
            </w:r>
          </w:p>
        </w:tc>
        <w:tc>
          <w:tcPr>
            <w:tcW w:w="2289" w:type="dxa"/>
            <w:gridSpan w:val="2"/>
          </w:tcPr>
          <w:p w14:paraId="3A8006EE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5C96B18D" w14:textId="77777777" w:rsidR="003B0769" w:rsidRPr="00706B9C" w:rsidRDefault="003B0769" w:rsidP="003241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706B9C">
              <w:rPr>
                <w:sz w:val="20"/>
                <w:szCs w:val="20"/>
              </w:rPr>
              <w:t>-0.28 (-0.78, 0.21)</w:t>
            </w:r>
          </w:p>
          <w:p w14:paraId="1C2646F1" w14:textId="77777777" w:rsidR="003B0769" w:rsidRPr="00706B9C" w:rsidRDefault="003B0769" w:rsidP="003241A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706B9C">
              <w:rPr>
                <w:i/>
                <w:sz w:val="20"/>
                <w:szCs w:val="20"/>
              </w:rPr>
              <w:t>P</w:t>
            </w:r>
            <w:r w:rsidRPr="00706B9C">
              <w:rPr>
                <w:sz w:val="20"/>
                <w:szCs w:val="20"/>
              </w:rPr>
              <w:t>=0.265</w:t>
            </w:r>
          </w:p>
        </w:tc>
      </w:tr>
      <w:tr w:rsidR="003B0769" w14:paraId="2B65E4E0" w14:textId="77777777" w:rsidTr="003241A0">
        <w:trPr>
          <w:trHeight w:val="520"/>
        </w:trPr>
        <w:tc>
          <w:tcPr>
            <w:tcW w:w="3261" w:type="dxa"/>
            <w:vAlign w:val="center"/>
          </w:tcPr>
          <w:p w14:paraId="50E6BD13" w14:textId="77777777" w:rsidR="003B0769" w:rsidRPr="00CE0D88" w:rsidRDefault="003B0769" w:rsidP="003241A0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 w:rsidRPr="00CE0D88">
              <w:rPr>
                <w:rFonts w:cstheme="minorHAnsi"/>
                <w:i/>
                <w:sz w:val="20"/>
                <w:szCs w:val="20"/>
              </w:rPr>
              <w:t>Rescue medication use over Weeks 1–24</w:t>
            </w:r>
          </w:p>
        </w:tc>
        <w:tc>
          <w:tcPr>
            <w:tcW w:w="2289" w:type="dxa"/>
          </w:tcPr>
          <w:p w14:paraId="3EF070D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2926F53A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569A803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0035CF7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499C288C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7F0A1F84" w14:textId="77777777" w:rsidR="003B0769" w:rsidRPr="00CE0D88" w:rsidRDefault="003B0769" w:rsidP="003241A0">
            <w:pPr>
              <w:spacing w:line="259" w:lineRule="auto"/>
              <w:rPr>
                <w:rFonts w:cstheme="minorHAnsi"/>
                <w:i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Mean inhalations/day</w:t>
            </w:r>
          </w:p>
        </w:tc>
        <w:tc>
          <w:tcPr>
            <w:tcW w:w="2289" w:type="dxa"/>
            <w:vAlign w:val="center"/>
          </w:tcPr>
          <w:p w14:paraId="426817BE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2E63B98D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42D234C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153FBF5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5F7B75A4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06CC68B1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6AD8FC01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-0.82 (-1.02, -0.62)</w:t>
            </w:r>
          </w:p>
        </w:tc>
        <w:tc>
          <w:tcPr>
            <w:tcW w:w="2289" w:type="dxa"/>
            <w:vAlign w:val="center"/>
          </w:tcPr>
          <w:p w14:paraId="2148AAED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-0.89 (-1.09, -0.69)</w:t>
            </w:r>
          </w:p>
        </w:tc>
        <w:tc>
          <w:tcPr>
            <w:tcW w:w="2289" w:type="dxa"/>
            <w:gridSpan w:val="2"/>
            <w:vAlign w:val="center"/>
          </w:tcPr>
          <w:p w14:paraId="7BD2039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-0.03 (-0.15, 0.09)</w:t>
            </w:r>
          </w:p>
        </w:tc>
        <w:tc>
          <w:tcPr>
            <w:tcW w:w="2290" w:type="dxa"/>
            <w:vAlign w:val="center"/>
          </w:tcPr>
          <w:p w14:paraId="42E17CBF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-0.06 (-0.18, 0.05)</w:t>
            </w:r>
          </w:p>
        </w:tc>
      </w:tr>
      <w:tr w:rsidR="003B0769" w14:paraId="3ED4A7D3" w14:textId="77777777" w:rsidTr="003241A0">
        <w:trPr>
          <w:trHeight w:val="520"/>
        </w:trPr>
        <w:tc>
          <w:tcPr>
            <w:tcW w:w="3261" w:type="dxa"/>
            <w:vAlign w:val="center"/>
          </w:tcPr>
          <w:p w14:paraId="1E5CEEA5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</w:tcPr>
          <w:p w14:paraId="6E3BF02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9" w:type="dxa"/>
          </w:tcPr>
          <w:p w14:paraId="0C78FB90" w14:textId="77777777" w:rsidR="003B0769" w:rsidRPr="008C72EE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8C72EE">
              <w:rPr>
                <w:bCs/>
                <w:sz w:val="20"/>
                <w:szCs w:val="20"/>
              </w:rPr>
              <w:t>0.07 (-0.22, 0.35)</w:t>
            </w:r>
          </w:p>
          <w:p w14:paraId="18576C4D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91D32">
              <w:rPr>
                <w:bCs/>
                <w:i/>
                <w:iCs/>
                <w:sz w:val="20"/>
                <w:szCs w:val="20"/>
              </w:rPr>
              <w:t>P</w:t>
            </w:r>
            <w:r w:rsidRPr="008C72EE">
              <w:rPr>
                <w:bCs/>
                <w:sz w:val="20"/>
                <w:szCs w:val="20"/>
              </w:rPr>
              <w:t>=0.634</w:t>
            </w:r>
          </w:p>
        </w:tc>
        <w:tc>
          <w:tcPr>
            <w:tcW w:w="2289" w:type="dxa"/>
            <w:gridSpan w:val="2"/>
          </w:tcPr>
          <w:p w14:paraId="6CE2872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</w:tcPr>
          <w:p w14:paraId="49680AC8" w14:textId="77777777" w:rsidR="003B0769" w:rsidRPr="008C72EE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8C72EE">
              <w:rPr>
                <w:bCs/>
                <w:sz w:val="20"/>
                <w:szCs w:val="20"/>
              </w:rPr>
              <w:t>0.03 (-0.13, 0.20)</w:t>
            </w:r>
          </w:p>
          <w:p w14:paraId="3772813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91D32">
              <w:rPr>
                <w:bCs/>
                <w:i/>
                <w:iCs/>
                <w:sz w:val="20"/>
                <w:szCs w:val="20"/>
              </w:rPr>
              <w:t>P</w:t>
            </w:r>
            <w:r w:rsidRPr="008C72EE">
              <w:rPr>
                <w:bCs/>
                <w:sz w:val="20"/>
                <w:szCs w:val="20"/>
              </w:rPr>
              <w:t>=0.686</w:t>
            </w:r>
          </w:p>
        </w:tc>
      </w:tr>
      <w:tr w:rsidR="003B0769" w14:paraId="1C0ECC0D" w14:textId="77777777" w:rsidTr="003241A0">
        <w:trPr>
          <w:trHeight w:val="297"/>
        </w:trPr>
        <w:tc>
          <w:tcPr>
            <w:tcW w:w="3261" w:type="dxa"/>
            <w:vAlign w:val="center"/>
          </w:tcPr>
          <w:p w14:paraId="7F3718FF" w14:textId="77777777" w:rsidR="003B0769" w:rsidRPr="00CE0D88" w:rsidRDefault="003B0769" w:rsidP="003241A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% rescue medication-free days</w:t>
            </w:r>
          </w:p>
        </w:tc>
        <w:tc>
          <w:tcPr>
            <w:tcW w:w="2289" w:type="dxa"/>
            <w:vAlign w:val="center"/>
          </w:tcPr>
          <w:p w14:paraId="7FC6FC8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0FD3884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411F407E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66F9E68E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03B484D7" w14:textId="77777777" w:rsidTr="003241A0">
        <w:trPr>
          <w:trHeight w:val="282"/>
        </w:trPr>
        <w:tc>
          <w:tcPr>
            <w:tcW w:w="3261" w:type="dxa"/>
            <w:vAlign w:val="center"/>
          </w:tcPr>
          <w:p w14:paraId="7EB6C8DD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LS mean CFB (95% CI)</w:t>
            </w:r>
          </w:p>
        </w:tc>
        <w:tc>
          <w:tcPr>
            <w:tcW w:w="2289" w:type="dxa"/>
            <w:vAlign w:val="center"/>
          </w:tcPr>
          <w:p w14:paraId="4544C4B0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11.</w:t>
            </w:r>
            <w:r>
              <w:rPr>
                <w:rFonts w:cstheme="minorHAnsi"/>
                <w:sz w:val="20"/>
                <w:szCs w:val="16"/>
              </w:rPr>
              <w:t>3</w:t>
            </w:r>
            <w:r w:rsidRPr="008A765E">
              <w:rPr>
                <w:rFonts w:cstheme="minorHAnsi"/>
                <w:sz w:val="20"/>
                <w:szCs w:val="16"/>
              </w:rPr>
              <w:t xml:space="preserve"> (7.2, 15.</w:t>
            </w:r>
            <w:r>
              <w:rPr>
                <w:rFonts w:cstheme="minorHAnsi"/>
                <w:sz w:val="20"/>
                <w:szCs w:val="16"/>
              </w:rPr>
              <w:t>3</w:t>
            </w:r>
            <w:r w:rsidRPr="008A765E">
              <w:rPr>
                <w:rFonts w:cstheme="minorHAnsi"/>
                <w:sz w:val="20"/>
                <w:szCs w:val="16"/>
              </w:rPr>
              <w:t>)</w:t>
            </w:r>
          </w:p>
        </w:tc>
        <w:tc>
          <w:tcPr>
            <w:tcW w:w="2289" w:type="dxa"/>
            <w:vAlign w:val="center"/>
          </w:tcPr>
          <w:p w14:paraId="7A3A7E42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13.</w:t>
            </w:r>
            <w:r>
              <w:rPr>
                <w:rFonts w:cstheme="minorHAnsi"/>
                <w:sz w:val="20"/>
                <w:szCs w:val="16"/>
              </w:rPr>
              <w:t>6</w:t>
            </w:r>
            <w:r w:rsidRPr="008A765E">
              <w:rPr>
                <w:rFonts w:cstheme="minorHAnsi"/>
                <w:sz w:val="20"/>
                <w:szCs w:val="16"/>
              </w:rPr>
              <w:t xml:space="preserve"> (9.5, 17.6)</w:t>
            </w:r>
          </w:p>
        </w:tc>
        <w:tc>
          <w:tcPr>
            <w:tcW w:w="2289" w:type="dxa"/>
            <w:gridSpan w:val="2"/>
            <w:vAlign w:val="center"/>
          </w:tcPr>
          <w:p w14:paraId="310AA084" w14:textId="406B6B7E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rFonts w:cstheme="minorHAnsi"/>
                <w:sz w:val="20"/>
                <w:szCs w:val="16"/>
              </w:rPr>
              <w:t>4.5 (</w:t>
            </w:r>
            <w:r>
              <w:rPr>
                <w:rFonts w:cstheme="minorHAnsi"/>
                <w:sz w:val="20"/>
                <w:szCs w:val="16"/>
              </w:rPr>
              <w:t>2</w:t>
            </w:r>
            <w:r w:rsidRPr="008A765E">
              <w:rPr>
                <w:rFonts w:cstheme="minorHAnsi"/>
                <w:sz w:val="20"/>
                <w:szCs w:val="16"/>
              </w:rPr>
              <w:t>.</w:t>
            </w:r>
            <w:r>
              <w:rPr>
                <w:rFonts w:cstheme="minorHAnsi"/>
                <w:sz w:val="20"/>
                <w:szCs w:val="16"/>
              </w:rPr>
              <w:t>0</w:t>
            </w:r>
            <w:r w:rsidRPr="008A765E">
              <w:rPr>
                <w:rFonts w:cstheme="minorHAnsi"/>
                <w:sz w:val="20"/>
                <w:szCs w:val="16"/>
              </w:rPr>
              <w:t xml:space="preserve">, </w:t>
            </w:r>
            <w:r w:rsidR="00510895">
              <w:rPr>
                <w:rFonts w:cstheme="minorHAnsi"/>
                <w:sz w:val="20"/>
                <w:szCs w:val="16"/>
              </w:rPr>
              <w:t>6.9</w:t>
            </w:r>
            <w:r w:rsidRPr="008A765E">
              <w:rPr>
                <w:rFonts w:cstheme="minorHAnsi"/>
                <w:sz w:val="20"/>
                <w:szCs w:val="16"/>
              </w:rPr>
              <w:t>)</w:t>
            </w:r>
          </w:p>
        </w:tc>
        <w:tc>
          <w:tcPr>
            <w:tcW w:w="2290" w:type="dxa"/>
            <w:vAlign w:val="center"/>
          </w:tcPr>
          <w:p w14:paraId="7FBCA936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16"/>
              </w:rPr>
              <w:t>5</w:t>
            </w:r>
            <w:r w:rsidRPr="008A765E">
              <w:rPr>
                <w:rFonts w:cstheme="minorHAnsi"/>
                <w:sz w:val="20"/>
                <w:szCs w:val="16"/>
              </w:rPr>
              <w:t>.</w:t>
            </w:r>
            <w:r>
              <w:rPr>
                <w:rFonts w:cstheme="minorHAnsi"/>
                <w:sz w:val="20"/>
                <w:szCs w:val="16"/>
              </w:rPr>
              <w:t>0</w:t>
            </w:r>
            <w:r w:rsidRPr="008A765E">
              <w:rPr>
                <w:rFonts w:cstheme="minorHAnsi"/>
                <w:sz w:val="20"/>
                <w:szCs w:val="16"/>
              </w:rPr>
              <w:t xml:space="preserve"> (2.</w:t>
            </w:r>
            <w:r>
              <w:rPr>
                <w:rFonts w:cstheme="minorHAnsi"/>
                <w:sz w:val="20"/>
                <w:szCs w:val="16"/>
              </w:rPr>
              <w:t>5</w:t>
            </w:r>
            <w:r w:rsidRPr="008A765E">
              <w:rPr>
                <w:rFonts w:cstheme="minorHAnsi"/>
                <w:sz w:val="20"/>
                <w:szCs w:val="16"/>
              </w:rPr>
              <w:t>, 7.4)</w:t>
            </w:r>
          </w:p>
        </w:tc>
      </w:tr>
      <w:tr w:rsidR="003B0769" w14:paraId="23D3DAB6" w14:textId="77777777" w:rsidTr="003241A0">
        <w:trPr>
          <w:trHeight w:val="520"/>
        </w:trPr>
        <w:tc>
          <w:tcPr>
            <w:tcW w:w="3261" w:type="dxa"/>
            <w:vAlign w:val="center"/>
          </w:tcPr>
          <w:p w14:paraId="3F58E846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lastRenderedPageBreak/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mean difference (95% CI)</w:t>
            </w:r>
          </w:p>
        </w:tc>
        <w:tc>
          <w:tcPr>
            <w:tcW w:w="2289" w:type="dxa"/>
          </w:tcPr>
          <w:p w14:paraId="50D399C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9" w:type="dxa"/>
          </w:tcPr>
          <w:p w14:paraId="60C0152D" w14:textId="77777777" w:rsidR="003B0769" w:rsidRPr="008C72EE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8C72EE">
              <w:rPr>
                <w:bCs/>
                <w:sz w:val="20"/>
                <w:szCs w:val="20"/>
              </w:rPr>
              <w:t>-2.3 (-8.0, 3.4)</w:t>
            </w:r>
          </w:p>
          <w:p w14:paraId="43F9590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91D32">
              <w:rPr>
                <w:bCs/>
                <w:i/>
                <w:iCs/>
                <w:sz w:val="20"/>
                <w:szCs w:val="20"/>
              </w:rPr>
              <w:t>P</w:t>
            </w:r>
            <w:r w:rsidRPr="008C72EE">
              <w:rPr>
                <w:bCs/>
                <w:sz w:val="20"/>
                <w:szCs w:val="20"/>
              </w:rPr>
              <w:t>=0.425</w:t>
            </w:r>
          </w:p>
        </w:tc>
        <w:tc>
          <w:tcPr>
            <w:tcW w:w="2289" w:type="dxa"/>
            <w:gridSpan w:val="2"/>
          </w:tcPr>
          <w:p w14:paraId="4FD9612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</w:tcPr>
          <w:p w14:paraId="6170AF17" w14:textId="77777777" w:rsidR="003B0769" w:rsidRPr="00040E50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040E50">
              <w:rPr>
                <w:bCs/>
                <w:sz w:val="20"/>
                <w:szCs w:val="20"/>
              </w:rPr>
              <w:t>-0.5 (-4.0, 3.0)</w:t>
            </w:r>
          </w:p>
          <w:p w14:paraId="3AF9FFB7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91D32">
              <w:rPr>
                <w:bCs/>
                <w:i/>
                <w:iCs/>
                <w:sz w:val="20"/>
                <w:szCs w:val="20"/>
              </w:rPr>
              <w:t>P</w:t>
            </w:r>
            <w:r w:rsidRPr="00040E50">
              <w:rPr>
                <w:bCs/>
                <w:sz w:val="20"/>
                <w:szCs w:val="20"/>
              </w:rPr>
              <w:t>=0.772</w:t>
            </w:r>
          </w:p>
        </w:tc>
      </w:tr>
      <w:tr w:rsidR="003B0769" w14:paraId="27E31323" w14:textId="77777777" w:rsidTr="003241A0">
        <w:trPr>
          <w:trHeight w:val="297"/>
        </w:trPr>
        <w:tc>
          <w:tcPr>
            <w:tcW w:w="3261" w:type="dxa"/>
            <w:vAlign w:val="center"/>
          </w:tcPr>
          <w:p w14:paraId="117A39AF" w14:textId="77777777" w:rsidR="003B0769" w:rsidRPr="00CE0D88" w:rsidRDefault="003B0769" w:rsidP="003241A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E0D88">
              <w:rPr>
                <w:rFonts w:cstheme="minorHAnsi"/>
                <w:i/>
                <w:sz w:val="20"/>
                <w:szCs w:val="20"/>
              </w:rPr>
              <w:t>GADS</w:t>
            </w:r>
            <w:r w:rsidRPr="00CE0D88">
              <w:rPr>
                <w:rFonts w:cstheme="minorHAnsi"/>
                <w:sz w:val="20"/>
                <w:szCs w:val="20"/>
                <w:vertAlign w:val="superscript"/>
              </w:rPr>
              <w:t>a</w:t>
            </w:r>
            <w:proofErr w:type="spellEnd"/>
            <w:r w:rsidRPr="00CE0D88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CE0D88">
              <w:rPr>
                <w:rFonts w:cstheme="minorHAnsi"/>
                <w:i/>
                <w:sz w:val="20"/>
                <w:szCs w:val="20"/>
              </w:rPr>
              <w:t>at Week 24</w:t>
            </w:r>
          </w:p>
        </w:tc>
        <w:tc>
          <w:tcPr>
            <w:tcW w:w="2289" w:type="dxa"/>
          </w:tcPr>
          <w:p w14:paraId="19039F94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</w:tcPr>
          <w:p w14:paraId="3B0DC2AA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14:paraId="19F1BBB1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</w:tcPr>
          <w:p w14:paraId="69BA3729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0769" w14:paraId="07125FC9" w14:textId="77777777" w:rsidTr="003241A0">
        <w:trPr>
          <w:trHeight w:val="773"/>
        </w:trPr>
        <w:tc>
          <w:tcPr>
            <w:tcW w:w="3261" w:type="dxa"/>
            <w:vAlign w:val="center"/>
          </w:tcPr>
          <w:p w14:paraId="4D61E720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i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>Proportion of patients reporting improvement from baseline at Week 24, n/N (%)</w:t>
            </w:r>
          </w:p>
        </w:tc>
        <w:tc>
          <w:tcPr>
            <w:tcW w:w="2289" w:type="dxa"/>
            <w:vAlign w:val="center"/>
          </w:tcPr>
          <w:p w14:paraId="3FECA66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sz w:val="20"/>
              </w:rPr>
              <w:t>128/196 (65)</w:t>
            </w:r>
          </w:p>
        </w:tc>
        <w:tc>
          <w:tcPr>
            <w:tcW w:w="2289" w:type="dxa"/>
            <w:vAlign w:val="center"/>
          </w:tcPr>
          <w:p w14:paraId="74B93102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sz w:val="20"/>
              </w:rPr>
              <w:t>129/206 (63)</w:t>
            </w:r>
          </w:p>
        </w:tc>
        <w:tc>
          <w:tcPr>
            <w:tcW w:w="2289" w:type="dxa"/>
            <w:gridSpan w:val="2"/>
            <w:vAlign w:val="center"/>
          </w:tcPr>
          <w:p w14:paraId="7F9A074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sz w:val="20"/>
              </w:rPr>
              <w:t>265/442 (60)</w:t>
            </w:r>
          </w:p>
        </w:tc>
        <w:tc>
          <w:tcPr>
            <w:tcW w:w="2290" w:type="dxa"/>
            <w:vAlign w:val="center"/>
          </w:tcPr>
          <w:p w14:paraId="5315D17C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A765E">
              <w:rPr>
                <w:sz w:val="20"/>
              </w:rPr>
              <w:t>284/468 (61)</w:t>
            </w:r>
          </w:p>
        </w:tc>
      </w:tr>
      <w:tr w:rsidR="003B0769" w14:paraId="3FE7C3AC" w14:textId="77777777" w:rsidTr="003241A0">
        <w:trPr>
          <w:trHeight w:val="773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6F15E69" w14:textId="77777777" w:rsidR="003B0769" w:rsidRPr="00CE0D88" w:rsidRDefault="003B0769" w:rsidP="003241A0">
            <w:pPr>
              <w:spacing w:line="259" w:lineRule="auto"/>
              <w:ind w:left="175"/>
              <w:rPr>
                <w:rFonts w:cstheme="minorHAnsi"/>
                <w:sz w:val="20"/>
                <w:szCs w:val="20"/>
              </w:rPr>
            </w:pPr>
            <w:r w:rsidRPr="00CE0D88">
              <w:rPr>
                <w:rFonts w:cstheme="minorHAnsi"/>
                <w:sz w:val="20"/>
                <w:szCs w:val="20"/>
              </w:rPr>
              <w:t xml:space="preserve">UMEC vs </w:t>
            </w:r>
            <w:r>
              <w:rPr>
                <w:rFonts w:cstheme="minorHAnsi"/>
                <w:sz w:val="20"/>
                <w:szCs w:val="20"/>
              </w:rPr>
              <w:t>SAL</w:t>
            </w:r>
            <w:r w:rsidRPr="00CE0D88">
              <w:rPr>
                <w:rFonts w:cstheme="minorHAnsi"/>
                <w:sz w:val="20"/>
                <w:szCs w:val="20"/>
              </w:rPr>
              <w:t xml:space="preserve"> ordered odds ratio for improvement in response category (95% CI)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4BFCB6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CEBA993" w14:textId="77777777" w:rsidR="003B0769" w:rsidRPr="00F91D32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F91D32">
              <w:rPr>
                <w:bCs/>
                <w:sz w:val="20"/>
                <w:szCs w:val="20"/>
              </w:rPr>
              <w:t>1.13 (0.80, 1.62</w:t>
            </w:r>
            <w:r>
              <w:rPr>
                <w:bCs/>
                <w:sz w:val="20"/>
                <w:szCs w:val="20"/>
              </w:rPr>
              <w:t>)</w:t>
            </w:r>
          </w:p>
          <w:p w14:paraId="57D56735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91D32">
              <w:rPr>
                <w:bCs/>
                <w:i/>
                <w:iCs/>
                <w:sz w:val="20"/>
                <w:szCs w:val="20"/>
              </w:rPr>
              <w:t>P</w:t>
            </w:r>
            <w:r w:rsidRPr="00F91D32">
              <w:rPr>
                <w:bCs/>
                <w:sz w:val="20"/>
                <w:szCs w:val="20"/>
              </w:rPr>
              <w:t>=0.482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0E5514B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86C7971" w14:textId="77777777" w:rsidR="003B0769" w:rsidRPr="00F91D32" w:rsidRDefault="003B0769" w:rsidP="003241A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F91D32">
              <w:rPr>
                <w:bCs/>
                <w:sz w:val="20"/>
                <w:szCs w:val="20"/>
              </w:rPr>
              <w:t>0.94 (0.74, 1.19)</w:t>
            </w:r>
          </w:p>
          <w:p w14:paraId="247BE408" w14:textId="77777777" w:rsidR="003B0769" w:rsidRPr="00CE0D88" w:rsidRDefault="003B0769" w:rsidP="003241A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91D32">
              <w:rPr>
                <w:bCs/>
                <w:i/>
                <w:iCs/>
                <w:sz w:val="20"/>
                <w:szCs w:val="20"/>
              </w:rPr>
              <w:t>P</w:t>
            </w:r>
            <w:r w:rsidRPr="00F91D32">
              <w:rPr>
                <w:bCs/>
                <w:sz w:val="20"/>
                <w:szCs w:val="20"/>
              </w:rPr>
              <w:t>=0.584</w:t>
            </w:r>
          </w:p>
        </w:tc>
      </w:tr>
    </w:tbl>
    <w:p w14:paraId="7A998842" w14:textId="31D61C97" w:rsidR="003B0769" w:rsidRDefault="001A503F" w:rsidP="00432D52">
      <w:pPr>
        <w:spacing w:line="259" w:lineRule="auto"/>
        <w:rPr>
          <w:color w:val="000000"/>
          <w:shd w:val="clear" w:color="auto" w:fill="FFFFFF"/>
          <w:lang w:val="en-US"/>
        </w:rPr>
      </w:pPr>
      <w:r>
        <w:rPr>
          <w:color w:val="000000"/>
          <w:lang w:val="en-US"/>
        </w:rPr>
        <w:t>Bold text indicates statistically significant treatment differences with UMEC/VI versus UMEC or SAL.</w:t>
      </w:r>
      <w:r w:rsidR="00432D52">
        <w:rPr>
          <w:color w:val="000000"/>
          <w:lang w:val="en-US"/>
        </w:rPr>
        <w:t xml:space="preserve"> </w:t>
      </w:r>
      <w:proofErr w:type="spellStart"/>
      <w:r w:rsidR="003B0769" w:rsidRPr="008A765E">
        <w:rPr>
          <w:color w:val="000000"/>
          <w:shd w:val="clear" w:color="auto" w:fill="FFFFFF"/>
          <w:vertAlign w:val="superscript"/>
          <w:lang w:val="en-US"/>
        </w:rPr>
        <w:t>a</w:t>
      </w:r>
      <w:r w:rsidR="003B0769" w:rsidRPr="008A765E">
        <w:rPr>
          <w:color w:val="000000"/>
          <w:shd w:val="clear" w:color="auto" w:fill="FFFFFF"/>
          <w:lang w:val="en-US"/>
        </w:rPr>
        <w:t>Overall</w:t>
      </w:r>
      <w:proofErr w:type="spellEnd"/>
      <w:r w:rsidR="003B0769" w:rsidRPr="008A765E">
        <w:rPr>
          <w:color w:val="000000"/>
          <w:shd w:val="clear" w:color="auto" w:fill="FFFFFF"/>
          <w:lang w:val="en-US"/>
        </w:rPr>
        <w:t xml:space="preserve"> assessment of change in COPD severity was rated using a seven-point Likert scale (‘Much Better’, ‘Slightly Better’, ‘Better’, ‘No Change’, ‘Slightly Worse’, ‘Worse’, ‘Much Worse’); ordered response ratios were reported as odds of better response category</w:t>
      </w:r>
      <w:r w:rsidR="00EB7893">
        <w:rPr>
          <w:color w:val="000000"/>
          <w:shd w:val="clear" w:color="auto" w:fill="FFFFFF"/>
          <w:lang w:val="en-US"/>
        </w:rPr>
        <w:t>;</w:t>
      </w:r>
      <w:r w:rsidR="003B0769">
        <w:rPr>
          <w:color w:val="000000"/>
          <w:shd w:val="clear" w:color="auto" w:fill="FFFFFF"/>
          <w:lang w:val="en-US"/>
        </w:rPr>
        <w:t xml:space="preserve"> </w:t>
      </w:r>
    </w:p>
    <w:p w14:paraId="2EB3EEEF" w14:textId="7D1A8F09" w:rsidR="00485B27" w:rsidRDefault="003B0769" w:rsidP="00166784">
      <w:pPr>
        <w:tabs>
          <w:tab w:val="left" w:pos="1770"/>
        </w:tabs>
        <w:spacing w:line="259" w:lineRule="auto"/>
        <w:rPr>
          <w:lang w:val="en-US"/>
        </w:rPr>
      </w:pPr>
      <w:r w:rsidRPr="008A765E">
        <w:rPr>
          <w:lang w:val="en-US"/>
        </w:rPr>
        <w:t xml:space="preserve">CFB, </w:t>
      </w:r>
      <w:r w:rsidRPr="008A765E">
        <w:rPr>
          <w:rFonts w:cstheme="minorHAnsi"/>
          <w:lang w:val="en-US"/>
        </w:rPr>
        <w:t xml:space="preserve">change from baseline; CI, </w:t>
      </w:r>
      <w:r w:rsidRPr="008A765E">
        <w:rPr>
          <w:rFonts w:cs="Arial"/>
          <w:lang w:val="en-US"/>
        </w:rPr>
        <w:t>confidence interval</w:t>
      </w:r>
      <w:r w:rsidRPr="008A765E">
        <w:rPr>
          <w:rFonts w:cstheme="minorHAnsi"/>
          <w:lang w:val="en-US"/>
        </w:rPr>
        <w:t>;</w:t>
      </w:r>
      <w:r w:rsidRPr="008A765E">
        <w:rPr>
          <w:lang w:val="en-US"/>
        </w:rPr>
        <w:t xml:space="preserve"> COPD, chronic obstructive pulmonary disease; </w:t>
      </w:r>
      <w:r w:rsidR="001B77AA" w:rsidRPr="001B77AA">
        <w:rPr>
          <w:lang w:val="en-US"/>
        </w:rPr>
        <w:t>E-RS, Evaluating Respiratory Symptoms-COPD;</w:t>
      </w:r>
      <w:r w:rsidR="001B77AA">
        <w:rPr>
          <w:lang w:val="en-US"/>
        </w:rPr>
        <w:t xml:space="preserve"> </w:t>
      </w:r>
      <w:r>
        <w:rPr>
          <w:lang w:val="en-US"/>
        </w:rPr>
        <w:t>FEV</w:t>
      </w:r>
      <w:r w:rsidRPr="003F312F">
        <w:rPr>
          <w:vertAlign w:val="subscript"/>
          <w:lang w:val="en-US"/>
        </w:rPr>
        <w:t>1</w:t>
      </w:r>
      <w:r>
        <w:rPr>
          <w:lang w:val="en-US"/>
        </w:rPr>
        <w:t xml:space="preserve">, forced expiratory volume in 1 second; FVC, forced vital capacity; </w:t>
      </w:r>
      <w:r w:rsidRPr="008A765E">
        <w:rPr>
          <w:lang w:val="en-US"/>
        </w:rPr>
        <w:t>GADS, global assessment of disease severity;</w:t>
      </w:r>
      <w:r>
        <w:rPr>
          <w:lang w:val="en-US"/>
        </w:rPr>
        <w:t xml:space="preserve"> IC, inspiratory capacity;</w:t>
      </w:r>
      <w:r w:rsidRPr="008A765E">
        <w:rPr>
          <w:lang w:val="en-US"/>
        </w:rPr>
        <w:t xml:space="preserve"> LS, least squares; MN, maintenance-naïve; </w:t>
      </w:r>
      <w:r w:rsidRPr="008A765E">
        <w:rPr>
          <w:szCs w:val="20"/>
          <w:lang w:val="en-US"/>
        </w:rPr>
        <w:t xml:space="preserve">MT, maintenance-treated; </w:t>
      </w:r>
      <w:r w:rsidR="00176A82" w:rsidRPr="00176A82">
        <w:rPr>
          <w:szCs w:val="20"/>
          <w:lang w:val="en-US"/>
        </w:rPr>
        <w:t xml:space="preserve">SAC-TDI, self-administered computerized Transition Dyspnea Index; </w:t>
      </w:r>
      <w:r w:rsidRPr="008A765E">
        <w:rPr>
          <w:lang w:val="en-US"/>
        </w:rPr>
        <w:t xml:space="preserve">SAL, </w:t>
      </w:r>
      <w:r w:rsidRPr="008A765E">
        <w:rPr>
          <w:rFonts w:cstheme="minorHAnsi"/>
          <w:lang w:val="en-US"/>
        </w:rPr>
        <w:t>salmeterol</w:t>
      </w:r>
      <w:r w:rsidRPr="008A765E">
        <w:rPr>
          <w:lang w:val="en-US"/>
        </w:rPr>
        <w:t xml:space="preserve">; UMEC, </w:t>
      </w:r>
      <w:r w:rsidRPr="008A765E">
        <w:rPr>
          <w:rFonts w:cstheme="minorHAnsi"/>
          <w:lang w:val="en-US"/>
        </w:rPr>
        <w:t>umeclidinium</w:t>
      </w:r>
      <w:r w:rsidRPr="008A765E">
        <w:rPr>
          <w:lang w:val="en-US"/>
        </w:rPr>
        <w:t xml:space="preserve">; VI, </w:t>
      </w:r>
      <w:r w:rsidRPr="008A765E">
        <w:rPr>
          <w:rFonts w:cstheme="minorHAnsi"/>
          <w:lang w:val="en-US"/>
        </w:rPr>
        <w:t>vilanterol.</w:t>
      </w:r>
      <w:bookmarkEnd w:id="1"/>
    </w:p>
    <w:p w14:paraId="47E2076A" w14:textId="77777777" w:rsidR="00333ED3" w:rsidRDefault="00333ED3" w:rsidP="00333ED3">
      <w:pPr>
        <w:spacing w:line="259" w:lineRule="auto"/>
        <w:rPr>
          <w:lang w:val="en-US"/>
        </w:rPr>
      </w:pPr>
    </w:p>
    <w:p w14:paraId="45433703" w14:textId="77777777" w:rsidR="00333ED3" w:rsidRDefault="00333ED3" w:rsidP="00333ED3">
      <w:pPr>
        <w:spacing w:line="259" w:lineRule="auto"/>
        <w:rPr>
          <w:lang w:val="en-US"/>
        </w:rPr>
        <w:sectPr w:rsidR="00333ED3" w:rsidSect="00F1551E">
          <w:pgSz w:w="16838" w:h="11906" w:orient="landscape"/>
          <w:pgMar w:top="1440" w:right="1440" w:bottom="991" w:left="1440" w:header="708" w:footer="708" w:gutter="0"/>
          <w:cols w:space="708"/>
          <w:docGrid w:linePitch="360"/>
        </w:sectPr>
      </w:pPr>
    </w:p>
    <w:p w14:paraId="5A82C738" w14:textId="77777777" w:rsidR="00547387" w:rsidRDefault="00547387" w:rsidP="00547387">
      <w:pPr>
        <w:spacing w:line="259" w:lineRule="auto"/>
        <w:rPr>
          <w:noProof/>
          <w:lang w:val="en-US"/>
        </w:rPr>
      </w:pPr>
      <w:r w:rsidRPr="008A765E">
        <w:rPr>
          <w:b/>
          <w:lang w:val="en-US"/>
        </w:rPr>
        <w:lastRenderedPageBreak/>
        <w:t>Supplementary Figure S</w:t>
      </w:r>
      <w:r>
        <w:rPr>
          <w:b/>
          <w:lang w:val="en-US"/>
        </w:rPr>
        <w:t xml:space="preserve">1 </w:t>
      </w:r>
      <w:r>
        <w:rPr>
          <w:noProof/>
          <w:lang w:val="en-US"/>
        </w:rPr>
        <w:t>LS mean c</w:t>
      </w:r>
      <w:r w:rsidRPr="008A765E">
        <w:rPr>
          <w:noProof/>
          <w:lang w:val="en-US"/>
        </w:rPr>
        <w:t>hange from baseline</w:t>
      </w:r>
      <w:r>
        <w:rPr>
          <w:noProof/>
          <w:lang w:val="en-US"/>
        </w:rPr>
        <w:t xml:space="preserve"> in</w:t>
      </w:r>
      <w:r w:rsidRPr="008A765E">
        <w:rPr>
          <w:noProof/>
          <w:lang w:val="en-US"/>
        </w:rPr>
        <w:t xml:space="preserve"> trough FEV</w:t>
      </w:r>
      <w:r w:rsidRPr="008A765E">
        <w:rPr>
          <w:noProof/>
          <w:vertAlign w:val="subscript"/>
          <w:lang w:val="en-US"/>
        </w:rPr>
        <w:t>1</w:t>
      </w:r>
      <w:r>
        <w:rPr>
          <w:noProof/>
          <w:vertAlign w:val="subscript"/>
          <w:lang w:val="en-US"/>
        </w:rPr>
        <w:t xml:space="preserve"> </w:t>
      </w:r>
      <w:r>
        <w:rPr>
          <w:noProof/>
          <w:lang w:val="en-US"/>
        </w:rPr>
        <w:t>at Week 4</w:t>
      </w:r>
      <w:r w:rsidRPr="008A765E">
        <w:rPr>
          <w:noProof/>
          <w:lang w:val="en-US"/>
        </w:rPr>
        <w:t>, SAC-TDI focal score</w:t>
      </w:r>
      <w:r>
        <w:rPr>
          <w:noProof/>
          <w:lang w:val="en-US"/>
        </w:rPr>
        <w:t xml:space="preserve"> at Week 4</w:t>
      </w:r>
      <w:r w:rsidRPr="008A765E">
        <w:rPr>
          <w:noProof/>
          <w:lang w:val="en-US"/>
        </w:rPr>
        <w:t xml:space="preserve">, rescue medication </w:t>
      </w:r>
      <w:r>
        <w:rPr>
          <w:noProof/>
          <w:lang w:val="en-US"/>
        </w:rPr>
        <w:t>inhalations/day over Weeks 1–4</w:t>
      </w:r>
      <w:r w:rsidRPr="008A765E">
        <w:rPr>
          <w:noProof/>
          <w:lang w:val="en-US"/>
        </w:rPr>
        <w:t>, and SGRQ score</w:t>
      </w:r>
      <w:r>
        <w:rPr>
          <w:noProof/>
          <w:lang w:val="en-US"/>
        </w:rPr>
        <w:t xml:space="preserve"> at Week 4</w:t>
      </w:r>
      <w:r w:rsidRPr="008A765E">
        <w:rPr>
          <w:noProof/>
          <w:lang w:val="en-US"/>
        </w:rPr>
        <w:t xml:space="preserve"> with UMEC/VI, UMEC, and SAL in (</w:t>
      </w:r>
      <w:r w:rsidRPr="008A765E">
        <w:rPr>
          <w:b/>
          <w:noProof/>
          <w:lang w:val="en-US"/>
        </w:rPr>
        <w:t>A</w:t>
      </w:r>
      <w:r w:rsidRPr="008A765E">
        <w:rPr>
          <w:noProof/>
          <w:lang w:val="en-US"/>
        </w:rPr>
        <w:t>) MN and (</w:t>
      </w:r>
      <w:r w:rsidRPr="008A765E">
        <w:rPr>
          <w:b/>
          <w:noProof/>
          <w:lang w:val="en-US"/>
        </w:rPr>
        <w:t>B</w:t>
      </w:r>
      <w:r w:rsidRPr="008A765E">
        <w:rPr>
          <w:noProof/>
          <w:lang w:val="en-US"/>
        </w:rPr>
        <w:t>) MT patients</w:t>
      </w:r>
    </w:p>
    <w:p w14:paraId="6621897B" w14:textId="5D184B25" w:rsidR="00547387" w:rsidRDefault="00593B52" w:rsidP="00593B52">
      <w:pPr>
        <w:spacing w:line="259" w:lineRule="auto"/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0807A2B6" wp14:editId="2B39EC6B">
            <wp:extent cx="3750232" cy="6400800"/>
            <wp:effectExtent l="0" t="0" r="317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8282" cy="643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213B" w14:textId="2CB91D17" w:rsidR="00547387" w:rsidRDefault="00547387" w:rsidP="00547387">
      <w:pPr>
        <w:spacing w:line="259" w:lineRule="auto"/>
        <w:rPr>
          <w:noProof/>
          <w:lang w:val="en-US"/>
        </w:rPr>
      </w:pPr>
      <w:r w:rsidRPr="005D6009">
        <w:rPr>
          <w:noProof/>
          <w:lang w:val="en-US"/>
        </w:rPr>
        <w:t>All values are LS mean (95% CI). Negative changes from baseline are not shown; change from baseline in in trough FEV</w:t>
      </w:r>
      <w:r w:rsidRPr="005D6009">
        <w:rPr>
          <w:noProof/>
          <w:vertAlign w:val="subscript"/>
          <w:lang w:val="en-US"/>
        </w:rPr>
        <w:t>1</w:t>
      </w:r>
      <w:r w:rsidRPr="005D6009">
        <w:rPr>
          <w:noProof/>
          <w:lang w:val="en-US"/>
        </w:rPr>
        <w:t xml:space="preserve"> at Week 4 of -</w:t>
      </w:r>
      <w:r>
        <w:rPr>
          <w:noProof/>
          <w:lang w:val="en-US"/>
        </w:rPr>
        <w:t>21</w:t>
      </w:r>
      <w:r w:rsidRPr="005D6009">
        <w:rPr>
          <w:noProof/>
          <w:lang w:val="en-US"/>
        </w:rPr>
        <w:t xml:space="preserve"> mL with SAL in the MT subgroup </w:t>
      </w:r>
      <w:r w:rsidRPr="005D6009">
        <w:rPr>
          <w:lang w:val="en-US"/>
        </w:rPr>
        <w:t xml:space="preserve">is </w:t>
      </w:r>
      <w:r w:rsidRPr="005D6009">
        <w:rPr>
          <w:noProof/>
          <w:lang w:val="en-US"/>
        </w:rPr>
        <w:t>presented as zero</w:t>
      </w:r>
      <w:r>
        <w:rPr>
          <w:noProof/>
          <w:lang w:val="en-US"/>
        </w:rPr>
        <w:t>.</w:t>
      </w:r>
      <w:r w:rsidRPr="008A765E">
        <w:rPr>
          <w:noProof/>
          <w:lang w:val="en-US"/>
        </w:rPr>
        <w:t xml:space="preserve"> </w:t>
      </w:r>
    </w:p>
    <w:p w14:paraId="469B9D57" w14:textId="77777777" w:rsidR="00547387" w:rsidRPr="008A765E" w:rsidRDefault="00547387" w:rsidP="00547387">
      <w:pPr>
        <w:spacing w:line="259" w:lineRule="auto"/>
        <w:rPr>
          <w:noProof/>
          <w:lang w:val="en-US"/>
        </w:rPr>
      </w:pPr>
      <w:r w:rsidRPr="008A765E">
        <w:rPr>
          <w:noProof/>
          <w:lang w:val="en-US"/>
        </w:rPr>
        <w:t>*</w:t>
      </w:r>
      <w:r w:rsidRPr="008A765E">
        <w:rPr>
          <w:i/>
          <w:noProof/>
          <w:lang w:val="en-US"/>
        </w:rPr>
        <w:t>P</w:t>
      </w:r>
      <w:r w:rsidRPr="008A765E">
        <w:rPr>
          <w:noProof/>
          <w:lang w:val="en-US"/>
        </w:rPr>
        <w:t xml:space="preserve">&lt;0.05 vs UMEC and </w:t>
      </w:r>
      <w:r w:rsidRPr="008A765E">
        <w:rPr>
          <w:noProof/>
          <w:vertAlign w:val="superscript"/>
          <w:lang w:val="en-US"/>
        </w:rPr>
        <w:t>†</w:t>
      </w:r>
      <w:r w:rsidRPr="008A765E">
        <w:rPr>
          <w:noProof/>
          <w:lang w:val="en-US"/>
        </w:rPr>
        <w:t>vs SAL</w:t>
      </w:r>
      <w:r>
        <w:rPr>
          <w:noProof/>
          <w:lang w:val="en-US"/>
        </w:rPr>
        <w:t>;</w:t>
      </w:r>
    </w:p>
    <w:p w14:paraId="5AEFE254" w14:textId="77777777" w:rsidR="00547387" w:rsidRDefault="00547387" w:rsidP="00547387">
      <w:pPr>
        <w:spacing w:line="259" w:lineRule="auto"/>
        <w:rPr>
          <w:rFonts w:cstheme="minorHAnsi"/>
          <w:lang w:val="en-US"/>
        </w:rPr>
      </w:pPr>
      <w:r w:rsidRPr="008A765E">
        <w:rPr>
          <w:noProof/>
          <w:lang w:val="en-US"/>
        </w:rPr>
        <w:t xml:space="preserve">CI, </w:t>
      </w:r>
      <w:r w:rsidRPr="008A765E">
        <w:rPr>
          <w:rFonts w:cs="Arial"/>
          <w:noProof/>
          <w:lang w:val="en-US"/>
        </w:rPr>
        <w:t>confidence interval</w:t>
      </w:r>
      <w:r w:rsidRPr="008A765E">
        <w:rPr>
          <w:noProof/>
          <w:lang w:val="en-US"/>
        </w:rPr>
        <w:t>; FEV</w:t>
      </w:r>
      <w:r w:rsidRPr="008A765E">
        <w:rPr>
          <w:noProof/>
          <w:vertAlign w:val="subscript"/>
          <w:lang w:val="en-US"/>
        </w:rPr>
        <w:t>1</w:t>
      </w:r>
      <w:r w:rsidRPr="008A765E">
        <w:rPr>
          <w:noProof/>
          <w:lang w:val="en-US"/>
        </w:rPr>
        <w:t xml:space="preserve">, </w:t>
      </w:r>
      <w:r w:rsidRPr="008A765E">
        <w:rPr>
          <w:rFonts w:cstheme="minorHAnsi"/>
          <w:noProof/>
          <w:color w:val="000000"/>
          <w:lang w:val="en-US"/>
        </w:rPr>
        <w:t xml:space="preserve">forced expiratory volume in 1 second; </w:t>
      </w:r>
      <w:r w:rsidRPr="008A765E">
        <w:rPr>
          <w:rFonts w:cstheme="minorHAnsi"/>
          <w:noProof/>
          <w:lang w:val="en-US"/>
        </w:rPr>
        <w:t>LS,</w:t>
      </w:r>
      <w:r w:rsidRPr="008A765E">
        <w:rPr>
          <w:noProof/>
          <w:lang w:val="en-US"/>
        </w:rPr>
        <w:t xml:space="preserve"> least squares; </w:t>
      </w:r>
      <w:r w:rsidRPr="008A765E">
        <w:rPr>
          <w:color w:val="000000"/>
          <w:shd w:val="clear" w:color="auto" w:fill="FFFFFF"/>
          <w:lang w:val="en-US"/>
        </w:rPr>
        <w:t xml:space="preserve">MN, maintenance-naïve; MT, maintenance-treated; </w:t>
      </w:r>
      <w:r w:rsidRPr="008A765E">
        <w:rPr>
          <w:lang w:val="en-US"/>
        </w:rPr>
        <w:t xml:space="preserve">SAC-TDI, self-administered computerized </w:t>
      </w:r>
      <w:r w:rsidRPr="008A765E">
        <w:rPr>
          <w:rFonts w:cs="Calibri"/>
          <w:color w:val="000000"/>
          <w:lang w:val="en-US"/>
        </w:rPr>
        <w:t>Transition Dyspnea Index;</w:t>
      </w:r>
      <w:r w:rsidRPr="008A765E">
        <w:rPr>
          <w:lang w:val="en-US"/>
        </w:rPr>
        <w:t xml:space="preserve"> </w:t>
      </w:r>
      <w:r w:rsidRPr="008A765E">
        <w:rPr>
          <w:noProof/>
          <w:lang w:val="en-US"/>
        </w:rPr>
        <w:t>S</w:t>
      </w:r>
      <w:r w:rsidRPr="008A765E">
        <w:rPr>
          <w:lang w:val="en-US"/>
        </w:rPr>
        <w:t xml:space="preserve">AL, </w:t>
      </w:r>
      <w:r w:rsidRPr="008A765E">
        <w:rPr>
          <w:rFonts w:cstheme="minorHAnsi"/>
          <w:lang w:val="en-US"/>
        </w:rPr>
        <w:t>salmeterol;</w:t>
      </w:r>
      <w:r w:rsidRPr="008A765E">
        <w:rPr>
          <w:lang w:val="en-US"/>
        </w:rPr>
        <w:t xml:space="preserve"> SGRQ, </w:t>
      </w:r>
      <w:r w:rsidRPr="008A765E">
        <w:rPr>
          <w:rFonts w:cstheme="minorHAnsi"/>
          <w:lang w:val="en-US"/>
        </w:rPr>
        <w:t>St George’s Respiratory Questionnaire;</w:t>
      </w:r>
      <w:r w:rsidRPr="008A765E">
        <w:rPr>
          <w:lang w:val="en-US"/>
        </w:rPr>
        <w:t xml:space="preserve"> UMEC, </w:t>
      </w:r>
      <w:r w:rsidRPr="008A765E">
        <w:rPr>
          <w:rFonts w:cstheme="minorHAnsi"/>
          <w:lang w:val="en-US"/>
        </w:rPr>
        <w:t>umeclidinium</w:t>
      </w:r>
      <w:r w:rsidRPr="008A765E">
        <w:rPr>
          <w:lang w:val="en-US"/>
        </w:rPr>
        <w:t xml:space="preserve">; VI, </w:t>
      </w:r>
      <w:r w:rsidRPr="008A765E">
        <w:rPr>
          <w:rFonts w:cstheme="minorHAnsi"/>
          <w:lang w:val="en-US"/>
        </w:rPr>
        <w:t>vilanterol</w:t>
      </w:r>
      <w:r>
        <w:rPr>
          <w:rFonts w:cstheme="minorHAnsi"/>
          <w:lang w:val="en-US"/>
        </w:rPr>
        <w:t>.</w:t>
      </w:r>
    </w:p>
    <w:p w14:paraId="3FCA948C" w14:textId="40B45149" w:rsidR="00547387" w:rsidRDefault="00547387" w:rsidP="00547387">
      <w:pPr>
        <w:spacing w:line="259" w:lineRule="auto"/>
        <w:rPr>
          <w:noProof/>
          <w:lang w:val="en-US"/>
        </w:rPr>
      </w:pPr>
      <w:r w:rsidRPr="008A765E">
        <w:rPr>
          <w:b/>
          <w:lang w:val="en-US"/>
        </w:rPr>
        <w:lastRenderedPageBreak/>
        <w:t>Supplementary Figure S</w:t>
      </w:r>
      <w:r>
        <w:rPr>
          <w:b/>
          <w:lang w:val="en-US"/>
        </w:rPr>
        <w:t xml:space="preserve">2 </w:t>
      </w:r>
      <w:r>
        <w:rPr>
          <w:noProof/>
          <w:lang w:val="en-US"/>
        </w:rPr>
        <w:t xml:space="preserve">LS mean </w:t>
      </w:r>
      <w:r w:rsidRPr="008A765E">
        <w:rPr>
          <w:noProof/>
          <w:lang w:val="en-US"/>
        </w:rPr>
        <w:t>trough FEV</w:t>
      </w:r>
      <w:r w:rsidRPr="008A765E">
        <w:rPr>
          <w:noProof/>
          <w:vertAlign w:val="subscript"/>
          <w:lang w:val="en-US"/>
        </w:rPr>
        <w:t>1</w:t>
      </w:r>
      <w:r>
        <w:rPr>
          <w:noProof/>
          <w:vertAlign w:val="subscript"/>
          <w:lang w:val="en-US"/>
        </w:rPr>
        <w:t xml:space="preserve"> </w:t>
      </w:r>
      <w:r>
        <w:rPr>
          <w:noProof/>
          <w:lang w:val="en-US"/>
        </w:rPr>
        <w:t>at Week 24</w:t>
      </w:r>
      <w:r w:rsidRPr="008A765E">
        <w:rPr>
          <w:noProof/>
          <w:lang w:val="en-US"/>
        </w:rPr>
        <w:t>, SAC-TDI focal score</w:t>
      </w:r>
      <w:r>
        <w:rPr>
          <w:noProof/>
          <w:lang w:val="en-US"/>
        </w:rPr>
        <w:t xml:space="preserve"> at Week 24</w:t>
      </w:r>
      <w:r w:rsidRPr="008A765E">
        <w:rPr>
          <w:noProof/>
          <w:lang w:val="en-US"/>
        </w:rPr>
        <w:t xml:space="preserve">, rescue medication </w:t>
      </w:r>
      <w:r>
        <w:rPr>
          <w:noProof/>
          <w:lang w:val="en-US"/>
        </w:rPr>
        <w:t>inhalations/day over Weeks 1–24</w:t>
      </w:r>
      <w:r w:rsidRPr="008A765E">
        <w:rPr>
          <w:noProof/>
          <w:lang w:val="en-US"/>
        </w:rPr>
        <w:t>, and SGRQ score</w:t>
      </w:r>
      <w:r>
        <w:rPr>
          <w:noProof/>
          <w:lang w:val="en-US"/>
        </w:rPr>
        <w:t xml:space="preserve"> at Week 24</w:t>
      </w:r>
      <w:r w:rsidRPr="008A765E">
        <w:rPr>
          <w:noProof/>
          <w:lang w:val="en-US"/>
        </w:rPr>
        <w:t xml:space="preserve"> with UMEC/VI, UMEC, and SAL in (</w:t>
      </w:r>
      <w:r w:rsidRPr="008A765E">
        <w:rPr>
          <w:b/>
          <w:noProof/>
          <w:lang w:val="en-US"/>
        </w:rPr>
        <w:t>A</w:t>
      </w:r>
      <w:r w:rsidRPr="008A765E">
        <w:rPr>
          <w:noProof/>
          <w:lang w:val="en-US"/>
        </w:rPr>
        <w:t>) MN and (</w:t>
      </w:r>
      <w:r w:rsidRPr="008A765E">
        <w:rPr>
          <w:b/>
          <w:noProof/>
          <w:lang w:val="en-US"/>
        </w:rPr>
        <w:t>B</w:t>
      </w:r>
      <w:r w:rsidRPr="008A765E">
        <w:rPr>
          <w:noProof/>
          <w:lang w:val="en-US"/>
        </w:rPr>
        <w:t>) MT patients</w:t>
      </w:r>
    </w:p>
    <w:p w14:paraId="609F242D" w14:textId="410CFC7D" w:rsidR="00593B52" w:rsidRDefault="00593B52" w:rsidP="00593B52">
      <w:pPr>
        <w:spacing w:line="259" w:lineRule="auto"/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2A3F2659" wp14:editId="53AEDD20">
            <wp:extent cx="3609975" cy="6150132"/>
            <wp:effectExtent l="0" t="0" r="0" b="3175"/>
            <wp:docPr id="1" name="Picture 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rada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200" cy="617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18524" w14:textId="0BBC97CD" w:rsidR="00547387" w:rsidRDefault="00547387" w:rsidP="00593B52">
      <w:pPr>
        <w:spacing w:line="259" w:lineRule="auto"/>
        <w:jc w:val="center"/>
        <w:rPr>
          <w:noProof/>
          <w:lang w:val="en-US"/>
        </w:rPr>
      </w:pPr>
    </w:p>
    <w:p w14:paraId="0A4D9E75" w14:textId="77777777" w:rsidR="00547387" w:rsidRDefault="00547387" w:rsidP="00547387">
      <w:pPr>
        <w:spacing w:line="259" w:lineRule="auto"/>
        <w:rPr>
          <w:noProof/>
          <w:lang w:val="en-US"/>
        </w:rPr>
      </w:pPr>
      <w:r w:rsidRPr="005D6009">
        <w:rPr>
          <w:noProof/>
          <w:lang w:val="en-US"/>
        </w:rPr>
        <w:t xml:space="preserve">All values are LS mean (95% CI). </w:t>
      </w:r>
    </w:p>
    <w:p w14:paraId="5EC4A2F4" w14:textId="77777777" w:rsidR="00547387" w:rsidRPr="008D4B79" w:rsidRDefault="00547387" w:rsidP="00547387">
      <w:pPr>
        <w:spacing w:line="259" w:lineRule="auto"/>
        <w:rPr>
          <w:noProof/>
          <w:lang w:val="en-US"/>
        </w:rPr>
      </w:pPr>
      <w:r w:rsidRPr="008A765E">
        <w:rPr>
          <w:noProof/>
          <w:lang w:val="en-US"/>
        </w:rPr>
        <w:t xml:space="preserve">CI, </w:t>
      </w:r>
      <w:r w:rsidRPr="008A765E">
        <w:rPr>
          <w:rFonts w:cs="Arial"/>
          <w:noProof/>
          <w:lang w:val="en-US"/>
        </w:rPr>
        <w:t>confidence interval</w:t>
      </w:r>
      <w:r w:rsidRPr="008A765E">
        <w:rPr>
          <w:noProof/>
          <w:lang w:val="en-US"/>
        </w:rPr>
        <w:t>; FEV</w:t>
      </w:r>
      <w:r w:rsidRPr="008A765E">
        <w:rPr>
          <w:noProof/>
          <w:vertAlign w:val="subscript"/>
          <w:lang w:val="en-US"/>
        </w:rPr>
        <w:t>1</w:t>
      </w:r>
      <w:r w:rsidRPr="008A765E">
        <w:rPr>
          <w:noProof/>
          <w:lang w:val="en-US"/>
        </w:rPr>
        <w:t xml:space="preserve">, </w:t>
      </w:r>
      <w:r w:rsidRPr="008A765E">
        <w:rPr>
          <w:rFonts w:cstheme="minorHAnsi"/>
          <w:noProof/>
          <w:color w:val="000000"/>
          <w:lang w:val="en-US"/>
        </w:rPr>
        <w:t xml:space="preserve">forced expiratory volume in 1 second; </w:t>
      </w:r>
      <w:r w:rsidRPr="008A765E">
        <w:rPr>
          <w:rFonts w:cstheme="minorHAnsi"/>
          <w:noProof/>
          <w:lang w:val="en-US"/>
        </w:rPr>
        <w:t>LS,</w:t>
      </w:r>
      <w:r w:rsidRPr="008A765E">
        <w:rPr>
          <w:noProof/>
          <w:lang w:val="en-US"/>
        </w:rPr>
        <w:t xml:space="preserve"> least squares; </w:t>
      </w:r>
      <w:r w:rsidRPr="008A765E">
        <w:rPr>
          <w:color w:val="000000"/>
          <w:shd w:val="clear" w:color="auto" w:fill="FFFFFF"/>
          <w:lang w:val="en-US"/>
        </w:rPr>
        <w:t xml:space="preserve">MN, maintenance-naïve; MT, maintenance-treated; </w:t>
      </w:r>
      <w:r w:rsidRPr="008A765E">
        <w:rPr>
          <w:lang w:val="en-US"/>
        </w:rPr>
        <w:t xml:space="preserve">SAC-TDI, self-administered computerized </w:t>
      </w:r>
      <w:r w:rsidRPr="008A765E">
        <w:rPr>
          <w:rFonts w:cs="Calibri"/>
          <w:color w:val="000000"/>
          <w:lang w:val="en-US"/>
        </w:rPr>
        <w:t>Transition Dyspnea Index;</w:t>
      </w:r>
      <w:r w:rsidRPr="008A765E">
        <w:rPr>
          <w:lang w:val="en-US"/>
        </w:rPr>
        <w:t xml:space="preserve"> </w:t>
      </w:r>
      <w:r w:rsidRPr="008A765E">
        <w:rPr>
          <w:noProof/>
          <w:lang w:val="en-US"/>
        </w:rPr>
        <w:t>S</w:t>
      </w:r>
      <w:r w:rsidRPr="008A765E">
        <w:rPr>
          <w:lang w:val="en-US"/>
        </w:rPr>
        <w:t xml:space="preserve">AL, </w:t>
      </w:r>
      <w:r w:rsidRPr="008A765E">
        <w:rPr>
          <w:rFonts w:cstheme="minorHAnsi"/>
          <w:lang w:val="en-US"/>
        </w:rPr>
        <w:t>salmeterol;</w:t>
      </w:r>
      <w:r w:rsidRPr="008A765E">
        <w:rPr>
          <w:lang w:val="en-US"/>
        </w:rPr>
        <w:t xml:space="preserve"> SGRQ, </w:t>
      </w:r>
      <w:r w:rsidRPr="008A765E">
        <w:rPr>
          <w:rFonts w:cstheme="minorHAnsi"/>
          <w:lang w:val="en-US"/>
        </w:rPr>
        <w:t>St George’s Respiratory Questionnaire;</w:t>
      </w:r>
      <w:r w:rsidRPr="008A765E">
        <w:rPr>
          <w:lang w:val="en-US"/>
        </w:rPr>
        <w:t xml:space="preserve"> UMEC, </w:t>
      </w:r>
      <w:r w:rsidRPr="008A765E">
        <w:rPr>
          <w:rFonts w:cstheme="minorHAnsi"/>
          <w:lang w:val="en-US"/>
        </w:rPr>
        <w:t>umeclidinium</w:t>
      </w:r>
      <w:r w:rsidRPr="008A765E">
        <w:rPr>
          <w:lang w:val="en-US"/>
        </w:rPr>
        <w:t xml:space="preserve">; VI, </w:t>
      </w:r>
      <w:r w:rsidRPr="008A765E">
        <w:rPr>
          <w:rFonts w:cstheme="minorHAnsi"/>
          <w:lang w:val="en-US"/>
        </w:rPr>
        <w:t>vilanterol</w:t>
      </w:r>
      <w:r>
        <w:rPr>
          <w:rFonts w:cstheme="minorHAnsi"/>
          <w:lang w:val="en-US"/>
        </w:rPr>
        <w:t>.</w:t>
      </w:r>
    </w:p>
    <w:p w14:paraId="652940AC" w14:textId="77777777" w:rsidR="00D47F8A" w:rsidRDefault="00D47F8A"/>
    <w:sectPr w:rsidR="00D47F8A" w:rsidSect="00DC5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6EDC" w14:textId="77777777" w:rsidR="00D10105" w:rsidRDefault="00D10105">
      <w:pPr>
        <w:spacing w:after="0" w:line="240" w:lineRule="auto"/>
      </w:pPr>
      <w:r>
        <w:separator/>
      </w:r>
    </w:p>
  </w:endnote>
  <w:endnote w:type="continuationSeparator" w:id="0">
    <w:p w14:paraId="0FC47AC3" w14:textId="77777777" w:rsidR="00D10105" w:rsidRDefault="00D1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54A5" w14:textId="77777777" w:rsidR="00D10105" w:rsidRDefault="00D10105">
      <w:pPr>
        <w:spacing w:after="0" w:line="240" w:lineRule="auto"/>
      </w:pPr>
      <w:r>
        <w:separator/>
      </w:r>
    </w:p>
  </w:footnote>
  <w:footnote w:type="continuationSeparator" w:id="0">
    <w:p w14:paraId="77D32348" w14:textId="77777777" w:rsidR="00D10105" w:rsidRDefault="00D10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D3"/>
    <w:rsid w:val="00001524"/>
    <w:rsid w:val="000058E5"/>
    <w:rsid w:val="000065ED"/>
    <w:rsid w:val="000069E3"/>
    <w:rsid w:val="0001129A"/>
    <w:rsid w:val="00012119"/>
    <w:rsid w:val="0001295F"/>
    <w:rsid w:val="00012A77"/>
    <w:rsid w:val="000137F4"/>
    <w:rsid w:val="0001535A"/>
    <w:rsid w:val="000154E5"/>
    <w:rsid w:val="00017AEB"/>
    <w:rsid w:val="000229B1"/>
    <w:rsid w:val="00022E05"/>
    <w:rsid w:val="0002658B"/>
    <w:rsid w:val="00027215"/>
    <w:rsid w:val="0002775F"/>
    <w:rsid w:val="00027B1F"/>
    <w:rsid w:val="00027F8A"/>
    <w:rsid w:val="00030160"/>
    <w:rsid w:val="00031E49"/>
    <w:rsid w:val="00032913"/>
    <w:rsid w:val="000356F6"/>
    <w:rsid w:val="00035A16"/>
    <w:rsid w:val="00035CF3"/>
    <w:rsid w:val="00035FF3"/>
    <w:rsid w:val="00036076"/>
    <w:rsid w:val="000367B1"/>
    <w:rsid w:val="00040E50"/>
    <w:rsid w:val="000418F2"/>
    <w:rsid w:val="00041D3C"/>
    <w:rsid w:val="00041E9A"/>
    <w:rsid w:val="000455F9"/>
    <w:rsid w:val="00046C3C"/>
    <w:rsid w:val="00054EFC"/>
    <w:rsid w:val="00055D90"/>
    <w:rsid w:val="00055F1E"/>
    <w:rsid w:val="00057618"/>
    <w:rsid w:val="00057D2B"/>
    <w:rsid w:val="00061215"/>
    <w:rsid w:val="00061598"/>
    <w:rsid w:val="000616FF"/>
    <w:rsid w:val="00061C48"/>
    <w:rsid w:val="00062A43"/>
    <w:rsid w:val="00062A91"/>
    <w:rsid w:val="00062F1D"/>
    <w:rsid w:val="00063441"/>
    <w:rsid w:val="00063A01"/>
    <w:rsid w:val="00065174"/>
    <w:rsid w:val="0006590A"/>
    <w:rsid w:val="000703F4"/>
    <w:rsid w:val="00072B2E"/>
    <w:rsid w:val="000734DD"/>
    <w:rsid w:val="00073DF2"/>
    <w:rsid w:val="0007580E"/>
    <w:rsid w:val="00075C33"/>
    <w:rsid w:val="00075E77"/>
    <w:rsid w:val="00077124"/>
    <w:rsid w:val="00080ADE"/>
    <w:rsid w:val="00080F30"/>
    <w:rsid w:val="00081A30"/>
    <w:rsid w:val="00081F84"/>
    <w:rsid w:val="00083CCA"/>
    <w:rsid w:val="00086352"/>
    <w:rsid w:val="00094722"/>
    <w:rsid w:val="00097ADE"/>
    <w:rsid w:val="000A03CE"/>
    <w:rsid w:val="000A0EC2"/>
    <w:rsid w:val="000A156D"/>
    <w:rsid w:val="000A46A0"/>
    <w:rsid w:val="000A561A"/>
    <w:rsid w:val="000A580A"/>
    <w:rsid w:val="000B05F1"/>
    <w:rsid w:val="000B074D"/>
    <w:rsid w:val="000B0BC6"/>
    <w:rsid w:val="000B2E76"/>
    <w:rsid w:val="000B3D36"/>
    <w:rsid w:val="000B530D"/>
    <w:rsid w:val="000B64E5"/>
    <w:rsid w:val="000B7074"/>
    <w:rsid w:val="000C148F"/>
    <w:rsid w:val="000C15A0"/>
    <w:rsid w:val="000C2928"/>
    <w:rsid w:val="000C2A52"/>
    <w:rsid w:val="000C36F5"/>
    <w:rsid w:val="000C4455"/>
    <w:rsid w:val="000C4516"/>
    <w:rsid w:val="000C4A93"/>
    <w:rsid w:val="000C4C29"/>
    <w:rsid w:val="000C4C46"/>
    <w:rsid w:val="000C5427"/>
    <w:rsid w:val="000C7352"/>
    <w:rsid w:val="000C7552"/>
    <w:rsid w:val="000D06BE"/>
    <w:rsid w:val="000D1812"/>
    <w:rsid w:val="000D1A6B"/>
    <w:rsid w:val="000E05D2"/>
    <w:rsid w:val="000E0862"/>
    <w:rsid w:val="000E0EC2"/>
    <w:rsid w:val="000E37C4"/>
    <w:rsid w:val="000E5A17"/>
    <w:rsid w:val="000E62A0"/>
    <w:rsid w:val="000E68C4"/>
    <w:rsid w:val="000E6E33"/>
    <w:rsid w:val="000F1A50"/>
    <w:rsid w:val="000F1B98"/>
    <w:rsid w:val="000F2005"/>
    <w:rsid w:val="000F48FA"/>
    <w:rsid w:val="000F6353"/>
    <w:rsid w:val="00100D85"/>
    <w:rsid w:val="0010112B"/>
    <w:rsid w:val="001018A3"/>
    <w:rsid w:val="00101A90"/>
    <w:rsid w:val="00101D60"/>
    <w:rsid w:val="001046FF"/>
    <w:rsid w:val="001122B6"/>
    <w:rsid w:val="00112A26"/>
    <w:rsid w:val="001162FC"/>
    <w:rsid w:val="00120FFB"/>
    <w:rsid w:val="00121F8E"/>
    <w:rsid w:val="00124201"/>
    <w:rsid w:val="001242C4"/>
    <w:rsid w:val="001246AA"/>
    <w:rsid w:val="00124A69"/>
    <w:rsid w:val="00125AD5"/>
    <w:rsid w:val="00126F8E"/>
    <w:rsid w:val="0013083B"/>
    <w:rsid w:val="00130C21"/>
    <w:rsid w:val="001359FB"/>
    <w:rsid w:val="00137424"/>
    <w:rsid w:val="001378EB"/>
    <w:rsid w:val="001379AA"/>
    <w:rsid w:val="001538B0"/>
    <w:rsid w:val="001550E6"/>
    <w:rsid w:val="00160316"/>
    <w:rsid w:val="00160FA9"/>
    <w:rsid w:val="0016159B"/>
    <w:rsid w:val="0016291F"/>
    <w:rsid w:val="00163B02"/>
    <w:rsid w:val="00163D20"/>
    <w:rsid w:val="00164B96"/>
    <w:rsid w:val="001651F6"/>
    <w:rsid w:val="00166784"/>
    <w:rsid w:val="00166E6D"/>
    <w:rsid w:val="00167343"/>
    <w:rsid w:val="00170E77"/>
    <w:rsid w:val="0017258A"/>
    <w:rsid w:val="001747E0"/>
    <w:rsid w:val="00175013"/>
    <w:rsid w:val="001758ED"/>
    <w:rsid w:val="00176A82"/>
    <w:rsid w:val="0017751A"/>
    <w:rsid w:val="00180B1A"/>
    <w:rsid w:val="0018446B"/>
    <w:rsid w:val="001860F0"/>
    <w:rsid w:val="0019096B"/>
    <w:rsid w:val="001941EA"/>
    <w:rsid w:val="001950B2"/>
    <w:rsid w:val="001A0C27"/>
    <w:rsid w:val="001A1D2B"/>
    <w:rsid w:val="001A2F50"/>
    <w:rsid w:val="001A3CD5"/>
    <w:rsid w:val="001A3D3E"/>
    <w:rsid w:val="001A503F"/>
    <w:rsid w:val="001A5081"/>
    <w:rsid w:val="001A5164"/>
    <w:rsid w:val="001A5CF9"/>
    <w:rsid w:val="001A63BF"/>
    <w:rsid w:val="001A76C8"/>
    <w:rsid w:val="001B06B2"/>
    <w:rsid w:val="001B1749"/>
    <w:rsid w:val="001B422C"/>
    <w:rsid w:val="001B4FAC"/>
    <w:rsid w:val="001B672E"/>
    <w:rsid w:val="001B72E1"/>
    <w:rsid w:val="001B7391"/>
    <w:rsid w:val="001B77AA"/>
    <w:rsid w:val="001B7BD5"/>
    <w:rsid w:val="001C2308"/>
    <w:rsid w:val="001C27E6"/>
    <w:rsid w:val="001C551D"/>
    <w:rsid w:val="001C612B"/>
    <w:rsid w:val="001C6184"/>
    <w:rsid w:val="001C6588"/>
    <w:rsid w:val="001C6BA8"/>
    <w:rsid w:val="001C7147"/>
    <w:rsid w:val="001D09EE"/>
    <w:rsid w:val="001D0D02"/>
    <w:rsid w:val="001D3C96"/>
    <w:rsid w:val="001D449B"/>
    <w:rsid w:val="001D49B5"/>
    <w:rsid w:val="001D59EC"/>
    <w:rsid w:val="001D7B57"/>
    <w:rsid w:val="001E1A04"/>
    <w:rsid w:val="001E2F66"/>
    <w:rsid w:val="001E3074"/>
    <w:rsid w:val="001E4DD6"/>
    <w:rsid w:val="001E579E"/>
    <w:rsid w:val="001E72D0"/>
    <w:rsid w:val="001E7DAB"/>
    <w:rsid w:val="001F020C"/>
    <w:rsid w:val="001F1541"/>
    <w:rsid w:val="001F1FBB"/>
    <w:rsid w:val="001F25D4"/>
    <w:rsid w:val="001F2A6A"/>
    <w:rsid w:val="001F3576"/>
    <w:rsid w:val="001F39E1"/>
    <w:rsid w:val="001F511F"/>
    <w:rsid w:val="001F7358"/>
    <w:rsid w:val="001F7866"/>
    <w:rsid w:val="001F79AA"/>
    <w:rsid w:val="002006CD"/>
    <w:rsid w:val="00201777"/>
    <w:rsid w:val="002030F9"/>
    <w:rsid w:val="0020382A"/>
    <w:rsid w:val="002039D2"/>
    <w:rsid w:val="00203CB1"/>
    <w:rsid w:val="00205CFE"/>
    <w:rsid w:val="0021004B"/>
    <w:rsid w:val="00210F3A"/>
    <w:rsid w:val="00214B60"/>
    <w:rsid w:val="00215BE5"/>
    <w:rsid w:val="002161D8"/>
    <w:rsid w:val="002161EE"/>
    <w:rsid w:val="00216E31"/>
    <w:rsid w:val="0022123C"/>
    <w:rsid w:val="002216CA"/>
    <w:rsid w:val="00221724"/>
    <w:rsid w:val="002217F5"/>
    <w:rsid w:val="0022440C"/>
    <w:rsid w:val="0022447E"/>
    <w:rsid w:val="0022605D"/>
    <w:rsid w:val="00227D18"/>
    <w:rsid w:val="0023026C"/>
    <w:rsid w:val="0023175F"/>
    <w:rsid w:val="0023179D"/>
    <w:rsid w:val="00233724"/>
    <w:rsid w:val="00234701"/>
    <w:rsid w:val="00234D20"/>
    <w:rsid w:val="00235046"/>
    <w:rsid w:val="002355F8"/>
    <w:rsid w:val="0023761F"/>
    <w:rsid w:val="002407CA"/>
    <w:rsid w:val="00240C17"/>
    <w:rsid w:val="00241BF3"/>
    <w:rsid w:val="00244EF9"/>
    <w:rsid w:val="0024677B"/>
    <w:rsid w:val="00247D1C"/>
    <w:rsid w:val="00250505"/>
    <w:rsid w:val="00250B72"/>
    <w:rsid w:val="002549F3"/>
    <w:rsid w:val="00255044"/>
    <w:rsid w:val="00256B03"/>
    <w:rsid w:val="00256B84"/>
    <w:rsid w:val="002576B2"/>
    <w:rsid w:val="00257994"/>
    <w:rsid w:val="00257B04"/>
    <w:rsid w:val="00261B2D"/>
    <w:rsid w:val="00261E0A"/>
    <w:rsid w:val="00261FF4"/>
    <w:rsid w:val="00264A11"/>
    <w:rsid w:val="00265599"/>
    <w:rsid w:val="00266D18"/>
    <w:rsid w:val="00266D86"/>
    <w:rsid w:val="00270D0A"/>
    <w:rsid w:val="002720C2"/>
    <w:rsid w:val="002742E7"/>
    <w:rsid w:val="002772C9"/>
    <w:rsid w:val="0027797F"/>
    <w:rsid w:val="00280338"/>
    <w:rsid w:val="00283897"/>
    <w:rsid w:val="00283D88"/>
    <w:rsid w:val="00284A82"/>
    <w:rsid w:val="00286A1E"/>
    <w:rsid w:val="00287D1D"/>
    <w:rsid w:val="002908C4"/>
    <w:rsid w:val="002920B5"/>
    <w:rsid w:val="002938EC"/>
    <w:rsid w:val="002A186D"/>
    <w:rsid w:val="002A2508"/>
    <w:rsid w:val="002A3D9C"/>
    <w:rsid w:val="002A4AAF"/>
    <w:rsid w:val="002A7F18"/>
    <w:rsid w:val="002B09FC"/>
    <w:rsid w:val="002B0F76"/>
    <w:rsid w:val="002B11AE"/>
    <w:rsid w:val="002B13E5"/>
    <w:rsid w:val="002B2C26"/>
    <w:rsid w:val="002C0189"/>
    <w:rsid w:val="002C01B1"/>
    <w:rsid w:val="002C065B"/>
    <w:rsid w:val="002C08F0"/>
    <w:rsid w:val="002C0E2D"/>
    <w:rsid w:val="002C1E67"/>
    <w:rsid w:val="002C3255"/>
    <w:rsid w:val="002C36B2"/>
    <w:rsid w:val="002C4570"/>
    <w:rsid w:val="002C53B4"/>
    <w:rsid w:val="002C6D48"/>
    <w:rsid w:val="002C760D"/>
    <w:rsid w:val="002D0B42"/>
    <w:rsid w:val="002D1266"/>
    <w:rsid w:val="002D2164"/>
    <w:rsid w:val="002D559E"/>
    <w:rsid w:val="002D685D"/>
    <w:rsid w:val="002E1252"/>
    <w:rsid w:val="002E234F"/>
    <w:rsid w:val="002E27B7"/>
    <w:rsid w:val="002E3F56"/>
    <w:rsid w:val="002E5420"/>
    <w:rsid w:val="002E5F8C"/>
    <w:rsid w:val="002F4B26"/>
    <w:rsid w:val="003003D8"/>
    <w:rsid w:val="0030082C"/>
    <w:rsid w:val="00301A7A"/>
    <w:rsid w:val="00304C12"/>
    <w:rsid w:val="0030687F"/>
    <w:rsid w:val="0030714C"/>
    <w:rsid w:val="003072EC"/>
    <w:rsid w:val="00311980"/>
    <w:rsid w:val="003140C5"/>
    <w:rsid w:val="0031437A"/>
    <w:rsid w:val="00314413"/>
    <w:rsid w:val="003152A0"/>
    <w:rsid w:val="0031588E"/>
    <w:rsid w:val="00315B9D"/>
    <w:rsid w:val="00316894"/>
    <w:rsid w:val="003173D3"/>
    <w:rsid w:val="003219BF"/>
    <w:rsid w:val="00321D62"/>
    <w:rsid w:val="00323D0B"/>
    <w:rsid w:val="0032481D"/>
    <w:rsid w:val="00326329"/>
    <w:rsid w:val="00333160"/>
    <w:rsid w:val="00333ED3"/>
    <w:rsid w:val="003346E8"/>
    <w:rsid w:val="0033473A"/>
    <w:rsid w:val="00334D44"/>
    <w:rsid w:val="003369EE"/>
    <w:rsid w:val="003415E8"/>
    <w:rsid w:val="003428EC"/>
    <w:rsid w:val="00343813"/>
    <w:rsid w:val="00346819"/>
    <w:rsid w:val="00351631"/>
    <w:rsid w:val="00351D06"/>
    <w:rsid w:val="00352F4E"/>
    <w:rsid w:val="0035329C"/>
    <w:rsid w:val="00353EDF"/>
    <w:rsid w:val="0035733C"/>
    <w:rsid w:val="003609ED"/>
    <w:rsid w:val="00361A3F"/>
    <w:rsid w:val="00362EC6"/>
    <w:rsid w:val="00363DE4"/>
    <w:rsid w:val="0037014E"/>
    <w:rsid w:val="00370330"/>
    <w:rsid w:val="0037127D"/>
    <w:rsid w:val="00374AB5"/>
    <w:rsid w:val="00375B79"/>
    <w:rsid w:val="003768B2"/>
    <w:rsid w:val="00376D3D"/>
    <w:rsid w:val="003809A1"/>
    <w:rsid w:val="0038114F"/>
    <w:rsid w:val="00382A30"/>
    <w:rsid w:val="00382D45"/>
    <w:rsid w:val="00382E49"/>
    <w:rsid w:val="00385B76"/>
    <w:rsid w:val="003862A9"/>
    <w:rsid w:val="0038641C"/>
    <w:rsid w:val="003904DE"/>
    <w:rsid w:val="00394992"/>
    <w:rsid w:val="00395E65"/>
    <w:rsid w:val="003973CC"/>
    <w:rsid w:val="003A1978"/>
    <w:rsid w:val="003A1BDD"/>
    <w:rsid w:val="003A25E8"/>
    <w:rsid w:val="003A3FD4"/>
    <w:rsid w:val="003A41BD"/>
    <w:rsid w:val="003A479E"/>
    <w:rsid w:val="003A583A"/>
    <w:rsid w:val="003A7441"/>
    <w:rsid w:val="003A7764"/>
    <w:rsid w:val="003A7EA9"/>
    <w:rsid w:val="003B0769"/>
    <w:rsid w:val="003B23DB"/>
    <w:rsid w:val="003B346C"/>
    <w:rsid w:val="003B348C"/>
    <w:rsid w:val="003B5E41"/>
    <w:rsid w:val="003C1DFE"/>
    <w:rsid w:val="003C5F01"/>
    <w:rsid w:val="003C693D"/>
    <w:rsid w:val="003C6D16"/>
    <w:rsid w:val="003C6FBE"/>
    <w:rsid w:val="003C72F9"/>
    <w:rsid w:val="003D04CE"/>
    <w:rsid w:val="003D3989"/>
    <w:rsid w:val="003D44CB"/>
    <w:rsid w:val="003D45AA"/>
    <w:rsid w:val="003D6298"/>
    <w:rsid w:val="003D768D"/>
    <w:rsid w:val="003E1B5E"/>
    <w:rsid w:val="003E227A"/>
    <w:rsid w:val="003E24C3"/>
    <w:rsid w:val="003E2712"/>
    <w:rsid w:val="003E414A"/>
    <w:rsid w:val="003E47FF"/>
    <w:rsid w:val="003E4B83"/>
    <w:rsid w:val="003F1754"/>
    <w:rsid w:val="003F1889"/>
    <w:rsid w:val="003F22EC"/>
    <w:rsid w:val="003F34B3"/>
    <w:rsid w:val="003F36A7"/>
    <w:rsid w:val="003F4534"/>
    <w:rsid w:val="003F5A0D"/>
    <w:rsid w:val="00401B0F"/>
    <w:rsid w:val="00401D9B"/>
    <w:rsid w:val="00404695"/>
    <w:rsid w:val="00404BD5"/>
    <w:rsid w:val="00404F5E"/>
    <w:rsid w:val="004064E3"/>
    <w:rsid w:val="004069E9"/>
    <w:rsid w:val="004073DF"/>
    <w:rsid w:val="00411745"/>
    <w:rsid w:val="00414640"/>
    <w:rsid w:val="00415E31"/>
    <w:rsid w:val="0041649B"/>
    <w:rsid w:val="004171AE"/>
    <w:rsid w:val="004172A2"/>
    <w:rsid w:val="004177EB"/>
    <w:rsid w:val="00420207"/>
    <w:rsid w:val="00420637"/>
    <w:rsid w:val="00420E5E"/>
    <w:rsid w:val="0042163F"/>
    <w:rsid w:val="004237E4"/>
    <w:rsid w:val="00426BE9"/>
    <w:rsid w:val="00430656"/>
    <w:rsid w:val="00431FD9"/>
    <w:rsid w:val="00432D52"/>
    <w:rsid w:val="004338B3"/>
    <w:rsid w:val="00435289"/>
    <w:rsid w:val="00435566"/>
    <w:rsid w:val="004355C6"/>
    <w:rsid w:val="00435752"/>
    <w:rsid w:val="00435C7F"/>
    <w:rsid w:val="00435E17"/>
    <w:rsid w:val="00437166"/>
    <w:rsid w:val="0044165B"/>
    <w:rsid w:val="00442175"/>
    <w:rsid w:val="004424AE"/>
    <w:rsid w:val="00443FA2"/>
    <w:rsid w:val="004457A3"/>
    <w:rsid w:val="00446BD8"/>
    <w:rsid w:val="004474A9"/>
    <w:rsid w:val="004502BB"/>
    <w:rsid w:val="00450435"/>
    <w:rsid w:val="0045078E"/>
    <w:rsid w:val="004511CC"/>
    <w:rsid w:val="004516D8"/>
    <w:rsid w:val="00452C4E"/>
    <w:rsid w:val="00452D18"/>
    <w:rsid w:val="00454875"/>
    <w:rsid w:val="00455735"/>
    <w:rsid w:val="00456AE7"/>
    <w:rsid w:val="00457501"/>
    <w:rsid w:val="004603FC"/>
    <w:rsid w:val="004608C6"/>
    <w:rsid w:val="0046264D"/>
    <w:rsid w:val="004633DF"/>
    <w:rsid w:val="00464989"/>
    <w:rsid w:val="00464E9A"/>
    <w:rsid w:val="004677F3"/>
    <w:rsid w:val="0047068D"/>
    <w:rsid w:val="00472167"/>
    <w:rsid w:val="0047228E"/>
    <w:rsid w:val="004737BC"/>
    <w:rsid w:val="00476AA2"/>
    <w:rsid w:val="0047719E"/>
    <w:rsid w:val="0048079B"/>
    <w:rsid w:val="00482807"/>
    <w:rsid w:val="00482ACB"/>
    <w:rsid w:val="00482E71"/>
    <w:rsid w:val="004835FE"/>
    <w:rsid w:val="00485546"/>
    <w:rsid w:val="00485B27"/>
    <w:rsid w:val="00485E51"/>
    <w:rsid w:val="0048686C"/>
    <w:rsid w:val="00486F51"/>
    <w:rsid w:val="00487011"/>
    <w:rsid w:val="00487607"/>
    <w:rsid w:val="00493DF6"/>
    <w:rsid w:val="00494684"/>
    <w:rsid w:val="00495464"/>
    <w:rsid w:val="00496624"/>
    <w:rsid w:val="004A47FD"/>
    <w:rsid w:val="004A56CB"/>
    <w:rsid w:val="004A6097"/>
    <w:rsid w:val="004A6BB0"/>
    <w:rsid w:val="004A6E02"/>
    <w:rsid w:val="004B0564"/>
    <w:rsid w:val="004B2216"/>
    <w:rsid w:val="004B3208"/>
    <w:rsid w:val="004B39BD"/>
    <w:rsid w:val="004B3C7E"/>
    <w:rsid w:val="004B4018"/>
    <w:rsid w:val="004B4A50"/>
    <w:rsid w:val="004B7F7E"/>
    <w:rsid w:val="004C07C6"/>
    <w:rsid w:val="004C236B"/>
    <w:rsid w:val="004C2C05"/>
    <w:rsid w:val="004C3414"/>
    <w:rsid w:val="004C5EC6"/>
    <w:rsid w:val="004C7E88"/>
    <w:rsid w:val="004D05EC"/>
    <w:rsid w:val="004D2F38"/>
    <w:rsid w:val="004D3DA9"/>
    <w:rsid w:val="004D5504"/>
    <w:rsid w:val="004D5D45"/>
    <w:rsid w:val="004D5D62"/>
    <w:rsid w:val="004D61F8"/>
    <w:rsid w:val="004D65E1"/>
    <w:rsid w:val="004D698E"/>
    <w:rsid w:val="004D6E14"/>
    <w:rsid w:val="004D7B4C"/>
    <w:rsid w:val="004E3022"/>
    <w:rsid w:val="004E39D9"/>
    <w:rsid w:val="004E6B83"/>
    <w:rsid w:val="004E79C4"/>
    <w:rsid w:val="004F084B"/>
    <w:rsid w:val="004F0CB5"/>
    <w:rsid w:val="004F1418"/>
    <w:rsid w:val="004F1578"/>
    <w:rsid w:val="004F1650"/>
    <w:rsid w:val="004F20DB"/>
    <w:rsid w:val="004F4B54"/>
    <w:rsid w:val="004F56B2"/>
    <w:rsid w:val="004F56E7"/>
    <w:rsid w:val="004F6029"/>
    <w:rsid w:val="004F6184"/>
    <w:rsid w:val="004F6C98"/>
    <w:rsid w:val="004F6F83"/>
    <w:rsid w:val="004F7661"/>
    <w:rsid w:val="004F7706"/>
    <w:rsid w:val="004F7A72"/>
    <w:rsid w:val="00500A99"/>
    <w:rsid w:val="005018C0"/>
    <w:rsid w:val="0050209A"/>
    <w:rsid w:val="005031C5"/>
    <w:rsid w:val="00503452"/>
    <w:rsid w:val="005064D0"/>
    <w:rsid w:val="00507090"/>
    <w:rsid w:val="005070E4"/>
    <w:rsid w:val="005107A7"/>
    <w:rsid w:val="00510895"/>
    <w:rsid w:val="005134E1"/>
    <w:rsid w:val="0051454C"/>
    <w:rsid w:val="00514C12"/>
    <w:rsid w:val="00515065"/>
    <w:rsid w:val="00516756"/>
    <w:rsid w:val="00516C38"/>
    <w:rsid w:val="00516CF8"/>
    <w:rsid w:val="00517E47"/>
    <w:rsid w:val="005216F4"/>
    <w:rsid w:val="00522637"/>
    <w:rsid w:val="005243D0"/>
    <w:rsid w:val="005244CF"/>
    <w:rsid w:val="005274BB"/>
    <w:rsid w:val="005275CE"/>
    <w:rsid w:val="005278D5"/>
    <w:rsid w:val="00527CC4"/>
    <w:rsid w:val="005309BD"/>
    <w:rsid w:val="005311FF"/>
    <w:rsid w:val="00535377"/>
    <w:rsid w:val="005359A7"/>
    <w:rsid w:val="00536F3C"/>
    <w:rsid w:val="00543F2E"/>
    <w:rsid w:val="005441AD"/>
    <w:rsid w:val="00544750"/>
    <w:rsid w:val="00544F70"/>
    <w:rsid w:val="00545653"/>
    <w:rsid w:val="005458C7"/>
    <w:rsid w:val="00545DA1"/>
    <w:rsid w:val="00547387"/>
    <w:rsid w:val="00547506"/>
    <w:rsid w:val="005529A4"/>
    <w:rsid w:val="00555A81"/>
    <w:rsid w:val="0055731C"/>
    <w:rsid w:val="00557845"/>
    <w:rsid w:val="005624E3"/>
    <w:rsid w:val="00563C9B"/>
    <w:rsid w:val="00563D96"/>
    <w:rsid w:val="0056458E"/>
    <w:rsid w:val="005662E1"/>
    <w:rsid w:val="00572B14"/>
    <w:rsid w:val="005740BC"/>
    <w:rsid w:val="00575B23"/>
    <w:rsid w:val="00577450"/>
    <w:rsid w:val="00577829"/>
    <w:rsid w:val="005819B7"/>
    <w:rsid w:val="00581AA2"/>
    <w:rsid w:val="005833F5"/>
    <w:rsid w:val="00585B4F"/>
    <w:rsid w:val="00585C76"/>
    <w:rsid w:val="00585E8C"/>
    <w:rsid w:val="00587AFB"/>
    <w:rsid w:val="00590721"/>
    <w:rsid w:val="00591D39"/>
    <w:rsid w:val="00592842"/>
    <w:rsid w:val="00593B52"/>
    <w:rsid w:val="00594DB6"/>
    <w:rsid w:val="00595A8B"/>
    <w:rsid w:val="005A2329"/>
    <w:rsid w:val="005A6418"/>
    <w:rsid w:val="005B3B18"/>
    <w:rsid w:val="005B4A7F"/>
    <w:rsid w:val="005B6829"/>
    <w:rsid w:val="005B6EC0"/>
    <w:rsid w:val="005C26C2"/>
    <w:rsid w:val="005C27E7"/>
    <w:rsid w:val="005C2BED"/>
    <w:rsid w:val="005C3704"/>
    <w:rsid w:val="005C49B2"/>
    <w:rsid w:val="005C5148"/>
    <w:rsid w:val="005C5368"/>
    <w:rsid w:val="005C598B"/>
    <w:rsid w:val="005C6172"/>
    <w:rsid w:val="005C6E71"/>
    <w:rsid w:val="005C7B20"/>
    <w:rsid w:val="005D0701"/>
    <w:rsid w:val="005D28C5"/>
    <w:rsid w:val="005D2915"/>
    <w:rsid w:val="005D4A53"/>
    <w:rsid w:val="005D4B73"/>
    <w:rsid w:val="005D645B"/>
    <w:rsid w:val="005D6F29"/>
    <w:rsid w:val="005E0643"/>
    <w:rsid w:val="005E1D6E"/>
    <w:rsid w:val="005E2353"/>
    <w:rsid w:val="005E23D9"/>
    <w:rsid w:val="005E44C4"/>
    <w:rsid w:val="005E56C6"/>
    <w:rsid w:val="005E5923"/>
    <w:rsid w:val="005E5B15"/>
    <w:rsid w:val="005E7C92"/>
    <w:rsid w:val="005F0ADE"/>
    <w:rsid w:val="005F1533"/>
    <w:rsid w:val="005F3233"/>
    <w:rsid w:val="005F3960"/>
    <w:rsid w:val="005F580F"/>
    <w:rsid w:val="005F775E"/>
    <w:rsid w:val="005F7F51"/>
    <w:rsid w:val="006005B0"/>
    <w:rsid w:val="006006C3"/>
    <w:rsid w:val="006061A8"/>
    <w:rsid w:val="006064A3"/>
    <w:rsid w:val="00610DEF"/>
    <w:rsid w:val="006135AE"/>
    <w:rsid w:val="00614E5E"/>
    <w:rsid w:val="00615938"/>
    <w:rsid w:val="00615CA2"/>
    <w:rsid w:val="0061611E"/>
    <w:rsid w:val="0061743E"/>
    <w:rsid w:val="0061769C"/>
    <w:rsid w:val="00621324"/>
    <w:rsid w:val="00621525"/>
    <w:rsid w:val="00621C37"/>
    <w:rsid w:val="006245FB"/>
    <w:rsid w:val="00624680"/>
    <w:rsid w:val="00627ED5"/>
    <w:rsid w:val="00631911"/>
    <w:rsid w:val="00632358"/>
    <w:rsid w:val="00632716"/>
    <w:rsid w:val="0063289F"/>
    <w:rsid w:val="0063299B"/>
    <w:rsid w:val="0063629A"/>
    <w:rsid w:val="00642BB2"/>
    <w:rsid w:val="0064370B"/>
    <w:rsid w:val="00644A86"/>
    <w:rsid w:val="0064755E"/>
    <w:rsid w:val="00647FAA"/>
    <w:rsid w:val="00653721"/>
    <w:rsid w:val="00655A09"/>
    <w:rsid w:val="00656804"/>
    <w:rsid w:val="00660CA2"/>
    <w:rsid w:val="0066140E"/>
    <w:rsid w:val="006623E1"/>
    <w:rsid w:val="00662A8D"/>
    <w:rsid w:val="0066431F"/>
    <w:rsid w:val="006644D2"/>
    <w:rsid w:val="00666B90"/>
    <w:rsid w:val="00667D81"/>
    <w:rsid w:val="0067356B"/>
    <w:rsid w:val="006738D9"/>
    <w:rsid w:val="0067550D"/>
    <w:rsid w:val="00676DAF"/>
    <w:rsid w:val="006776BF"/>
    <w:rsid w:val="00677D71"/>
    <w:rsid w:val="006813CE"/>
    <w:rsid w:val="00682914"/>
    <w:rsid w:val="00682DA4"/>
    <w:rsid w:val="00683A47"/>
    <w:rsid w:val="00685355"/>
    <w:rsid w:val="006859CD"/>
    <w:rsid w:val="006864E6"/>
    <w:rsid w:val="006871F4"/>
    <w:rsid w:val="0069014D"/>
    <w:rsid w:val="006914E5"/>
    <w:rsid w:val="00692068"/>
    <w:rsid w:val="00692CC1"/>
    <w:rsid w:val="00694662"/>
    <w:rsid w:val="0069480D"/>
    <w:rsid w:val="00695BEF"/>
    <w:rsid w:val="00696698"/>
    <w:rsid w:val="006A20E5"/>
    <w:rsid w:val="006A232C"/>
    <w:rsid w:val="006A28F2"/>
    <w:rsid w:val="006A2CCE"/>
    <w:rsid w:val="006A38D4"/>
    <w:rsid w:val="006A3BA9"/>
    <w:rsid w:val="006A4B42"/>
    <w:rsid w:val="006A57BA"/>
    <w:rsid w:val="006A5DD1"/>
    <w:rsid w:val="006A666D"/>
    <w:rsid w:val="006A6B32"/>
    <w:rsid w:val="006B2151"/>
    <w:rsid w:val="006B2AA8"/>
    <w:rsid w:val="006B307D"/>
    <w:rsid w:val="006B3562"/>
    <w:rsid w:val="006B423C"/>
    <w:rsid w:val="006B56AA"/>
    <w:rsid w:val="006B777F"/>
    <w:rsid w:val="006B7EF7"/>
    <w:rsid w:val="006C109A"/>
    <w:rsid w:val="006C4C4F"/>
    <w:rsid w:val="006C5F30"/>
    <w:rsid w:val="006C6090"/>
    <w:rsid w:val="006D0403"/>
    <w:rsid w:val="006D253C"/>
    <w:rsid w:val="006D31C0"/>
    <w:rsid w:val="006D54C2"/>
    <w:rsid w:val="006D598F"/>
    <w:rsid w:val="006D6BFC"/>
    <w:rsid w:val="006D7FB7"/>
    <w:rsid w:val="006E0D8B"/>
    <w:rsid w:val="006E1499"/>
    <w:rsid w:val="006E1992"/>
    <w:rsid w:val="006E1F19"/>
    <w:rsid w:val="006E34F6"/>
    <w:rsid w:val="006E459A"/>
    <w:rsid w:val="006E4BED"/>
    <w:rsid w:val="006E6E0E"/>
    <w:rsid w:val="006F107A"/>
    <w:rsid w:val="006F2405"/>
    <w:rsid w:val="006F2413"/>
    <w:rsid w:val="006F3DD7"/>
    <w:rsid w:val="006F6F73"/>
    <w:rsid w:val="006F7A41"/>
    <w:rsid w:val="00700674"/>
    <w:rsid w:val="00701542"/>
    <w:rsid w:val="007025E1"/>
    <w:rsid w:val="00702A56"/>
    <w:rsid w:val="007046B1"/>
    <w:rsid w:val="00706338"/>
    <w:rsid w:val="0070656B"/>
    <w:rsid w:val="00706B9C"/>
    <w:rsid w:val="007113E9"/>
    <w:rsid w:val="00712EF8"/>
    <w:rsid w:val="007132DE"/>
    <w:rsid w:val="007146C1"/>
    <w:rsid w:val="0071667C"/>
    <w:rsid w:val="007175DE"/>
    <w:rsid w:val="00720128"/>
    <w:rsid w:val="00722457"/>
    <w:rsid w:val="007270A5"/>
    <w:rsid w:val="00731A85"/>
    <w:rsid w:val="00732E2C"/>
    <w:rsid w:val="00736437"/>
    <w:rsid w:val="00736781"/>
    <w:rsid w:val="00737A99"/>
    <w:rsid w:val="00740C9D"/>
    <w:rsid w:val="007438E5"/>
    <w:rsid w:val="00745D79"/>
    <w:rsid w:val="007470CC"/>
    <w:rsid w:val="007507E3"/>
    <w:rsid w:val="00751C1F"/>
    <w:rsid w:val="00751DC5"/>
    <w:rsid w:val="007556C0"/>
    <w:rsid w:val="00757E48"/>
    <w:rsid w:val="007611CC"/>
    <w:rsid w:val="00762A85"/>
    <w:rsid w:val="007630AB"/>
    <w:rsid w:val="00765B82"/>
    <w:rsid w:val="00766A5E"/>
    <w:rsid w:val="00771A33"/>
    <w:rsid w:val="00771C3C"/>
    <w:rsid w:val="00773139"/>
    <w:rsid w:val="00775407"/>
    <w:rsid w:val="007764A5"/>
    <w:rsid w:val="00776BF5"/>
    <w:rsid w:val="00783EE2"/>
    <w:rsid w:val="0078401F"/>
    <w:rsid w:val="007868AC"/>
    <w:rsid w:val="00786D6B"/>
    <w:rsid w:val="00790700"/>
    <w:rsid w:val="00792A3D"/>
    <w:rsid w:val="00792EA3"/>
    <w:rsid w:val="007953A1"/>
    <w:rsid w:val="00795A26"/>
    <w:rsid w:val="00796ACC"/>
    <w:rsid w:val="00796DD7"/>
    <w:rsid w:val="007973F4"/>
    <w:rsid w:val="007A0314"/>
    <w:rsid w:val="007A3B93"/>
    <w:rsid w:val="007A3E9F"/>
    <w:rsid w:val="007A70F9"/>
    <w:rsid w:val="007A70FC"/>
    <w:rsid w:val="007A7EDE"/>
    <w:rsid w:val="007B25E4"/>
    <w:rsid w:val="007B3A13"/>
    <w:rsid w:val="007B45E3"/>
    <w:rsid w:val="007B6572"/>
    <w:rsid w:val="007B65D4"/>
    <w:rsid w:val="007C1EDC"/>
    <w:rsid w:val="007C205E"/>
    <w:rsid w:val="007C5CF1"/>
    <w:rsid w:val="007C796F"/>
    <w:rsid w:val="007D0C20"/>
    <w:rsid w:val="007D1EB9"/>
    <w:rsid w:val="007D20A3"/>
    <w:rsid w:val="007D26D8"/>
    <w:rsid w:val="007D4F52"/>
    <w:rsid w:val="007D5130"/>
    <w:rsid w:val="007D709F"/>
    <w:rsid w:val="007E11DD"/>
    <w:rsid w:val="007E2C60"/>
    <w:rsid w:val="007E3318"/>
    <w:rsid w:val="007F0B4D"/>
    <w:rsid w:val="007F1714"/>
    <w:rsid w:val="007F281E"/>
    <w:rsid w:val="008016ED"/>
    <w:rsid w:val="008042C9"/>
    <w:rsid w:val="00804FF3"/>
    <w:rsid w:val="00805DC9"/>
    <w:rsid w:val="0080610C"/>
    <w:rsid w:val="008068AD"/>
    <w:rsid w:val="00807630"/>
    <w:rsid w:val="008107DE"/>
    <w:rsid w:val="008108D1"/>
    <w:rsid w:val="00811AD1"/>
    <w:rsid w:val="00814560"/>
    <w:rsid w:val="008223FE"/>
    <w:rsid w:val="00822510"/>
    <w:rsid w:val="0082490E"/>
    <w:rsid w:val="00825C2D"/>
    <w:rsid w:val="00825CE7"/>
    <w:rsid w:val="00825E30"/>
    <w:rsid w:val="0082667E"/>
    <w:rsid w:val="00826DA5"/>
    <w:rsid w:val="00831818"/>
    <w:rsid w:val="00835EEB"/>
    <w:rsid w:val="008370FB"/>
    <w:rsid w:val="008379D9"/>
    <w:rsid w:val="00841C63"/>
    <w:rsid w:val="00845A7A"/>
    <w:rsid w:val="00845AE3"/>
    <w:rsid w:val="008479D8"/>
    <w:rsid w:val="00853694"/>
    <w:rsid w:val="0085546E"/>
    <w:rsid w:val="00857053"/>
    <w:rsid w:val="008570C9"/>
    <w:rsid w:val="00857FA9"/>
    <w:rsid w:val="00861028"/>
    <w:rsid w:val="008615D0"/>
    <w:rsid w:val="008619F4"/>
    <w:rsid w:val="008639AF"/>
    <w:rsid w:val="0086486F"/>
    <w:rsid w:val="00864A6C"/>
    <w:rsid w:val="0087023F"/>
    <w:rsid w:val="00871493"/>
    <w:rsid w:val="00871B0A"/>
    <w:rsid w:val="00872726"/>
    <w:rsid w:val="00873063"/>
    <w:rsid w:val="00873303"/>
    <w:rsid w:val="0087498A"/>
    <w:rsid w:val="00876D13"/>
    <w:rsid w:val="008775FE"/>
    <w:rsid w:val="008776F1"/>
    <w:rsid w:val="008778D6"/>
    <w:rsid w:val="00880223"/>
    <w:rsid w:val="00883725"/>
    <w:rsid w:val="00886736"/>
    <w:rsid w:val="00886AC6"/>
    <w:rsid w:val="00890A9B"/>
    <w:rsid w:val="00891FE0"/>
    <w:rsid w:val="0089232B"/>
    <w:rsid w:val="008924BE"/>
    <w:rsid w:val="008929C6"/>
    <w:rsid w:val="00892EBD"/>
    <w:rsid w:val="0089503A"/>
    <w:rsid w:val="0089740D"/>
    <w:rsid w:val="00897C09"/>
    <w:rsid w:val="008A0E66"/>
    <w:rsid w:val="008A1ABF"/>
    <w:rsid w:val="008A2091"/>
    <w:rsid w:val="008A39AD"/>
    <w:rsid w:val="008A70E9"/>
    <w:rsid w:val="008A7F46"/>
    <w:rsid w:val="008B10DC"/>
    <w:rsid w:val="008B1FF9"/>
    <w:rsid w:val="008B281A"/>
    <w:rsid w:val="008B371B"/>
    <w:rsid w:val="008B7C19"/>
    <w:rsid w:val="008C0640"/>
    <w:rsid w:val="008C1DBB"/>
    <w:rsid w:val="008C3468"/>
    <w:rsid w:val="008C6297"/>
    <w:rsid w:val="008C6C2D"/>
    <w:rsid w:val="008C72EE"/>
    <w:rsid w:val="008D01BE"/>
    <w:rsid w:val="008D24D2"/>
    <w:rsid w:val="008D30B7"/>
    <w:rsid w:val="008D3AC4"/>
    <w:rsid w:val="008D52DF"/>
    <w:rsid w:val="008D7273"/>
    <w:rsid w:val="008E35D2"/>
    <w:rsid w:val="008E366F"/>
    <w:rsid w:val="008E4231"/>
    <w:rsid w:val="008E5A7D"/>
    <w:rsid w:val="008E5F37"/>
    <w:rsid w:val="008E742A"/>
    <w:rsid w:val="008F0528"/>
    <w:rsid w:val="008F0AE8"/>
    <w:rsid w:val="008F0B91"/>
    <w:rsid w:val="008F1003"/>
    <w:rsid w:val="008F163E"/>
    <w:rsid w:val="008F3013"/>
    <w:rsid w:val="008F3D49"/>
    <w:rsid w:val="008F3F82"/>
    <w:rsid w:val="008F3FA5"/>
    <w:rsid w:val="008F47A1"/>
    <w:rsid w:val="008F5347"/>
    <w:rsid w:val="008F5C07"/>
    <w:rsid w:val="008F6A1E"/>
    <w:rsid w:val="0090039B"/>
    <w:rsid w:val="00900DA2"/>
    <w:rsid w:val="00901599"/>
    <w:rsid w:val="009016F3"/>
    <w:rsid w:val="00901FB1"/>
    <w:rsid w:val="0090256C"/>
    <w:rsid w:val="00902DBA"/>
    <w:rsid w:val="00903021"/>
    <w:rsid w:val="00903023"/>
    <w:rsid w:val="00903306"/>
    <w:rsid w:val="009033CE"/>
    <w:rsid w:val="00903CD6"/>
    <w:rsid w:val="00904C54"/>
    <w:rsid w:val="00907AAE"/>
    <w:rsid w:val="00907C2F"/>
    <w:rsid w:val="00907DF9"/>
    <w:rsid w:val="00910467"/>
    <w:rsid w:val="00911247"/>
    <w:rsid w:val="00911719"/>
    <w:rsid w:val="00914F2E"/>
    <w:rsid w:val="009179EC"/>
    <w:rsid w:val="009202FE"/>
    <w:rsid w:val="009206DC"/>
    <w:rsid w:val="0092297B"/>
    <w:rsid w:val="00922AC1"/>
    <w:rsid w:val="00922D4D"/>
    <w:rsid w:val="00924ACD"/>
    <w:rsid w:val="00924BB6"/>
    <w:rsid w:val="00925FB1"/>
    <w:rsid w:val="00925FBB"/>
    <w:rsid w:val="00926050"/>
    <w:rsid w:val="00927761"/>
    <w:rsid w:val="009305D0"/>
    <w:rsid w:val="00932620"/>
    <w:rsid w:val="009355B3"/>
    <w:rsid w:val="00935F8D"/>
    <w:rsid w:val="009367C9"/>
    <w:rsid w:val="00937E09"/>
    <w:rsid w:val="00940EE7"/>
    <w:rsid w:val="009423DA"/>
    <w:rsid w:val="009433CB"/>
    <w:rsid w:val="00943787"/>
    <w:rsid w:val="0094524E"/>
    <w:rsid w:val="00945FF9"/>
    <w:rsid w:val="00946A84"/>
    <w:rsid w:val="00947498"/>
    <w:rsid w:val="009528B3"/>
    <w:rsid w:val="00954F2F"/>
    <w:rsid w:val="00957D2D"/>
    <w:rsid w:val="0096039A"/>
    <w:rsid w:val="00960441"/>
    <w:rsid w:val="00960CF0"/>
    <w:rsid w:val="00961179"/>
    <w:rsid w:val="009620F6"/>
    <w:rsid w:val="009622D6"/>
    <w:rsid w:val="00962E7A"/>
    <w:rsid w:val="00962FDC"/>
    <w:rsid w:val="0096562F"/>
    <w:rsid w:val="009658C5"/>
    <w:rsid w:val="009701B5"/>
    <w:rsid w:val="009710FD"/>
    <w:rsid w:val="00971F61"/>
    <w:rsid w:val="009735A3"/>
    <w:rsid w:val="00975EDE"/>
    <w:rsid w:val="009762B3"/>
    <w:rsid w:val="00976C9A"/>
    <w:rsid w:val="00977A2D"/>
    <w:rsid w:val="00980046"/>
    <w:rsid w:val="00982897"/>
    <w:rsid w:val="009832DA"/>
    <w:rsid w:val="0098414E"/>
    <w:rsid w:val="00984487"/>
    <w:rsid w:val="0098459A"/>
    <w:rsid w:val="00984D52"/>
    <w:rsid w:val="009850D3"/>
    <w:rsid w:val="00985A21"/>
    <w:rsid w:val="00986886"/>
    <w:rsid w:val="00987C8B"/>
    <w:rsid w:val="009908B4"/>
    <w:rsid w:val="009916F4"/>
    <w:rsid w:val="0099199A"/>
    <w:rsid w:val="009928FA"/>
    <w:rsid w:val="009A0906"/>
    <w:rsid w:val="009A469B"/>
    <w:rsid w:val="009A6601"/>
    <w:rsid w:val="009A7708"/>
    <w:rsid w:val="009A7F80"/>
    <w:rsid w:val="009B11E3"/>
    <w:rsid w:val="009B3BC6"/>
    <w:rsid w:val="009B5BEA"/>
    <w:rsid w:val="009C01DA"/>
    <w:rsid w:val="009C10D1"/>
    <w:rsid w:val="009C3187"/>
    <w:rsid w:val="009C3B22"/>
    <w:rsid w:val="009C3FF5"/>
    <w:rsid w:val="009C5F22"/>
    <w:rsid w:val="009C6301"/>
    <w:rsid w:val="009D2AA2"/>
    <w:rsid w:val="009D2C00"/>
    <w:rsid w:val="009D4DB6"/>
    <w:rsid w:val="009D5A19"/>
    <w:rsid w:val="009D5C19"/>
    <w:rsid w:val="009D5D57"/>
    <w:rsid w:val="009D5E7C"/>
    <w:rsid w:val="009D67D0"/>
    <w:rsid w:val="009D6ECD"/>
    <w:rsid w:val="009D7878"/>
    <w:rsid w:val="009E1F82"/>
    <w:rsid w:val="009E273D"/>
    <w:rsid w:val="009E3161"/>
    <w:rsid w:val="009E39DC"/>
    <w:rsid w:val="009E49B5"/>
    <w:rsid w:val="009E65ED"/>
    <w:rsid w:val="009E74AA"/>
    <w:rsid w:val="009F0208"/>
    <w:rsid w:val="009F2208"/>
    <w:rsid w:val="009F3022"/>
    <w:rsid w:val="009F31C6"/>
    <w:rsid w:val="009F3B36"/>
    <w:rsid w:val="009F4093"/>
    <w:rsid w:val="009F5C59"/>
    <w:rsid w:val="009F6D36"/>
    <w:rsid w:val="009F7891"/>
    <w:rsid w:val="00A00FE7"/>
    <w:rsid w:val="00A04690"/>
    <w:rsid w:val="00A071E8"/>
    <w:rsid w:val="00A077C3"/>
    <w:rsid w:val="00A103AD"/>
    <w:rsid w:val="00A11A0F"/>
    <w:rsid w:val="00A11C9F"/>
    <w:rsid w:val="00A22C5F"/>
    <w:rsid w:val="00A232E7"/>
    <w:rsid w:val="00A23834"/>
    <w:rsid w:val="00A245E7"/>
    <w:rsid w:val="00A2481A"/>
    <w:rsid w:val="00A26441"/>
    <w:rsid w:val="00A306C0"/>
    <w:rsid w:val="00A31A2A"/>
    <w:rsid w:val="00A32413"/>
    <w:rsid w:val="00A332CA"/>
    <w:rsid w:val="00A33497"/>
    <w:rsid w:val="00A34B88"/>
    <w:rsid w:val="00A34BEF"/>
    <w:rsid w:val="00A34EAC"/>
    <w:rsid w:val="00A35A82"/>
    <w:rsid w:val="00A37A72"/>
    <w:rsid w:val="00A37E61"/>
    <w:rsid w:val="00A37F95"/>
    <w:rsid w:val="00A42A4C"/>
    <w:rsid w:val="00A437F2"/>
    <w:rsid w:val="00A45908"/>
    <w:rsid w:val="00A4621B"/>
    <w:rsid w:val="00A46358"/>
    <w:rsid w:val="00A46769"/>
    <w:rsid w:val="00A46F32"/>
    <w:rsid w:val="00A47887"/>
    <w:rsid w:val="00A50923"/>
    <w:rsid w:val="00A51507"/>
    <w:rsid w:val="00A55E78"/>
    <w:rsid w:val="00A5765A"/>
    <w:rsid w:val="00A61009"/>
    <w:rsid w:val="00A613B0"/>
    <w:rsid w:val="00A61497"/>
    <w:rsid w:val="00A61E89"/>
    <w:rsid w:val="00A6377B"/>
    <w:rsid w:val="00A65D93"/>
    <w:rsid w:val="00A66E8C"/>
    <w:rsid w:val="00A674C4"/>
    <w:rsid w:val="00A717DC"/>
    <w:rsid w:val="00A72276"/>
    <w:rsid w:val="00A72DB5"/>
    <w:rsid w:val="00A739AA"/>
    <w:rsid w:val="00A75925"/>
    <w:rsid w:val="00A774CF"/>
    <w:rsid w:val="00A77FC8"/>
    <w:rsid w:val="00A80439"/>
    <w:rsid w:val="00A810E1"/>
    <w:rsid w:val="00A819E3"/>
    <w:rsid w:val="00A828DA"/>
    <w:rsid w:val="00A82965"/>
    <w:rsid w:val="00A83613"/>
    <w:rsid w:val="00A8369D"/>
    <w:rsid w:val="00A839EA"/>
    <w:rsid w:val="00A83FCE"/>
    <w:rsid w:val="00A85788"/>
    <w:rsid w:val="00A857F0"/>
    <w:rsid w:val="00A85AC0"/>
    <w:rsid w:val="00A86F96"/>
    <w:rsid w:val="00A90E5E"/>
    <w:rsid w:val="00A920F9"/>
    <w:rsid w:val="00A93230"/>
    <w:rsid w:val="00A96260"/>
    <w:rsid w:val="00A965D8"/>
    <w:rsid w:val="00A97C94"/>
    <w:rsid w:val="00AA03B6"/>
    <w:rsid w:val="00AA247E"/>
    <w:rsid w:val="00AA3EF5"/>
    <w:rsid w:val="00AA531D"/>
    <w:rsid w:val="00AA67D9"/>
    <w:rsid w:val="00AA6CC0"/>
    <w:rsid w:val="00AB00F6"/>
    <w:rsid w:val="00AB2504"/>
    <w:rsid w:val="00AB4849"/>
    <w:rsid w:val="00AB5632"/>
    <w:rsid w:val="00AB6E0F"/>
    <w:rsid w:val="00AB7444"/>
    <w:rsid w:val="00AB7805"/>
    <w:rsid w:val="00AC1C64"/>
    <w:rsid w:val="00AC3DF3"/>
    <w:rsid w:val="00AC4195"/>
    <w:rsid w:val="00AC6E57"/>
    <w:rsid w:val="00AC7A19"/>
    <w:rsid w:val="00AD2D2B"/>
    <w:rsid w:val="00AD3AB0"/>
    <w:rsid w:val="00AD42D8"/>
    <w:rsid w:val="00AD4AAC"/>
    <w:rsid w:val="00AD6E03"/>
    <w:rsid w:val="00AE05C1"/>
    <w:rsid w:val="00AE0AA4"/>
    <w:rsid w:val="00AE26D1"/>
    <w:rsid w:val="00AE3A2F"/>
    <w:rsid w:val="00AE40D4"/>
    <w:rsid w:val="00AE45F0"/>
    <w:rsid w:val="00AE5726"/>
    <w:rsid w:val="00AE5AE7"/>
    <w:rsid w:val="00AE5C6F"/>
    <w:rsid w:val="00AE7EF1"/>
    <w:rsid w:val="00AF13A5"/>
    <w:rsid w:val="00AF18C0"/>
    <w:rsid w:val="00AF6B26"/>
    <w:rsid w:val="00AF774D"/>
    <w:rsid w:val="00B00431"/>
    <w:rsid w:val="00B037D6"/>
    <w:rsid w:val="00B046D3"/>
    <w:rsid w:val="00B048C5"/>
    <w:rsid w:val="00B0555F"/>
    <w:rsid w:val="00B07018"/>
    <w:rsid w:val="00B0702A"/>
    <w:rsid w:val="00B11212"/>
    <w:rsid w:val="00B116F4"/>
    <w:rsid w:val="00B122F3"/>
    <w:rsid w:val="00B126F3"/>
    <w:rsid w:val="00B12714"/>
    <w:rsid w:val="00B13101"/>
    <w:rsid w:val="00B148C4"/>
    <w:rsid w:val="00B14AE4"/>
    <w:rsid w:val="00B1555B"/>
    <w:rsid w:val="00B17F31"/>
    <w:rsid w:val="00B20593"/>
    <w:rsid w:val="00B20642"/>
    <w:rsid w:val="00B21AC5"/>
    <w:rsid w:val="00B2215A"/>
    <w:rsid w:val="00B229A6"/>
    <w:rsid w:val="00B22EB0"/>
    <w:rsid w:val="00B24C5E"/>
    <w:rsid w:val="00B258D5"/>
    <w:rsid w:val="00B25911"/>
    <w:rsid w:val="00B25B9E"/>
    <w:rsid w:val="00B32B08"/>
    <w:rsid w:val="00B4193D"/>
    <w:rsid w:val="00B44525"/>
    <w:rsid w:val="00B471F0"/>
    <w:rsid w:val="00B50441"/>
    <w:rsid w:val="00B50E89"/>
    <w:rsid w:val="00B5364C"/>
    <w:rsid w:val="00B54A70"/>
    <w:rsid w:val="00B5580F"/>
    <w:rsid w:val="00B57522"/>
    <w:rsid w:val="00B60AB7"/>
    <w:rsid w:val="00B612B9"/>
    <w:rsid w:val="00B62195"/>
    <w:rsid w:val="00B6383E"/>
    <w:rsid w:val="00B64661"/>
    <w:rsid w:val="00B64B4A"/>
    <w:rsid w:val="00B64DC6"/>
    <w:rsid w:val="00B657B8"/>
    <w:rsid w:val="00B66D4D"/>
    <w:rsid w:val="00B67EE7"/>
    <w:rsid w:val="00B7154D"/>
    <w:rsid w:val="00B743E7"/>
    <w:rsid w:val="00B74794"/>
    <w:rsid w:val="00B74DF8"/>
    <w:rsid w:val="00B750FA"/>
    <w:rsid w:val="00B75581"/>
    <w:rsid w:val="00B756CD"/>
    <w:rsid w:val="00B7701F"/>
    <w:rsid w:val="00B805DD"/>
    <w:rsid w:val="00B81753"/>
    <w:rsid w:val="00B81DA1"/>
    <w:rsid w:val="00B832E9"/>
    <w:rsid w:val="00B85AB6"/>
    <w:rsid w:val="00B85EE9"/>
    <w:rsid w:val="00B90496"/>
    <w:rsid w:val="00B91E59"/>
    <w:rsid w:val="00B91E99"/>
    <w:rsid w:val="00B93F2B"/>
    <w:rsid w:val="00B95D1C"/>
    <w:rsid w:val="00B95D94"/>
    <w:rsid w:val="00B96889"/>
    <w:rsid w:val="00BA0011"/>
    <w:rsid w:val="00BA0DB9"/>
    <w:rsid w:val="00BA18A5"/>
    <w:rsid w:val="00BA3966"/>
    <w:rsid w:val="00BA416E"/>
    <w:rsid w:val="00BA4EF3"/>
    <w:rsid w:val="00BA5166"/>
    <w:rsid w:val="00BA6370"/>
    <w:rsid w:val="00BA6743"/>
    <w:rsid w:val="00BB08F9"/>
    <w:rsid w:val="00BB0CA0"/>
    <w:rsid w:val="00BB1865"/>
    <w:rsid w:val="00BB1C5E"/>
    <w:rsid w:val="00BB2BBB"/>
    <w:rsid w:val="00BB41C3"/>
    <w:rsid w:val="00BC0019"/>
    <w:rsid w:val="00BC0362"/>
    <w:rsid w:val="00BC039A"/>
    <w:rsid w:val="00BC09B2"/>
    <w:rsid w:val="00BC0F09"/>
    <w:rsid w:val="00BC4CF7"/>
    <w:rsid w:val="00BD0273"/>
    <w:rsid w:val="00BD0EF5"/>
    <w:rsid w:val="00BD2CFF"/>
    <w:rsid w:val="00BD4479"/>
    <w:rsid w:val="00BD4E8D"/>
    <w:rsid w:val="00BD689B"/>
    <w:rsid w:val="00BE049E"/>
    <w:rsid w:val="00BE0FF8"/>
    <w:rsid w:val="00BE18A0"/>
    <w:rsid w:val="00BE2452"/>
    <w:rsid w:val="00BE39EE"/>
    <w:rsid w:val="00BE3F88"/>
    <w:rsid w:val="00BE5573"/>
    <w:rsid w:val="00BE57C6"/>
    <w:rsid w:val="00BE633C"/>
    <w:rsid w:val="00BE6E7C"/>
    <w:rsid w:val="00BE74A8"/>
    <w:rsid w:val="00BE7CF7"/>
    <w:rsid w:val="00BF0AAF"/>
    <w:rsid w:val="00BF12C6"/>
    <w:rsid w:val="00BF151A"/>
    <w:rsid w:val="00BF2C83"/>
    <w:rsid w:val="00BF3DF0"/>
    <w:rsid w:val="00BF725C"/>
    <w:rsid w:val="00C00DD7"/>
    <w:rsid w:val="00C00EC1"/>
    <w:rsid w:val="00C031FA"/>
    <w:rsid w:val="00C054EE"/>
    <w:rsid w:val="00C0755B"/>
    <w:rsid w:val="00C10C43"/>
    <w:rsid w:val="00C1221D"/>
    <w:rsid w:val="00C127CB"/>
    <w:rsid w:val="00C127FB"/>
    <w:rsid w:val="00C140AE"/>
    <w:rsid w:val="00C169FF"/>
    <w:rsid w:val="00C16FA0"/>
    <w:rsid w:val="00C2293E"/>
    <w:rsid w:val="00C22AC3"/>
    <w:rsid w:val="00C23DDE"/>
    <w:rsid w:val="00C26415"/>
    <w:rsid w:val="00C30F61"/>
    <w:rsid w:val="00C3573A"/>
    <w:rsid w:val="00C35853"/>
    <w:rsid w:val="00C367C9"/>
    <w:rsid w:val="00C41B3F"/>
    <w:rsid w:val="00C4305A"/>
    <w:rsid w:val="00C45304"/>
    <w:rsid w:val="00C453A0"/>
    <w:rsid w:val="00C457D0"/>
    <w:rsid w:val="00C46989"/>
    <w:rsid w:val="00C50C00"/>
    <w:rsid w:val="00C51169"/>
    <w:rsid w:val="00C55E45"/>
    <w:rsid w:val="00C566AF"/>
    <w:rsid w:val="00C56D3C"/>
    <w:rsid w:val="00C5747F"/>
    <w:rsid w:val="00C608B5"/>
    <w:rsid w:val="00C61F3C"/>
    <w:rsid w:val="00C62E1E"/>
    <w:rsid w:val="00C63566"/>
    <w:rsid w:val="00C63622"/>
    <w:rsid w:val="00C64E74"/>
    <w:rsid w:val="00C66FB7"/>
    <w:rsid w:val="00C708EB"/>
    <w:rsid w:val="00C709EA"/>
    <w:rsid w:val="00C7257E"/>
    <w:rsid w:val="00C73D6C"/>
    <w:rsid w:val="00C74593"/>
    <w:rsid w:val="00C74F6E"/>
    <w:rsid w:val="00C754F0"/>
    <w:rsid w:val="00C774D3"/>
    <w:rsid w:val="00C80510"/>
    <w:rsid w:val="00C80F16"/>
    <w:rsid w:val="00C813DE"/>
    <w:rsid w:val="00C83F1E"/>
    <w:rsid w:val="00C853BA"/>
    <w:rsid w:val="00C85821"/>
    <w:rsid w:val="00C85C67"/>
    <w:rsid w:val="00C87057"/>
    <w:rsid w:val="00C878FA"/>
    <w:rsid w:val="00C87C42"/>
    <w:rsid w:val="00C93B71"/>
    <w:rsid w:val="00C96574"/>
    <w:rsid w:val="00CA1515"/>
    <w:rsid w:val="00CA1657"/>
    <w:rsid w:val="00CA3322"/>
    <w:rsid w:val="00CA3341"/>
    <w:rsid w:val="00CA3354"/>
    <w:rsid w:val="00CA5962"/>
    <w:rsid w:val="00CA7144"/>
    <w:rsid w:val="00CB0B96"/>
    <w:rsid w:val="00CB0BD5"/>
    <w:rsid w:val="00CB207F"/>
    <w:rsid w:val="00CB441C"/>
    <w:rsid w:val="00CB4477"/>
    <w:rsid w:val="00CB46E9"/>
    <w:rsid w:val="00CB562A"/>
    <w:rsid w:val="00CB6459"/>
    <w:rsid w:val="00CC0809"/>
    <w:rsid w:val="00CC36D8"/>
    <w:rsid w:val="00CC659A"/>
    <w:rsid w:val="00CC7E4C"/>
    <w:rsid w:val="00CD32AD"/>
    <w:rsid w:val="00CD3FCC"/>
    <w:rsid w:val="00CD4E27"/>
    <w:rsid w:val="00CD580E"/>
    <w:rsid w:val="00CD7F24"/>
    <w:rsid w:val="00CE0D88"/>
    <w:rsid w:val="00CE13A2"/>
    <w:rsid w:val="00CE3338"/>
    <w:rsid w:val="00CE3356"/>
    <w:rsid w:val="00CE3BF8"/>
    <w:rsid w:val="00CE4BDF"/>
    <w:rsid w:val="00CE6893"/>
    <w:rsid w:val="00CE6CEF"/>
    <w:rsid w:val="00CE73D3"/>
    <w:rsid w:val="00CF0884"/>
    <w:rsid w:val="00CF13C6"/>
    <w:rsid w:val="00CF190D"/>
    <w:rsid w:val="00CF2E92"/>
    <w:rsid w:val="00CF3A95"/>
    <w:rsid w:val="00CF420A"/>
    <w:rsid w:val="00CF4938"/>
    <w:rsid w:val="00CF610C"/>
    <w:rsid w:val="00D0442D"/>
    <w:rsid w:val="00D062E1"/>
    <w:rsid w:val="00D0641B"/>
    <w:rsid w:val="00D10105"/>
    <w:rsid w:val="00D1011A"/>
    <w:rsid w:val="00D101BC"/>
    <w:rsid w:val="00D12FF4"/>
    <w:rsid w:val="00D15AE2"/>
    <w:rsid w:val="00D15FEF"/>
    <w:rsid w:val="00D20B81"/>
    <w:rsid w:val="00D20F18"/>
    <w:rsid w:val="00D23078"/>
    <w:rsid w:val="00D2337D"/>
    <w:rsid w:val="00D2562F"/>
    <w:rsid w:val="00D25EAA"/>
    <w:rsid w:val="00D26990"/>
    <w:rsid w:val="00D30444"/>
    <w:rsid w:val="00D32F3C"/>
    <w:rsid w:val="00D42216"/>
    <w:rsid w:val="00D42ECF"/>
    <w:rsid w:val="00D43DEB"/>
    <w:rsid w:val="00D44D33"/>
    <w:rsid w:val="00D466BD"/>
    <w:rsid w:val="00D46C72"/>
    <w:rsid w:val="00D470B2"/>
    <w:rsid w:val="00D473E7"/>
    <w:rsid w:val="00D47575"/>
    <w:rsid w:val="00D47F8A"/>
    <w:rsid w:val="00D5091E"/>
    <w:rsid w:val="00D5224F"/>
    <w:rsid w:val="00D5225E"/>
    <w:rsid w:val="00D554C9"/>
    <w:rsid w:val="00D559C0"/>
    <w:rsid w:val="00D628BA"/>
    <w:rsid w:val="00D65450"/>
    <w:rsid w:val="00D7352E"/>
    <w:rsid w:val="00D751A5"/>
    <w:rsid w:val="00D77305"/>
    <w:rsid w:val="00D83762"/>
    <w:rsid w:val="00D8422B"/>
    <w:rsid w:val="00D849CB"/>
    <w:rsid w:val="00D84B1D"/>
    <w:rsid w:val="00D8617F"/>
    <w:rsid w:val="00D913E1"/>
    <w:rsid w:val="00D91991"/>
    <w:rsid w:val="00D9245C"/>
    <w:rsid w:val="00D92868"/>
    <w:rsid w:val="00D9368F"/>
    <w:rsid w:val="00D94C7D"/>
    <w:rsid w:val="00D955B7"/>
    <w:rsid w:val="00D96F0E"/>
    <w:rsid w:val="00D97811"/>
    <w:rsid w:val="00DA1C70"/>
    <w:rsid w:val="00DA34E5"/>
    <w:rsid w:val="00DA365F"/>
    <w:rsid w:val="00DA3B91"/>
    <w:rsid w:val="00DA3BE4"/>
    <w:rsid w:val="00DA3CEA"/>
    <w:rsid w:val="00DA77C9"/>
    <w:rsid w:val="00DB10B4"/>
    <w:rsid w:val="00DB133A"/>
    <w:rsid w:val="00DB1603"/>
    <w:rsid w:val="00DB2A89"/>
    <w:rsid w:val="00DB3209"/>
    <w:rsid w:val="00DB4F62"/>
    <w:rsid w:val="00DB68BA"/>
    <w:rsid w:val="00DB6D05"/>
    <w:rsid w:val="00DB7E17"/>
    <w:rsid w:val="00DC0B8F"/>
    <w:rsid w:val="00DC10C1"/>
    <w:rsid w:val="00DC1FDE"/>
    <w:rsid w:val="00DC213A"/>
    <w:rsid w:val="00DC2B07"/>
    <w:rsid w:val="00DC2F0A"/>
    <w:rsid w:val="00DC3D3C"/>
    <w:rsid w:val="00DC45FA"/>
    <w:rsid w:val="00DC4F41"/>
    <w:rsid w:val="00DC4F59"/>
    <w:rsid w:val="00DC5FF0"/>
    <w:rsid w:val="00DD03B7"/>
    <w:rsid w:val="00DD083D"/>
    <w:rsid w:val="00DD22EF"/>
    <w:rsid w:val="00DD3393"/>
    <w:rsid w:val="00DD5142"/>
    <w:rsid w:val="00DD5E4D"/>
    <w:rsid w:val="00DD6703"/>
    <w:rsid w:val="00DD7C13"/>
    <w:rsid w:val="00DD7E78"/>
    <w:rsid w:val="00DE0B6E"/>
    <w:rsid w:val="00DE0BF7"/>
    <w:rsid w:val="00DE2763"/>
    <w:rsid w:val="00DE27F6"/>
    <w:rsid w:val="00DE4189"/>
    <w:rsid w:val="00DE41FD"/>
    <w:rsid w:val="00DE4B9C"/>
    <w:rsid w:val="00DE5B69"/>
    <w:rsid w:val="00DE6B8A"/>
    <w:rsid w:val="00DF05AE"/>
    <w:rsid w:val="00DF0961"/>
    <w:rsid w:val="00DF2DF6"/>
    <w:rsid w:val="00DF5364"/>
    <w:rsid w:val="00DF5C7D"/>
    <w:rsid w:val="00DF71EF"/>
    <w:rsid w:val="00E00B95"/>
    <w:rsid w:val="00E02662"/>
    <w:rsid w:val="00E02EFA"/>
    <w:rsid w:val="00E0396E"/>
    <w:rsid w:val="00E0430E"/>
    <w:rsid w:val="00E046CA"/>
    <w:rsid w:val="00E05873"/>
    <w:rsid w:val="00E05A1B"/>
    <w:rsid w:val="00E062F4"/>
    <w:rsid w:val="00E068FA"/>
    <w:rsid w:val="00E12107"/>
    <w:rsid w:val="00E16080"/>
    <w:rsid w:val="00E1748C"/>
    <w:rsid w:val="00E21693"/>
    <w:rsid w:val="00E22461"/>
    <w:rsid w:val="00E240F1"/>
    <w:rsid w:val="00E2523B"/>
    <w:rsid w:val="00E25972"/>
    <w:rsid w:val="00E2678E"/>
    <w:rsid w:val="00E30E62"/>
    <w:rsid w:val="00E320ED"/>
    <w:rsid w:val="00E32E26"/>
    <w:rsid w:val="00E333BC"/>
    <w:rsid w:val="00E34E72"/>
    <w:rsid w:val="00E36833"/>
    <w:rsid w:val="00E37588"/>
    <w:rsid w:val="00E412F5"/>
    <w:rsid w:val="00E41A45"/>
    <w:rsid w:val="00E42C3B"/>
    <w:rsid w:val="00E432A6"/>
    <w:rsid w:val="00E45920"/>
    <w:rsid w:val="00E45E17"/>
    <w:rsid w:val="00E468A3"/>
    <w:rsid w:val="00E46EB6"/>
    <w:rsid w:val="00E47363"/>
    <w:rsid w:val="00E47BE5"/>
    <w:rsid w:val="00E47E64"/>
    <w:rsid w:val="00E503DE"/>
    <w:rsid w:val="00E5202D"/>
    <w:rsid w:val="00E54A65"/>
    <w:rsid w:val="00E54E40"/>
    <w:rsid w:val="00E55062"/>
    <w:rsid w:val="00E57EF9"/>
    <w:rsid w:val="00E6234E"/>
    <w:rsid w:val="00E624DB"/>
    <w:rsid w:val="00E6363F"/>
    <w:rsid w:val="00E63C38"/>
    <w:rsid w:val="00E6630B"/>
    <w:rsid w:val="00E66482"/>
    <w:rsid w:val="00E67EA2"/>
    <w:rsid w:val="00E7109A"/>
    <w:rsid w:val="00E72C90"/>
    <w:rsid w:val="00E731B8"/>
    <w:rsid w:val="00E75C28"/>
    <w:rsid w:val="00E76EAE"/>
    <w:rsid w:val="00E81BD2"/>
    <w:rsid w:val="00E850EE"/>
    <w:rsid w:val="00E85468"/>
    <w:rsid w:val="00E864A7"/>
    <w:rsid w:val="00E871FC"/>
    <w:rsid w:val="00E917CD"/>
    <w:rsid w:val="00E92489"/>
    <w:rsid w:val="00E94937"/>
    <w:rsid w:val="00E96016"/>
    <w:rsid w:val="00E9754F"/>
    <w:rsid w:val="00EA1FDA"/>
    <w:rsid w:val="00EA2AD5"/>
    <w:rsid w:val="00EA2BFD"/>
    <w:rsid w:val="00EA3730"/>
    <w:rsid w:val="00EA4A29"/>
    <w:rsid w:val="00EA4E5E"/>
    <w:rsid w:val="00EA524F"/>
    <w:rsid w:val="00EA593B"/>
    <w:rsid w:val="00EB3309"/>
    <w:rsid w:val="00EB48DF"/>
    <w:rsid w:val="00EB74CC"/>
    <w:rsid w:val="00EB7893"/>
    <w:rsid w:val="00EC0742"/>
    <w:rsid w:val="00EC17DC"/>
    <w:rsid w:val="00EC21B2"/>
    <w:rsid w:val="00EC2546"/>
    <w:rsid w:val="00EC26E1"/>
    <w:rsid w:val="00EC2ECE"/>
    <w:rsid w:val="00EC4E25"/>
    <w:rsid w:val="00EC52DA"/>
    <w:rsid w:val="00EC5452"/>
    <w:rsid w:val="00EC6747"/>
    <w:rsid w:val="00EC7D4D"/>
    <w:rsid w:val="00ED055E"/>
    <w:rsid w:val="00ED0CB0"/>
    <w:rsid w:val="00ED1333"/>
    <w:rsid w:val="00ED2331"/>
    <w:rsid w:val="00ED4A7A"/>
    <w:rsid w:val="00ED53B0"/>
    <w:rsid w:val="00ED56BE"/>
    <w:rsid w:val="00ED6B90"/>
    <w:rsid w:val="00ED7194"/>
    <w:rsid w:val="00EE01BD"/>
    <w:rsid w:val="00EE20AC"/>
    <w:rsid w:val="00EE221F"/>
    <w:rsid w:val="00EE24A6"/>
    <w:rsid w:val="00EE24E4"/>
    <w:rsid w:val="00EE3633"/>
    <w:rsid w:val="00EE424D"/>
    <w:rsid w:val="00EE5E16"/>
    <w:rsid w:val="00EE6C5D"/>
    <w:rsid w:val="00EE7024"/>
    <w:rsid w:val="00EF10D6"/>
    <w:rsid w:val="00EF1A69"/>
    <w:rsid w:val="00EF2E55"/>
    <w:rsid w:val="00EF3822"/>
    <w:rsid w:val="00EF3F21"/>
    <w:rsid w:val="00EF412C"/>
    <w:rsid w:val="00EF5501"/>
    <w:rsid w:val="00EF5CFD"/>
    <w:rsid w:val="00F00089"/>
    <w:rsid w:val="00F00187"/>
    <w:rsid w:val="00F013F3"/>
    <w:rsid w:val="00F027C8"/>
    <w:rsid w:val="00F05052"/>
    <w:rsid w:val="00F05424"/>
    <w:rsid w:val="00F0714F"/>
    <w:rsid w:val="00F10BD8"/>
    <w:rsid w:val="00F10DF1"/>
    <w:rsid w:val="00F12609"/>
    <w:rsid w:val="00F13D83"/>
    <w:rsid w:val="00F154E2"/>
    <w:rsid w:val="00F1551E"/>
    <w:rsid w:val="00F17B45"/>
    <w:rsid w:val="00F20A45"/>
    <w:rsid w:val="00F20F01"/>
    <w:rsid w:val="00F21019"/>
    <w:rsid w:val="00F215AF"/>
    <w:rsid w:val="00F21B24"/>
    <w:rsid w:val="00F21D89"/>
    <w:rsid w:val="00F236B5"/>
    <w:rsid w:val="00F27766"/>
    <w:rsid w:val="00F365EF"/>
    <w:rsid w:val="00F3665E"/>
    <w:rsid w:val="00F367B0"/>
    <w:rsid w:val="00F37435"/>
    <w:rsid w:val="00F374A6"/>
    <w:rsid w:val="00F41AC4"/>
    <w:rsid w:val="00F41BA6"/>
    <w:rsid w:val="00F42027"/>
    <w:rsid w:val="00F42EE5"/>
    <w:rsid w:val="00F438A7"/>
    <w:rsid w:val="00F456AD"/>
    <w:rsid w:val="00F46447"/>
    <w:rsid w:val="00F47F50"/>
    <w:rsid w:val="00F51474"/>
    <w:rsid w:val="00F518A0"/>
    <w:rsid w:val="00F53B1D"/>
    <w:rsid w:val="00F549E8"/>
    <w:rsid w:val="00F55EC2"/>
    <w:rsid w:val="00F55F63"/>
    <w:rsid w:val="00F56E7A"/>
    <w:rsid w:val="00F574B6"/>
    <w:rsid w:val="00F6295E"/>
    <w:rsid w:val="00F63A00"/>
    <w:rsid w:val="00F653E3"/>
    <w:rsid w:val="00F658D3"/>
    <w:rsid w:val="00F65DA1"/>
    <w:rsid w:val="00F66B82"/>
    <w:rsid w:val="00F7289C"/>
    <w:rsid w:val="00F72A9C"/>
    <w:rsid w:val="00F72D8B"/>
    <w:rsid w:val="00F72FEE"/>
    <w:rsid w:val="00F7385F"/>
    <w:rsid w:val="00F74122"/>
    <w:rsid w:val="00F74377"/>
    <w:rsid w:val="00F746A5"/>
    <w:rsid w:val="00F7530D"/>
    <w:rsid w:val="00F75CFC"/>
    <w:rsid w:val="00F75D23"/>
    <w:rsid w:val="00F808BB"/>
    <w:rsid w:val="00F8387F"/>
    <w:rsid w:val="00F841D1"/>
    <w:rsid w:val="00F86223"/>
    <w:rsid w:val="00F90A8E"/>
    <w:rsid w:val="00F91B59"/>
    <w:rsid w:val="00F91D32"/>
    <w:rsid w:val="00F92421"/>
    <w:rsid w:val="00F95079"/>
    <w:rsid w:val="00F95B10"/>
    <w:rsid w:val="00F96ABF"/>
    <w:rsid w:val="00F97E52"/>
    <w:rsid w:val="00FA0EE9"/>
    <w:rsid w:val="00FA107D"/>
    <w:rsid w:val="00FA1618"/>
    <w:rsid w:val="00FA3A39"/>
    <w:rsid w:val="00FA48D9"/>
    <w:rsid w:val="00FA6BCE"/>
    <w:rsid w:val="00FB19C3"/>
    <w:rsid w:val="00FB2798"/>
    <w:rsid w:val="00FB2A0F"/>
    <w:rsid w:val="00FB33CC"/>
    <w:rsid w:val="00FB4774"/>
    <w:rsid w:val="00FB6EE6"/>
    <w:rsid w:val="00FB76C5"/>
    <w:rsid w:val="00FC0545"/>
    <w:rsid w:val="00FC11BE"/>
    <w:rsid w:val="00FC1750"/>
    <w:rsid w:val="00FC3791"/>
    <w:rsid w:val="00FC3CF2"/>
    <w:rsid w:val="00FC4885"/>
    <w:rsid w:val="00FC535E"/>
    <w:rsid w:val="00FC6447"/>
    <w:rsid w:val="00FC6E1E"/>
    <w:rsid w:val="00FD15D5"/>
    <w:rsid w:val="00FD4104"/>
    <w:rsid w:val="00FD4D24"/>
    <w:rsid w:val="00FD5CF1"/>
    <w:rsid w:val="00FD643E"/>
    <w:rsid w:val="00FD7199"/>
    <w:rsid w:val="00FD76BB"/>
    <w:rsid w:val="00FE12FE"/>
    <w:rsid w:val="00FE21C9"/>
    <w:rsid w:val="00FE26FB"/>
    <w:rsid w:val="00FE2F93"/>
    <w:rsid w:val="00FE46F6"/>
    <w:rsid w:val="00FE63D6"/>
    <w:rsid w:val="00FF20A3"/>
    <w:rsid w:val="00FF33CE"/>
    <w:rsid w:val="00FF3790"/>
    <w:rsid w:val="00FF38CB"/>
    <w:rsid w:val="00FF4C9F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03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D3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3ED3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ED3"/>
    <w:rPr>
      <w:rFonts w:eastAsiaTheme="majorEastAsia" w:cstheme="majorBidi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3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D3"/>
  </w:style>
  <w:style w:type="paragraph" w:styleId="BodyText">
    <w:name w:val="Body Text"/>
    <w:basedOn w:val="Normal"/>
    <w:link w:val="BodyTextChar"/>
    <w:rsid w:val="00485B27"/>
    <w:pPr>
      <w:spacing w:after="220"/>
    </w:pPr>
    <w:rPr>
      <w:rFonts w:ascii="Calibri" w:eastAsia="Times New Roman" w:hAnsi="Calibri" w:cs="Calibri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485B27"/>
    <w:rPr>
      <w:rFonts w:ascii="Calibri" w:eastAsia="Times New Roman" w:hAnsi="Calibri" w:cs="Calibri"/>
      <w:szCs w:val="24"/>
      <w:lang w:eastAsia="en-GB"/>
    </w:rPr>
  </w:style>
  <w:style w:type="table" w:styleId="TableGrid">
    <w:name w:val="Table Grid"/>
    <w:basedOn w:val="TableNormal"/>
    <w:uiPriority w:val="39"/>
    <w:rsid w:val="00485B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0D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F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2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2153</Words>
  <Characters>12277</Characters>
  <Application>Microsoft Office Word</Application>
  <DocSecurity>0</DocSecurity>
  <Lines>102</Lines>
  <Paragraphs>28</Paragraphs>
  <ScaleCrop>false</ScaleCrop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2021-05-11T08:06:00Z</dcterms:created>
  <dcterms:modified xsi:type="dcterms:W3CDTF">2021-05-12T19:57:00Z</dcterms:modified>
</cp:coreProperties>
</file>