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08713" w14:textId="1276158D" w:rsidR="002702CF" w:rsidRDefault="002702CF" w:rsidP="0079328C">
      <w:pPr>
        <w:pStyle w:val="1"/>
        <w:jc w:val="both"/>
      </w:pPr>
      <w:bookmarkStart w:id="0" w:name="_Hlk34772904"/>
      <w:r>
        <w:t>Supplementary data</w:t>
      </w:r>
      <w:r w:rsidR="002C63DC">
        <w:t xml:space="preserve"> 1</w:t>
      </w:r>
    </w:p>
    <w:p w14:paraId="64BACBC0" w14:textId="77777777" w:rsidR="002702CF" w:rsidRPr="007C3652" w:rsidRDefault="002702CF" w:rsidP="0079328C">
      <w:pPr>
        <w:pStyle w:val="2"/>
        <w:numPr>
          <w:ilvl w:val="0"/>
          <w:numId w:val="7"/>
        </w:numPr>
        <w:ind w:left="0" w:firstLine="0"/>
        <w:jc w:val="both"/>
      </w:pPr>
      <w:r w:rsidRPr="007C3652">
        <w:t>H</w:t>
      </w:r>
      <w:r w:rsidRPr="007C3652">
        <w:rPr>
          <w:rFonts w:hint="eastAsia"/>
        </w:rPr>
        <w:t xml:space="preserve">igh </w:t>
      </w:r>
      <w:bookmarkStart w:id="1" w:name="_Hlk34773634"/>
      <w:r w:rsidRPr="007C3652">
        <w:rPr>
          <w:rFonts w:hint="eastAsia"/>
        </w:rPr>
        <w:t xml:space="preserve">glucose </w:t>
      </w:r>
      <w:r w:rsidRPr="007C3652">
        <w:t>promoted PARP-1 overexpression and SIRT-1</w:t>
      </w:r>
      <w:r>
        <w:t xml:space="preserve"> </w:t>
      </w:r>
      <w:r w:rsidRPr="007C3652">
        <w:t>down-expression in MCs</w:t>
      </w:r>
      <w:bookmarkEnd w:id="1"/>
      <w:r w:rsidRPr="007C3652">
        <w:t xml:space="preserve"> in a time-</w:t>
      </w:r>
      <w:r>
        <w:t xml:space="preserve"> </w:t>
      </w:r>
      <w:r w:rsidRPr="007C3652">
        <w:rPr>
          <w:rFonts w:hint="eastAsia"/>
        </w:rPr>
        <w:t>and</w:t>
      </w:r>
      <w:r w:rsidRPr="007C3652">
        <w:t xml:space="preserve"> dose-</w:t>
      </w:r>
      <w:r>
        <w:t>d</w:t>
      </w:r>
      <w:r w:rsidRPr="007C3652">
        <w:t>ependent manner</w:t>
      </w:r>
      <w:bookmarkEnd w:id="0"/>
    </w:p>
    <w:p w14:paraId="6D277B82" w14:textId="3E02B428" w:rsidR="002702CF" w:rsidRDefault="002702CF" w:rsidP="00A87351">
      <w:pPr>
        <w:widowControl/>
        <w:spacing w:line="480" w:lineRule="auto"/>
        <w:rPr>
          <w:rFonts w:ascii="Arial" w:eastAsia="等线" w:hAnsi="Arial" w:cs="Times New Roman"/>
          <w:kern w:val="0"/>
          <w:sz w:val="20"/>
          <w:lang w:eastAsia="en-US"/>
        </w:rPr>
      </w:pP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According previous research, hyperglycemia can cause the accumulation of </w:t>
      </w:r>
      <w:r>
        <w:rPr>
          <w:rFonts w:ascii="Arial" w:eastAsia="等线" w:hAnsi="Arial" w:cs="Times New Roman"/>
          <w:kern w:val="0"/>
          <w:sz w:val="20"/>
          <w:lang w:eastAsia="en-US"/>
        </w:rPr>
        <w:t>ECM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and cell death in mice kidney </w:t>
      </w:r>
      <w:r w:rsidRPr="007D5FC0">
        <w:rPr>
          <w:rFonts w:ascii="Arial" w:eastAsia="等线" w:hAnsi="Arial" w:cs="Times New Roman"/>
          <w:noProof/>
          <w:kern w:val="0"/>
          <w:sz w:val="20"/>
          <w:vertAlign w:val="superscript"/>
          <w:lang w:eastAsia="en-US"/>
        </w:rPr>
        <w:t>1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. The different doses and treated-times of the glucose, however, can be significantly correlated with the result of the experiment </w:t>
      </w:r>
      <w:r w:rsidRPr="007D5FC0">
        <w:rPr>
          <w:rFonts w:ascii="Arial" w:eastAsia="等线" w:hAnsi="Arial" w:cs="Times New Roman"/>
          <w:noProof/>
          <w:kern w:val="0"/>
          <w:sz w:val="20"/>
          <w:vertAlign w:val="superscript"/>
          <w:lang w:eastAsia="en-US"/>
        </w:rPr>
        <w:t>2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. Therefore, we further examined the cytotoxicity of a range of concentration of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glucose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(5, 10, 25, 50 mM) for varying durations (0, 24, 36, 48, and 72 hours) in MC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s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in order to access the most suitable experimental conditions.</w:t>
      </w:r>
      <w:bookmarkStart w:id="2" w:name="_Hlk34775741"/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 xml:space="preserve"> 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>Cell viability</w:t>
      </w:r>
      <w:bookmarkEnd w:id="2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differs upon different time treatment of glucose ranging from 5 to 50 mM (data not shown). </w:t>
      </w:r>
      <w:bookmarkStart w:id="3" w:name="_Hlk34776736"/>
      <w:r w:rsidRPr="007C3652">
        <w:rPr>
          <w:rFonts w:ascii="Arial" w:eastAsia="等线" w:hAnsi="Arial" w:cs="Times New Roman"/>
          <w:kern w:val="0"/>
          <w:sz w:val="20"/>
          <w:lang w:eastAsia="en-US"/>
        </w:rPr>
        <w:t>And then the expression of PARP-1 and SIRT-1 in MCs exposed to different dosages of glucose conditions were measured with the Western blotting</w:t>
      </w:r>
      <w:bookmarkEnd w:id="3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to explore functional dosage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and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time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manner of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glucose</w:t>
      </w:r>
      <w:r>
        <w:rPr>
          <w:rFonts w:ascii="Arial" w:eastAsia="等线" w:hAnsi="Arial" w:cs="Times New Roman"/>
          <w:kern w:val="0"/>
          <w:sz w:val="20"/>
          <w:lang w:eastAsia="en-US"/>
        </w:rPr>
        <w:t xml:space="preserve"> (Supplementary Figure 1A, 1B, 1C, 1D, 1E)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. Although the great changes of the levels of PARP-1 in 10 mM and 25 mM have appeared at 24 h and 36 h (for P &lt; 0.05), the significant changes both in PARP-1 and SIRT-1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protein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s levels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mainly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occurred between 5 mM and 25 mM glucose at 24 h, 36 h and 48 h (All p &lt; 0.05) (</w:t>
      </w:r>
      <w:r>
        <w:rPr>
          <w:rFonts w:ascii="Arial" w:eastAsia="等线" w:hAnsi="Arial" w:cs="Times New Roman"/>
          <w:kern w:val="0"/>
          <w:sz w:val="20"/>
          <w:lang w:eastAsia="en-US"/>
        </w:rPr>
        <w:t>Supplementary Figure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r>
        <w:rPr>
          <w:rFonts w:ascii="Arial" w:eastAsia="等线" w:hAnsi="Arial" w:cs="Times New Roman"/>
          <w:kern w:val="0"/>
          <w:sz w:val="20"/>
          <w:lang w:eastAsia="en-US"/>
        </w:rPr>
        <w:t>1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B, </w:t>
      </w:r>
      <w:r>
        <w:rPr>
          <w:rFonts w:ascii="Arial" w:eastAsia="等线" w:hAnsi="Arial" w:cs="Times New Roman"/>
          <w:kern w:val="0"/>
          <w:sz w:val="20"/>
          <w:lang w:eastAsia="en-US"/>
        </w:rPr>
        <w:t>1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C, </w:t>
      </w:r>
      <w:r>
        <w:rPr>
          <w:rFonts w:ascii="Arial" w:eastAsia="等线" w:hAnsi="Arial" w:cs="Times New Roman"/>
          <w:kern w:val="0"/>
          <w:sz w:val="20"/>
          <w:lang w:eastAsia="en-US"/>
        </w:rPr>
        <w:t>1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>D). In addition, the increase of PARP-1 is generally more obvious than the decline of SIRT-1, which can be approved by the results that almost all the time-treatments are significant</w:t>
      </w:r>
      <w:r>
        <w:rPr>
          <w:rFonts w:ascii="Arial" w:eastAsia="等线" w:hAnsi="Arial" w:cs="Times New Roman"/>
          <w:kern w:val="0"/>
          <w:sz w:val="20"/>
          <w:lang w:eastAsia="en-US"/>
        </w:rPr>
        <w:t xml:space="preserve"> (Supplementary Figure 1B, 1C, 1D, 1E)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>. Taken together, h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 xml:space="preserve">igh glucose 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>induced PARP-1 overexpression and SIRT-1 down-expression in MCs in a time-</w:t>
      </w:r>
      <w:r w:rsidR="00996B1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and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dose-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d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ependent manner. </w:t>
      </w:r>
    </w:p>
    <w:p w14:paraId="7A03CB4C" w14:textId="21EB870C" w:rsidR="00636833" w:rsidRDefault="007C582E" w:rsidP="00636833">
      <w:pPr>
        <w:widowControl/>
        <w:autoSpaceDE w:val="0"/>
        <w:autoSpaceDN w:val="0"/>
        <w:adjustRightInd w:val="0"/>
        <w:spacing w:after="240"/>
        <w:rPr>
          <w:rFonts w:ascii="Arial" w:eastAsia="等线" w:hAnsi="Arial" w:cs="Arial"/>
          <w:color w:val="101010"/>
          <w:kern w:val="0"/>
          <w:sz w:val="20"/>
          <w:szCs w:val="20"/>
        </w:rPr>
      </w:pPr>
      <w:r>
        <w:rPr>
          <w:rFonts w:ascii="Arial" w:eastAsia="等线" w:hAnsi="Arial" w:cs="Times New Roman"/>
          <w:noProof/>
          <w:kern w:val="0"/>
          <w:sz w:val="20"/>
          <w:lang w:eastAsia="en-US"/>
        </w:rPr>
        <w:lastRenderedPageBreak/>
        <w:drawing>
          <wp:inline distT="0" distB="0" distL="0" distR="0" wp14:anchorId="314368D0" wp14:editId="3E64F98E">
            <wp:extent cx="5269865" cy="5230495"/>
            <wp:effectExtent l="0" t="0" r="698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865" cy="52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6833" w:rsidRPr="00636833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</w:t>
      </w:r>
      <w:r w:rsidR="00636833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Supplementary Figure </w:t>
      </w:r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1. The effect of different doses of glucose in promoting PARP-1 overexpression and SIRT-1 down-expression in MCs at different time. A, Western blotting results showed that the expression of PARP-1 and SIRT-1 in MCs treated with hyperglycemia for 0 hours at a different step concentration from 5 mM to 50 </w:t>
      </w:r>
      <w:proofErr w:type="spellStart"/>
      <w:r w:rsidR="00636833">
        <w:rPr>
          <w:rFonts w:ascii="Arial" w:hAnsi="Arial" w:cs="Arial"/>
          <w:color w:val="101010"/>
          <w:kern w:val="0"/>
          <w:sz w:val="20"/>
          <w:szCs w:val="20"/>
        </w:rPr>
        <w:t>mM.</w:t>
      </w:r>
      <w:proofErr w:type="spellEnd"/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 B, Treated the MCs for 24 h at the same step concentration. C, </w:t>
      </w:r>
      <w:bookmarkStart w:id="4" w:name="OLE_LINK15"/>
      <w:bookmarkStart w:id="5" w:name="OLE_LINK16"/>
      <w:r w:rsidR="00636833">
        <w:rPr>
          <w:rFonts w:ascii="Arial" w:hAnsi="Arial" w:cs="Arial"/>
          <w:color w:val="101010"/>
          <w:kern w:val="0"/>
          <w:sz w:val="20"/>
          <w:szCs w:val="20"/>
        </w:rPr>
        <w:t>a step concentration treatment for 36 h</w:t>
      </w:r>
      <w:bookmarkEnd w:id="4"/>
      <w:bookmarkEnd w:id="5"/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. D, a step concentration treatment for 48h. E, a step concentration treatment for 72 h. </w:t>
      </w:r>
      <w:bookmarkStart w:id="6" w:name="OLE_LINK35"/>
      <w:bookmarkStart w:id="7" w:name="OLE_LINK36"/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All the data is presented as mean </w:t>
      </w:r>
      <w:r w:rsidR="00636833">
        <w:rPr>
          <w:rFonts w:ascii="Arial" w:eastAsia="宋体" w:hAnsi="Arial" w:cs="Arial"/>
          <w:color w:val="101010"/>
          <w:kern w:val="0"/>
          <w:sz w:val="20"/>
          <w:szCs w:val="20"/>
        </w:rPr>
        <w:t xml:space="preserve">± </w:t>
      </w:r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SD. </w:t>
      </w:r>
      <w:r w:rsidR="00636833">
        <w:rPr>
          <w:rFonts w:ascii="Arial" w:eastAsia="等线" w:hAnsi="Arial" w:cs="Arial"/>
          <w:color w:val="000000"/>
          <w:kern w:val="0"/>
          <w:sz w:val="20"/>
          <w:szCs w:val="20"/>
        </w:rPr>
        <w:t>We conducted 3 independent experiments.</w:t>
      </w:r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 *Compared with </w:t>
      </w:r>
      <w:bookmarkStart w:id="8" w:name="OLE_LINK19"/>
      <w:bookmarkStart w:id="9" w:name="OLE_LINK24"/>
      <w:r w:rsidR="00636833">
        <w:rPr>
          <w:rFonts w:ascii="Arial" w:hAnsi="Arial" w:cs="Arial"/>
          <w:color w:val="101010"/>
          <w:kern w:val="0"/>
          <w:sz w:val="20"/>
          <w:szCs w:val="20"/>
        </w:rPr>
        <w:t>treatment at a dose of 5 mM</w:t>
      </w:r>
      <w:bookmarkEnd w:id="8"/>
      <w:bookmarkEnd w:id="9"/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, </w:t>
      </w:r>
      <w:r w:rsidR="00636833">
        <w:rPr>
          <w:rFonts w:ascii="Arial" w:hAnsi="Arial" w:cs="Arial"/>
          <w:i/>
          <w:iCs/>
          <w:color w:val="101010"/>
          <w:kern w:val="0"/>
          <w:sz w:val="20"/>
          <w:szCs w:val="20"/>
        </w:rPr>
        <w:t xml:space="preserve">P &lt; </w:t>
      </w:r>
      <w:r w:rsidR="00636833">
        <w:rPr>
          <w:rFonts w:ascii="Arial" w:hAnsi="Arial" w:cs="Arial"/>
          <w:color w:val="101010"/>
          <w:kern w:val="0"/>
          <w:sz w:val="20"/>
          <w:szCs w:val="20"/>
        </w:rPr>
        <w:t xml:space="preserve">0.05; **Compared with treatment at a dose of 5 mM, </w:t>
      </w:r>
      <w:r w:rsidR="00636833">
        <w:rPr>
          <w:rFonts w:ascii="Arial" w:hAnsi="Arial" w:cs="Arial"/>
          <w:i/>
          <w:iCs/>
          <w:color w:val="101010"/>
          <w:kern w:val="0"/>
          <w:sz w:val="20"/>
          <w:szCs w:val="20"/>
        </w:rPr>
        <w:t xml:space="preserve">P &lt; </w:t>
      </w:r>
      <w:r w:rsidR="00636833">
        <w:rPr>
          <w:rFonts w:ascii="Arial" w:hAnsi="Arial" w:cs="Arial"/>
          <w:color w:val="101010"/>
          <w:kern w:val="0"/>
          <w:sz w:val="20"/>
          <w:szCs w:val="20"/>
        </w:rPr>
        <w:t>0.01.</w:t>
      </w:r>
      <w:r w:rsidR="00636833"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 </w:t>
      </w:r>
      <w:r w:rsidR="00636833">
        <w:rPr>
          <w:rFonts w:ascii="Arial" w:eastAsia="等线" w:hAnsi="Arial" w:cs="Arial"/>
          <w:color w:val="101010"/>
          <w:kern w:val="0"/>
          <w:sz w:val="20"/>
          <w:szCs w:val="20"/>
          <w:vertAlign w:val="superscript"/>
        </w:rPr>
        <w:t>#</w:t>
      </w:r>
      <w:r w:rsidR="00636833"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Compared with 10 mM, </w:t>
      </w:r>
      <w:r w:rsidR="00636833">
        <w:rPr>
          <w:rFonts w:ascii="Arial" w:eastAsia="等线" w:hAnsi="Arial" w:cs="Arial"/>
          <w:i/>
          <w:iCs/>
          <w:color w:val="101010"/>
          <w:kern w:val="0"/>
          <w:sz w:val="20"/>
          <w:szCs w:val="20"/>
        </w:rPr>
        <w:t xml:space="preserve">P &lt; </w:t>
      </w:r>
      <w:r w:rsidR="00636833">
        <w:rPr>
          <w:rFonts w:ascii="Arial" w:eastAsia="等线" w:hAnsi="Arial" w:cs="Arial"/>
          <w:color w:val="101010"/>
          <w:kern w:val="0"/>
          <w:sz w:val="20"/>
          <w:szCs w:val="20"/>
        </w:rPr>
        <w:t>0.05</w:t>
      </w:r>
      <w:bookmarkEnd w:id="6"/>
      <w:bookmarkEnd w:id="7"/>
      <w:r w:rsidR="00636833">
        <w:rPr>
          <w:rFonts w:ascii="Arial" w:eastAsia="等线" w:hAnsi="Arial" w:cs="Arial"/>
          <w:color w:val="101010"/>
          <w:kern w:val="0"/>
          <w:sz w:val="20"/>
          <w:szCs w:val="20"/>
        </w:rPr>
        <w:t>.</w:t>
      </w:r>
    </w:p>
    <w:p w14:paraId="63A88DD5" w14:textId="2BAB682C" w:rsidR="002C63DC" w:rsidRDefault="002C63DC" w:rsidP="002C63DC">
      <w:pPr>
        <w:pStyle w:val="1"/>
        <w:jc w:val="both"/>
        <w:rPr>
          <w:color w:val="101010"/>
          <w:kern w:val="0"/>
          <w:sz w:val="20"/>
          <w:szCs w:val="20"/>
        </w:rPr>
      </w:pPr>
      <w:r>
        <w:lastRenderedPageBreak/>
        <w:t xml:space="preserve">Supplementary data </w:t>
      </w:r>
      <w:r>
        <w:t>2</w:t>
      </w:r>
    </w:p>
    <w:p w14:paraId="1EBA269C" w14:textId="77777777" w:rsidR="002702CF" w:rsidRPr="007C3652" w:rsidRDefault="002702CF" w:rsidP="0079328C">
      <w:pPr>
        <w:pStyle w:val="2"/>
        <w:jc w:val="both"/>
      </w:pPr>
      <w:r w:rsidRPr="007C3652">
        <w:t>2. Effect of PJ34 and EX527 on hyperglycemia-induced activation of MCs</w:t>
      </w:r>
    </w:p>
    <w:p w14:paraId="6667F63A" w14:textId="79025843" w:rsidR="002702CF" w:rsidRDefault="002702CF" w:rsidP="00A87351">
      <w:pPr>
        <w:widowControl/>
        <w:spacing w:line="480" w:lineRule="auto"/>
        <w:rPr>
          <w:rFonts w:ascii="Arial" w:eastAsia="等线" w:hAnsi="Arial" w:cs="Times New Roman"/>
          <w:kern w:val="0"/>
          <w:sz w:val="20"/>
          <w:lang w:eastAsia="en-US"/>
        </w:rPr>
      </w:pP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To further explore functional dosage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and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time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manner of PARP-1 inhibitor PJ34 and SIRT-1 inhibitor EX527, we tested PARP-1 and SIRT-1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protein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s upon different dosage of PJ34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and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EX527 treatment. As previous results show (</w:t>
      </w:r>
      <w:r>
        <w:rPr>
          <w:rFonts w:ascii="Arial" w:eastAsia="等线" w:hAnsi="Arial" w:cs="Times New Roman"/>
          <w:kern w:val="0"/>
          <w:sz w:val="20"/>
          <w:lang w:eastAsia="en-US"/>
        </w:rPr>
        <w:t>Supplementary Figure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r>
        <w:rPr>
          <w:rFonts w:ascii="Arial" w:eastAsia="等线" w:hAnsi="Arial" w:cs="Times New Roman"/>
          <w:kern w:val="0"/>
          <w:sz w:val="20"/>
          <w:lang w:eastAsia="en-US"/>
        </w:rPr>
        <w:t>1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), the levels of PARP-1 and SIRT-1 have changed significantly in the 24 h- and 48 h-treatment (p &lt; 0.05, 5 mM vs 25 mM). Therefore, 24 h- and 48 h-treatment were selected as the detection time point at which we presented our experiments. </w:t>
      </w:r>
      <w:bookmarkStart w:id="10" w:name="_Hlk60045130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Then we found that </w:t>
      </w:r>
      <w:bookmarkEnd w:id="10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PJ34 inhibited PARP-1 dramatically at a concentration of 3 </w:t>
      </w:r>
      <w:proofErr w:type="spellStart"/>
      <w:r w:rsidRPr="007C3652">
        <w:rPr>
          <w:rFonts w:ascii="Arial" w:eastAsia="等线" w:hAnsi="Arial" w:cs="Times New Roman"/>
          <w:kern w:val="0"/>
          <w:sz w:val="20"/>
          <w:lang w:eastAsia="en-US"/>
        </w:rPr>
        <w:t>μ</w:t>
      </w:r>
      <w:r w:rsidR="00996B12">
        <w:rPr>
          <w:rFonts w:ascii="Arial" w:eastAsia="等线" w:hAnsi="Arial" w:cs="Times New Roman"/>
          <w:kern w:val="0"/>
          <w:sz w:val="20"/>
          <w:lang w:eastAsia="en-US"/>
        </w:rPr>
        <w:t>L</w:t>
      </w:r>
      <w:proofErr w:type="spellEnd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at 48 h (p &lt; 0.0</w:t>
      </w:r>
      <w:r w:rsidR="00996B12">
        <w:rPr>
          <w:rFonts w:ascii="Arial" w:eastAsia="等线" w:hAnsi="Arial" w:cs="Times New Roman"/>
          <w:kern w:val="0"/>
          <w:sz w:val="20"/>
          <w:lang w:eastAsia="en-US"/>
        </w:rPr>
        <w:t>5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) while EX527 inhibited SIRT-1 prominently at a dose of </w:t>
      </w:r>
      <w:r w:rsidR="00996B12">
        <w:rPr>
          <w:rFonts w:ascii="Arial" w:eastAsia="等线" w:hAnsi="Arial" w:cs="Times New Roman"/>
          <w:kern w:val="0"/>
          <w:sz w:val="20"/>
          <w:lang w:eastAsia="en-US"/>
        </w:rPr>
        <w:t>2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proofErr w:type="spellStart"/>
      <w:r w:rsidRPr="007C3652">
        <w:rPr>
          <w:rFonts w:ascii="Arial" w:eastAsia="等线" w:hAnsi="Arial" w:cs="Times New Roman"/>
          <w:kern w:val="0"/>
          <w:sz w:val="20"/>
          <w:lang w:eastAsia="en-US"/>
        </w:rPr>
        <w:t>μ</w:t>
      </w:r>
      <w:r w:rsidR="00996B12">
        <w:rPr>
          <w:rFonts w:ascii="Arial" w:eastAsia="等线" w:hAnsi="Arial" w:cs="Times New Roman"/>
          <w:kern w:val="0"/>
          <w:sz w:val="20"/>
          <w:lang w:eastAsia="en-US"/>
        </w:rPr>
        <w:t>L</w:t>
      </w:r>
      <w:proofErr w:type="spellEnd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at 48 h (p&lt;0.01) via Western blotting (</w:t>
      </w:r>
      <w:r>
        <w:rPr>
          <w:rFonts w:ascii="Arial" w:eastAsia="等线" w:hAnsi="Arial" w:cs="Times New Roman"/>
          <w:kern w:val="0"/>
          <w:sz w:val="20"/>
          <w:lang w:eastAsia="en-US"/>
        </w:rPr>
        <w:t>Supplementary Figure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r>
        <w:rPr>
          <w:rFonts w:ascii="Arial" w:eastAsia="等线" w:hAnsi="Arial" w:cs="Times New Roman"/>
          <w:kern w:val="0"/>
          <w:sz w:val="20"/>
          <w:lang w:eastAsia="en-US"/>
        </w:rPr>
        <w:t>2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>B). The same phenomenon was found in the 24h-treatment, but the phenomenon observed in 48 h-treatment was more obvious due to the results of the Western blotting</w:t>
      </w:r>
      <w:r>
        <w:rPr>
          <w:rFonts w:ascii="Arial" w:eastAsia="等线" w:hAnsi="Arial" w:cs="Times New Roman"/>
          <w:kern w:val="0"/>
          <w:sz w:val="20"/>
          <w:lang w:eastAsia="en-US"/>
        </w:rPr>
        <w:t xml:space="preserve"> (Supplementary Figure 2A)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>. Therefore, our results indicate that</w:t>
      </w:r>
      <w:bookmarkStart w:id="11" w:name="_Hlk34779680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the inhibitors of PARP-1 and SIRT-1 exert their effect on hyperglycemia- activated MCs in a dose- dependent manner</w:t>
      </w:r>
      <w:bookmarkEnd w:id="11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in which PJ34 was used at a concentration of </w:t>
      </w:r>
      <w:bookmarkStart w:id="12" w:name="OLE_LINK41"/>
      <w:bookmarkStart w:id="13" w:name="OLE_LINK42"/>
      <w:r w:rsidRPr="007C3652">
        <w:rPr>
          <w:rFonts w:ascii="Arial" w:eastAsia="等线" w:hAnsi="Arial" w:cs="Times New Roman"/>
          <w:kern w:val="0"/>
          <w:sz w:val="20"/>
          <w:lang w:eastAsia="en-US"/>
        </w:rPr>
        <w:t>3</w:t>
      </w:r>
      <w:bookmarkStart w:id="14" w:name="OLE_LINK39"/>
      <w:bookmarkStart w:id="15" w:name="OLE_LINK40"/>
      <w:bookmarkStart w:id="16" w:name="OLE_LINK37"/>
      <w:bookmarkStart w:id="17" w:name="OLE_LINK38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proofErr w:type="spellStart"/>
      <w:r w:rsidRPr="007C3652">
        <w:rPr>
          <w:rFonts w:ascii="Arial" w:eastAsia="等线" w:hAnsi="Arial" w:cs="Times New Roman"/>
          <w:kern w:val="0"/>
          <w:sz w:val="20"/>
          <w:lang w:eastAsia="en-US"/>
        </w:rPr>
        <w:t>μ</w:t>
      </w:r>
      <w:bookmarkEnd w:id="12"/>
      <w:bookmarkEnd w:id="13"/>
      <w:bookmarkEnd w:id="14"/>
      <w:bookmarkEnd w:id="15"/>
      <w:bookmarkEnd w:id="16"/>
      <w:bookmarkEnd w:id="17"/>
      <w:r w:rsidR="00996B12">
        <w:rPr>
          <w:rFonts w:ascii="Arial" w:eastAsia="等线" w:hAnsi="Arial" w:cs="Times New Roman"/>
          <w:kern w:val="0"/>
          <w:sz w:val="20"/>
          <w:lang w:eastAsia="en-US"/>
        </w:rPr>
        <w:t>L</w:t>
      </w:r>
      <w:proofErr w:type="spellEnd"/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and EX527 was at </w:t>
      </w:r>
      <w:r w:rsidR="00996B12">
        <w:rPr>
          <w:rFonts w:ascii="Arial" w:eastAsia="等线" w:hAnsi="Arial" w:cs="Times New Roman"/>
          <w:kern w:val="0"/>
          <w:sz w:val="20"/>
          <w:lang w:eastAsia="en-US"/>
        </w:rPr>
        <w:t>2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proofErr w:type="spellStart"/>
      <w:r w:rsidRPr="007C3652">
        <w:rPr>
          <w:rFonts w:ascii="Arial" w:eastAsia="等线" w:hAnsi="Arial" w:cs="Times New Roman"/>
          <w:kern w:val="0"/>
          <w:sz w:val="20"/>
          <w:lang w:eastAsia="en-US"/>
        </w:rPr>
        <w:t>μ</w:t>
      </w:r>
      <w:r w:rsidR="00996B12">
        <w:rPr>
          <w:rFonts w:ascii="Arial" w:eastAsia="等线" w:hAnsi="Arial" w:cs="Times New Roman"/>
          <w:kern w:val="0"/>
          <w:sz w:val="20"/>
          <w:lang w:eastAsia="en-US"/>
        </w:rPr>
        <w:t>L</w:t>
      </w:r>
      <w:proofErr w:type="spellEnd"/>
      <w:r w:rsidRPr="007C3652">
        <w:rPr>
          <w:rFonts w:ascii="Arial" w:eastAsia="等线" w:hAnsi="Arial" w:cs="Times New Roman"/>
          <w:kern w:val="0"/>
          <w:sz w:val="20"/>
          <w:lang w:eastAsia="en-US"/>
        </w:rPr>
        <w:t>.</w:t>
      </w:r>
    </w:p>
    <w:p w14:paraId="456FB0E4" w14:textId="69C83061" w:rsidR="00636833" w:rsidRDefault="00636833" w:rsidP="00636833">
      <w:pPr>
        <w:widowControl/>
        <w:autoSpaceDE w:val="0"/>
        <w:autoSpaceDN w:val="0"/>
        <w:adjustRightInd w:val="0"/>
        <w:spacing w:after="240"/>
        <w:rPr>
          <w:rFonts w:ascii="Arial" w:eastAsia="等线" w:hAnsi="Arial" w:cs="Arial"/>
          <w:color w:val="101010"/>
          <w:kern w:val="0"/>
          <w:sz w:val="20"/>
          <w:szCs w:val="20"/>
        </w:rPr>
      </w:pPr>
      <w:r>
        <w:rPr>
          <w:rFonts w:ascii="Arial" w:eastAsia="等线" w:hAnsi="Arial" w:cs="Times New Roman"/>
          <w:noProof/>
          <w:kern w:val="0"/>
          <w:sz w:val="20"/>
          <w:lang w:eastAsia="en-US"/>
        </w:rPr>
        <w:lastRenderedPageBreak/>
        <w:drawing>
          <wp:inline distT="0" distB="0" distL="0" distR="0" wp14:anchorId="697EC387" wp14:editId="463186A9">
            <wp:extent cx="5272405" cy="2453005"/>
            <wp:effectExtent l="0" t="0" r="444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833">
        <w:rPr>
          <w:rFonts w:ascii="Arial" w:hAnsi="Arial" w:cs="Arial"/>
          <w:color w:val="101010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Supplementary Figure 2. The effects of PJ34 and EX527 on hyperglycemia-activated MCs. A, </w:t>
      </w:r>
      <w:bookmarkStart w:id="18" w:name="OLE_LINK34"/>
      <w:r>
        <w:rPr>
          <w:rFonts w:ascii="Arial" w:hAnsi="Arial" w:cs="Arial"/>
          <w:color w:val="101010"/>
          <w:kern w:val="0"/>
          <w:sz w:val="20"/>
          <w:szCs w:val="20"/>
        </w:rPr>
        <w:t>Western blotting results showed that the expression of PJ34 and EX527 in MCs treated with hyperglycemia for 24 hours in a dose-dependent manner.</w:t>
      </w:r>
      <w:bookmarkEnd w:id="18"/>
      <w:r>
        <w:rPr>
          <w:rFonts w:ascii="Arial" w:hAnsi="Arial" w:cs="Arial"/>
          <w:color w:val="101010"/>
          <w:kern w:val="0"/>
          <w:sz w:val="20"/>
          <w:szCs w:val="20"/>
        </w:rPr>
        <w:t xml:space="preserve"> Data of 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3 independent experiments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 are presented as mean </w:t>
      </w:r>
      <w:r>
        <w:rPr>
          <w:rFonts w:ascii="Arial" w:eastAsia="宋体" w:hAnsi="Arial" w:cs="Arial"/>
          <w:color w:val="101010"/>
          <w:kern w:val="0"/>
          <w:sz w:val="20"/>
          <w:szCs w:val="20"/>
        </w:rPr>
        <w:t>±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 SD. </w:t>
      </w:r>
      <w:bookmarkStart w:id="19" w:name="OLE_LINK48"/>
      <w:bookmarkStart w:id="20" w:name="OLE_LINK47"/>
      <w:r>
        <w:rPr>
          <w:rFonts w:ascii="Arial" w:hAnsi="Arial" w:cs="Arial"/>
          <w:color w:val="101010"/>
          <w:kern w:val="0"/>
          <w:sz w:val="20"/>
          <w:szCs w:val="20"/>
        </w:rPr>
        <w:t>*Compared with treatment at a dose of</w:t>
      </w:r>
      <w:bookmarkStart w:id="21" w:name="OLE_LINK43"/>
      <w:bookmarkStart w:id="22" w:name="OLE_LINK44"/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 0 </w:t>
      </w:r>
      <w:proofErr w:type="spellStart"/>
      <w:r>
        <w:rPr>
          <w:rFonts w:ascii="Arial" w:eastAsia="等线" w:hAnsi="Arial" w:cs="Arial"/>
          <w:color w:val="000000"/>
          <w:kern w:val="0"/>
          <w:sz w:val="20"/>
          <w:szCs w:val="20"/>
        </w:rPr>
        <w:t>μ</w:t>
      </w:r>
      <w:bookmarkEnd w:id="21"/>
      <w:bookmarkEnd w:id="22"/>
      <w:r>
        <w:rPr>
          <w:rFonts w:ascii="Arial" w:eastAsia="等线" w:hAnsi="Arial" w:cs="Arial"/>
          <w:color w:val="000000"/>
          <w:kern w:val="0"/>
          <w:sz w:val="20"/>
          <w:szCs w:val="20"/>
        </w:rPr>
        <w:t>L</w:t>
      </w:r>
      <w:proofErr w:type="spellEnd"/>
      <w:r>
        <w:rPr>
          <w:rFonts w:ascii="Arial" w:eastAsia="等线" w:hAnsi="Arial" w:cs="Arial"/>
          <w:color w:val="000000"/>
          <w:kern w:val="0"/>
          <w:sz w:val="20"/>
          <w:szCs w:val="20"/>
        </w:rPr>
        <w:t>, P &lt; 0.05</w:t>
      </w:r>
      <w:r>
        <w:rPr>
          <w:rFonts w:ascii="Arial" w:hAnsi="Arial" w:cs="Arial"/>
          <w:color w:val="101010"/>
          <w:kern w:val="0"/>
          <w:sz w:val="20"/>
          <w:szCs w:val="20"/>
        </w:rPr>
        <w:t>.</w:t>
      </w:r>
      <w:bookmarkEnd w:id="19"/>
      <w:bookmarkEnd w:id="20"/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 In PJ34 treatment experiment, </w:t>
      </w:r>
      <w:r>
        <w:rPr>
          <w:rFonts w:ascii="Arial" w:eastAsia="等线" w:hAnsi="Arial" w:cs="Arial"/>
          <w:color w:val="101010"/>
          <w:kern w:val="0"/>
          <w:sz w:val="20"/>
          <w:szCs w:val="20"/>
          <w:vertAlign w:val="superscript"/>
        </w:rPr>
        <w:t>##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Compared with 2 </w:t>
      </w:r>
      <w:proofErr w:type="spellStart"/>
      <w:r>
        <w:rPr>
          <w:rFonts w:ascii="Arial" w:eastAsia="等线" w:hAnsi="Arial" w:cs="Arial"/>
          <w:color w:val="000000"/>
          <w:kern w:val="0"/>
          <w:sz w:val="20"/>
          <w:szCs w:val="20"/>
        </w:rPr>
        <w:t>μL</w:t>
      </w:r>
      <w:proofErr w:type="spellEnd"/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, </w:t>
      </w:r>
      <w:r>
        <w:rPr>
          <w:rFonts w:ascii="Arial" w:eastAsia="等线" w:hAnsi="Arial" w:cs="Arial"/>
          <w:i/>
          <w:iCs/>
          <w:color w:val="101010"/>
          <w:kern w:val="0"/>
          <w:sz w:val="20"/>
          <w:szCs w:val="20"/>
        </w:rPr>
        <w:t xml:space="preserve">P&lt; 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0.01. 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B, Western blotting results showed that the expression of PJ34 and EX527 in MCs treated with hyperglycemia for 48 hours in the same step treatment. </w:t>
      </w:r>
      <w:bookmarkStart w:id="23" w:name="OLE_LINK49"/>
      <w:bookmarkStart w:id="24" w:name="OLE_LINK50"/>
      <w:r>
        <w:rPr>
          <w:rFonts w:ascii="Arial" w:hAnsi="Arial" w:cs="Arial"/>
          <w:color w:val="101010"/>
          <w:kern w:val="0"/>
          <w:sz w:val="20"/>
          <w:szCs w:val="20"/>
        </w:rPr>
        <w:t xml:space="preserve">Data of 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3 independent experiments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 are presented as mean </w:t>
      </w:r>
      <w:r>
        <w:rPr>
          <w:rFonts w:ascii="Arial" w:eastAsia="宋体" w:hAnsi="Arial" w:cs="Arial"/>
          <w:color w:val="101010"/>
          <w:kern w:val="0"/>
          <w:sz w:val="20"/>
          <w:szCs w:val="20"/>
        </w:rPr>
        <w:t>±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 SD. *Compared with treatment at a dose of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 0 </w:t>
      </w:r>
      <w:proofErr w:type="spellStart"/>
      <w:r>
        <w:rPr>
          <w:rFonts w:ascii="Arial" w:eastAsia="等线" w:hAnsi="Arial" w:cs="Arial"/>
          <w:color w:val="000000"/>
          <w:kern w:val="0"/>
          <w:sz w:val="20"/>
          <w:szCs w:val="20"/>
        </w:rPr>
        <w:t>μL</w:t>
      </w:r>
      <w:proofErr w:type="spellEnd"/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, P &lt; 0.05, **Compared with treatment at a dose of 0 </w:t>
      </w:r>
      <w:proofErr w:type="spellStart"/>
      <w:r>
        <w:rPr>
          <w:rFonts w:ascii="Arial" w:eastAsia="等线" w:hAnsi="Arial" w:cs="Arial"/>
          <w:color w:val="000000"/>
          <w:kern w:val="0"/>
          <w:sz w:val="20"/>
          <w:szCs w:val="20"/>
        </w:rPr>
        <w:t>μL</w:t>
      </w:r>
      <w:proofErr w:type="spellEnd"/>
      <w:r>
        <w:rPr>
          <w:rFonts w:ascii="Arial" w:eastAsia="等线" w:hAnsi="Arial" w:cs="Arial"/>
          <w:color w:val="000000"/>
          <w:kern w:val="0"/>
          <w:sz w:val="20"/>
          <w:szCs w:val="20"/>
        </w:rPr>
        <w:t>, P &lt; 0.01</w:t>
      </w:r>
      <w:r>
        <w:rPr>
          <w:rFonts w:ascii="Arial" w:hAnsi="Arial" w:cs="Arial"/>
          <w:color w:val="101010"/>
          <w:kern w:val="0"/>
          <w:sz w:val="20"/>
          <w:szCs w:val="20"/>
        </w:rPr>
        <w:t>.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 </w:t>
      </w:r>
      <w:bookmarkEnd w:id="23"/>
      <w:bookmarkEnd w:id="24"/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In EX527 treatment experiment, </w:t>
      </w:r>
      <w:bookmarkStart w:id="25" w:name="OLE_LINK51"/>
      <w:r>
        <w:rPr>
          <w:rFonts w:ascii="Arial" w:eastAsia="等线" w:hAnsi="Arial" w:cs="Arial"/>
          <w:color w:val="101010"/>
          <w:kern w:val="0"/>
          <w:sz w:val="20"/>
          <w:szCs w:val="20"/>
          <w:vertAlign w:val="superscript"/>
        </w:rPr>
        <w:t>#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Compared with 0.5 </w:t>
      </w:r>
      <w:proofErr w:type="spellStart"/>
      <w:r>
        <w:rPr>
          <w:rFonts w:ascii="Arial" w:eastAsia="等线" w:hAnsi="Arial" w:cs="Arial"/>
          <w:color w:val="000000"/>
          <w:kern w:val="0"/>
          <w:sz w:val="20"/>
          <w:szCs w:val="20"/>
        </w:rPr>
        <w:t>μL</w:t>
      </w:r>
      <w:proofErr w:type="spellEnd"/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, </w:t>
      </w:r>
      <w:r>
        <w:rPr>
          <w:rFonts w:ascii="Arial" w:eastAsia="等线" w:hAnsi="Arial" w:cs="Arial"/>
          <w:i/>
          <w:iCs/>
          <w:color w:val="101010"/>
          <w:kern w:val="0"/>
          <w:sz w:val="20"/>
          <w:szCs w:val="20"/>
        </w:rPr>
        <w:t xml:space="preserve">P &lt; 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>0.05.</w:t>
      </w:r>
      <w:bookmarkEnd w:id="25"/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 In PJ34 treatment experiment, </w:t>
      </w:r>
      <w:r>
        <w:rPr>
          <w:rFonts w:ascii="Arial" w:eastAsia="等线" w:hAnsi="Arial" w:cs="Arial"/>
          <w:color w:val="101010"/>
          <w:kern w:val="0"/>
          <w:sz w:val="20"/>
          <w:szCs w:val="20"/>
          <w:vertAlign w:val="superscript"/>
        </w:rPr>
        <w:t>#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Compared with 1 </w:t>
      </w:r>
      <w:proofErr w:type="spellStart"/>
      <w:r>
        <w:rPr>
          <w:rFonts w:ascii="Arial" w:eastAsia="等线" w:hAnsi="Arial" w:cs="Arial"/>
          <w:color w:val="000000"/>
          <w:kern w:val="0"/>
          <w:sz w:val="20"/>
          <w:szCs w:val="20"/>
        </w:rPr>
        <w:t>μL</w:t>
      </w:r>
      <w:proofErr w:type="spellEnd"/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, </w:t>
      </w:r>
      <w:r>
        <w:rPr>
          <w:rFonts w:ascii="Arial" w:eastAsia="等线" w:hAnsi="Arial" w:cs="Arial"/>
          <w:i/>
          <w:iCs/>
          <w:color w:val="101010"/>
          <w:kern w:val="0"/>
          <w:sz w:val="20"/>
          <w:szCs w:val="20"/>
        </w:rPr>
        <w:t xml:space="preserve">P &lt; 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>0.05.</w:t>
      </w:r>
    </w:p>
    <w:p w14:paraId="3FF4F59F" w14:textId="14458323" w:rsidR="002C63DC" w:rsidRDefault="002C63DC" w:rsidP="002C63DC">
      <w:pPr>
        <w:pStyle w:val="1"/>
        <w:jc w:val="both"/>
        <w:rPr>
          <w:color w:val="101010"/>
          <w:kern w:val="0"/>
          <w:sz w:val="20"/>
          <w:szCs w:val="20"/>
        </w:rPr>
      </w:pPr>
      <w:r>
        <w:t xml:space="preserve">Supplementary data </w:t>
      </w:r>
      <w:r>
        <w:t>3</w:t>
      </w:r>
    </w:p>
    <w:p w14:paraId="3D5DFAD1" w14:textId="77777777" w:rsidR="002702CF" w:rsidRPr="007C3652" w:rsidRDefault="002702CF" w:rsidP="0079328C">
      <w:pPr>
        <w:pStyle w:val="2"/>
        <w:jc w:val="both"/>
      </w:pPr>
      <w:r w:rsidRPr="007C3652">
        <w:t xml:space="preserve">3. </w:t>
      </w:r>
      <w:r w:rsidRPr="007C3652">
        <w:rPr>
          <w:rFonts w:hint="eastAsia"/>
        </w:rPr>
        <w:t>E</w:t>
      </w:r>
      <w:r w:rsidRPr="007C3652">
        <w:t>ffect of SIRT-1</w:t>
      </w:r>
      <w:r w:rsidRPr="007C3652">
        <w:rPr>
          <w:rFonts w:hint="eastAsia"/>
        </w:rPr>
        <w:t xml:space="preserve"> </w:t>
      </w:r>
      <w:r w:rsidRPr="007C3652">
        <w:t>overexpression lentiviral on SIRT-1 expression in activating MCs</w:t>
      </w:r>
    </w:p>
    <w:p w14:paraId="596C0568" w14:textId="49C2DAD9" w:rsidR="002702CF" w:rsidRDefault="002702CF" w:rsidP="00A87351">
      <w:pPr>
        <w:widowControl/>
        <w:spacing w:line="480" w:lineRule="auto"/>
        <w:rPr>
          <w:rFonts w:ascii="Arial" w:eastAsia="等线" w:hAnsi="Arial" w:cs="Times New Roman"/>
          <w:kern w:val="0"/>
          <w:sz w:val="20"/>
          <w:lang w:eastAsia="en-US"/>
        </w:rPr>
      </w:pPr>
      <w:r w:rsidRPr="007C3652">
        <w:rPr>
          <w:rFonts w:ascii="Arial" w:eastAsia="等线" w:hAnsi="Arial" w:cs="Times New Roman"/>
          <w:kern w:val="0"/>
          <w:sz w:val="20"/>
          <w:lang w:eastAsia="en-US"/>
        </w:rPr>
        <w:t>In order to determine whether SIRT-1 can mediate the effects of high glucose on MCs, we applied a SIRT-1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 xml:space="preserve"> 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>overexpression lentiviral to elevate the expression of SIRT-1 in MCs. In the meantime, the negative control of Lv-SIRT-1 was also transfected into MCs for 48 hours t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o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verify the potency 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 xml:space="preserve">of 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Lv-SIRT-1. MCs were then collected to examine SIRT-1 protein expression after transfection. As is showed in </w:t>
      </w:r>
      <w:r>
        <w:rPr>
          <w:rFonts w:ascii="Arial" w:eastAsia="等线" w:hAnsi="Arial" w:cs="Times New Roman"/>
          <w:kern w:val="0"/>
          <w:sz w:val="20"/>
          <w:lang w:eastAsia="en-US"/>
        </w:rPr>
        <w:t>Supplementary Figure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</w:t>
      </w:r>
      <w:r>
        <w:rPr>
          <w:rFonts w:ascii="Arial" w:eastAsia="等线" w:hAnsi="Arial" w:cs="Times New Roman"/>
          <w:kern w:val="0"/>
          <w:sz w:val="20"/>
          <w:lang w:eastAsia="en-US"/>
        </w:rPr>
        <w:t>3A and 3B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, the protein expression of SIRT-1 protein in Lv-SIRT-1 group was significantly higher than that in low glucose group and high glucose group (p &lt; 0.05) as well as negative control group, which was considered as 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lastRenderedPageBreak/>
        <w:t>statistically significant</w:t>
      </w:r>
      <w:r w:rsidRPr="007C3652">
        <w:rPr>
          <w:rFonts w:ascii="Arial" w:eastAsia="等线" w:hAnsi="Arial" w:cs="Times New Roman" w:hint="eastAsia"/>
          <w:kern w:val="0"/>
          <w:sz w:val="20"/>
          <w:lang w:eastAsia="en-US"/>
        </w:rPr>
        <w:t>.</w:t>
      </w:r>
      <w:r w:rsidRPr="007C3652">
        <w:rPr>
          <w:rFonts w:ascii="Arial" w:eastAsia="等线" w:hAnsi="Arial" w:cs="Times New Roman"/>
          <w:kern w:val="0"/>
          <w:sz w:val="20"/>
          <w:lang w:eastAsia="en-US"/>
        </w:rPr>
        <w:t xml:space="preserve"> Cumulatively these results suggest a pivotal role of Lv-SIRT-1 in elevating the expression of SIRT-1 in high glucose-induced activating MCs. </w:t>
      </w:r>
    </w:p>
    <w:p w14:paraId="53529012" w14:textId="49C48A64" w:rsidR="00636833" w:rsidRDefault="00636833" w:rsidP="00636833">
      <w:pPr>
        <w:widowControl/>
        <w:autoSpaceDE w:val="0"/>
        <w:autoSpaceDN w:val="0"/>
        <w:adjustRightInd w:val="0"/>
        <w:spacing w:after="240"/>
        <w:rPr>
          <w:rFonts w:ascii="Arial" w:eastAsia="等线" w:hAnsi="Arial" w:cs="Arial"/>
          <w:color w:val="101010"/>
          <w:kern w:val="0"/>
          <w:sz w:val="20"/>
          <w:szCs w:val="20"/>
        </w:rPr>
      </w:pPr>
      <w:r>
        <w:rPr>
          <w:rFonts w:ascii="Arial" w:eastAsia="等线" w:hAnsi="Arial" w:cs="Times New Roman"/>
          <w:noProof/>
          <w:kern w:val="0"/>
          <w:sz w:val="20"/>
          <w:lang w:eastAsia="en-US"/>
        </w:rPr>
        <w:drawing>
          <wp:inline distT="0" distB="0" distL="0" distR="0" wp14:anchorId="356AE42B" wp14:editId="09591D57">
            <wp:extent cx="5291455" cy="2300605"/>
            <wp:effectExtent l="0" t="0" r="444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833">
        <w:rPr>
          <w:rFonts w:ascii="Arial" w:hAnsi="Arial" w:cs="Arial"/>
          <w:color w:val="101010"/>
          <w:kern w:val="0"/>
          <w:sz w:val="20"/>
          <w:szCs w:val="20"/>
        </w:rPr>
        <w:t xml:space="preserve"> 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Supplementary Figure 3. Lv-SIRT-1 can overexpress SIRT-1 in activating MCs. A, B, Western blotting results showed that the expression of SIRT-1 in SIRT-1 lentiviral group MCs treated with hyperglycemia for 48 hours is the highest compared with that in other 3 groups. Data of 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>3 independent experiments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 are presented as mean </w:t>
      </w:r>
      <w:r>
        <w:rPr>
          <w:rFonts w:ascii="Arial" w:eastAsia="宋体" w:hAnsi="Arial" w:cs="Arial"/>
          <w:color w:val="101010"/>
          <w:kern w:val="0"/>
          <w:sz w:val="20"/>
          <w:szCs w:val="20"/>
        </w:rPr>
        <w:t>±</w:t>
      </w:r>
      <w:r>
        <w:rPr>
          <w:rFonts w:ascii="Arial" w:hAnsi="Arial" w:cs="Arial"/>
          <w:color w:val="101010"/>
          <w:kern w:val="0"/>
          <w:sz w:val="20"/>
          <w:szCs w:val="20"/>
        </w:rPr>
        <w:t xml:space="preserve"> SD</w:t>
      </w:r>
      <w:bookmarkStart w:id="26" w:name="OLE_LINK52"/>
      <w:bookmarkStart w:id="27" w:name="OLE_LINK53"/>
      <w:r>
        <w:rPr>
          <w:rFonts w:ascii="Arial" w:hAnsi="Arial" w:cs="Arial"/>
          <w:color w:val="101010"/>
          <w:kern w:val="0"/>
          <w:sz w:val="20"/>
          <w:szCs w:val="20"/>
        </w:rPr>
        <w:t>. *Compared with treatment at a dose of</w:t>
      </w:r>
      <w:r>
        <w:rPr>
          <w:rFonts w:ascii="Arial" w:eastAsia="等线" w:hAnsi="Arial" w:cs="Arial"/>
          <w:color w:val="000000"/>
          <w:kern w:val="0"/>
          <w:sz w:val="20"/>
          <w:szCs w:val="20"/>
        </w:rPr>
        <w:t xml:space="preserve"> 5 mM glucose, P &lt; 0.05. </w:t>
      </w:r>
      <w:bookmarkEnd w:id="26"/>
      <w:bookmarkEnd w:id="27"/>
      <w:r>
        <w:rPr>
          <w:rFonts w:ascii="Arial" w:eastAsia="等线" w:hAnsi="Arial" w:cs="Arial"/>
          <w:color w:val="101010"/>
          <w:kern w:val="0"/>
          <w:sz w:val="20"/>
          <w:szCs w:val="20"/>
          <w:vertAlign w:val="superscript"/>
        </w:rPr>
        <w:t>#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 xml:space="preserve">Compared with Lv-SIRT-1 and lower level of glucose, </w:t>
      </w:r>
      <w:r>
        <w:rPr>
          <w:rFonts w:ascii="Arial" w:eastAsia="等线" w:hAnsi="Arial" w:cs="Arial"/>
          <w:i/>
          <w:iCs/>
          <w:color w:val="101010"/>
          <w:kern w:val="0"/>
          <w:sz w:val="20"/>
          <w:szCs w:val="20"/>
        </w:rPr>
        <w:t xml:space="preserve">P &lt; </w:t>
      </w:r>
      <w:r>
        <w:rPr>
          <w:rFonts w:ascii="Arial" w:eastAsia="等线" w:hAnsi="Arial" w:cs="Arial"/>
          <w:color w:val="101010"/>
          <w:kern w:val="0"/>
          <w:sz w:val="20"/>
          <w:szCs w:val="20"/>
        </w:rPr>
        <w:t>0.05.</w:t>
      </w:r>
    </w:p>
    <w:p w14:paraId="0F630F9A" w14:textId="2DA87C9B" w:rsidR="002C63DC" w:rsidRDefault="002C63DC" w:rsidP="002C63DC">
      <w:pPr>
        <w:pStyle w:val="1"/>
        <w:jc w:val="both"/>
      </w:pPr>
      <w:r>
        <w:t xml:space="preserve">Supplementary data </w:t>
      </w:r>
      <w:r>
        <w:t>4</w:t>
      </w:r>
    </w:p>
    <w:p w14:paraId="20184CB0" w14:textId="77777777" w:rsidR="002702CF" w:rsidRDefault="002702CF" w:rsidP="0079328C">
      <w:pPr>
        <w:pStyle w:val="2"/>
        <w:jc w:val="both"/>
      </w:pPr>
      <w:r>
        <w:t>4</w:t>
      </w:r>
      <w:r w:rsidRPr="007C3652">
        <w:t xml:space="preserve">. </w:t>
      </w:r>
      <w:r w:rsidRPr="007C3652">
        <w:rPr>
          <w:rFonts w:hint="eastAsia"/>
        </w:rPr>
        <w:t>E</w:t>
      </w:r>
      <w:r w:rsidRPr="007C3652">
        <w:t xml:space="preserve">ffect of </w:t>
      </w:r>
      <w:r>
        <w:t>NAD</w:t>
      </w:r>
      <w:r w:rsidRPr="00C32A77">
        <w:rPr>
          <w:vertAlign w:val="superscript"/>
        </w:rPr>
        <w:t>+</w:t>
      </w:r>
      <w:r w:rsidRPr="007C3652">
        <w:t xml:space="preserve"> </w:t>
      </w:r>
      <w:r w:rsidRPr="00F959D8">
        <w:t xml:space="preserve">in </w:t>
      </w:r>
      <w:proofErr w:type="spellStart"/>
      <w:r w:rsidRPr="00F959D8">
        <w:t>db</w:t>
      </w:r>
      <w:proofErr w:type="spellEnd"/>
      <w:r w:rsidRPr="00F959D8">
        <w:t>/</w:t>
      </w:r>
      <w:proofErr w:type="spellStart"/>
      <w:r w:rsidRPr="00F959D8">
        <w:t>db</w:t>
      </w:r>
      <w:proofErr w:type="spellEnd"/>
      <w:r w:rsidRPr="00F959D8">
        <w:t xml:space="preserve"> mice </w:t>
      </w:r>
      <w:r>
        <w:t>and</w:t>
      </w:r>
      <w:r w:rsidRPr="007C3652">
        <w:t xml:space="preserve"> in</w:t>
      </w:r>
      <w:r w:rsidRPr="00F959D8">
        <w:t xml:space="preserve"> high glucose-induced activating MCs</w:t>
      </w:r>
    </w:p>
    <w:p w14:paraId="5F42B09C" w14:textId="5F4CCA2C" w:rsidR="002702CF" w:rsidRDefault="002702CF" w:rsidP="00CA5CB0">
      <w:pPr>
        <w:widowControl/>
        <w:spacing w:line="480" w:lineRule="auto"/>
        <w:rPr>
          <w:rFonts w:ascii="Arial" w:eastAsia="等线" w:hAnsi="Arial" w:cs="Arial"/>
          <w:kern w:val="0"/>
          <w:sz w:val="20"/>
          <w:szCs w:val="20"/>
          <w:lang w:eastAsia="en-US"/>
        </w:rPr>
      </w:pP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As it has been mentioned that there is a significant role of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 xml:space="preserve">+ 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in relationship between PARP-1 and SIRT-1, the levels of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in </w:t>
      </w:r>
      <w:proofErr w:type="spellStart"/>
      <w:r w:rsidRPr="002068EB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db</w:t>
      </w:r>
      <w:proofErr w:type="spellEnd"/>
      <w:r w:rsidRPr="002068EB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/</w:t>
      </w:r>
      <w:proofErr w:type="spellStart"/>
      <w:r w:rsidRPr="002068EB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db</w:t>
      </w:r>
      <w:proofErr w:type="spellEnd"/>
      <w:r w:rsidRPr="002068EB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 xml:space="preserve"> 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mice are also been estimated via an NAD</w:t>
      </w:r>
      <w:r w:rsidRPr="005C27ED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/NADH assay kit </w:t>
      </w:r>
      <w:r w:rsidRPr="002068EB">
        <w:rPr>
          <w:rFonts w:ascii="Arial" w:eastAsia="等线" w:hAnsi="Arial" w:cs="Arial"/>
          <w:noProof/>
          <w:kern w:val="0"/>
          <w:sz w:val="20"/>
          <w:szCs w:val="20"/>
          <w:vertAlign w:val="superscript"/>
          <w:lang w:eastAsia="en-US"/>
        </w:rPr>
        <w:t>3,4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. Then we found a decline of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in </w:t>
      </w:r>
      <w:proofErr w:type="spellStart"/>
      <w:r w:rsidRPr="00C27108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db</w:t>
      </w:r>
      <w:proofErr w:type="spellEnd"/>
      <w:r w:rsidRPr="00C27108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/</w:t>
      </w:r>
      <w:proofErr w:type="spellStart"/>
      <w:r w:rsidRPr="00C27108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db</w:t>
      </w:r>
      <w:proofErr w:type="spellEnd"/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kidney tissues (p &lt; 0.0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>01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), which suggests the reduction of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may take part in the pathophysiological mechanism of DN (</w:t>
      </w:r>
      <w:r>
        <w:rPr>
          <w:rFonts w:ascii="Arial" w:eastAsia="等线" w:hAnsi="Arial" w:cs="Times New Roman"/>
          <w:kern w:val="0"/>
          <w:sz w:val="20"/>
          <w:lang w:eastAsia="en-US"/>
        </w:rPr>
        <w:t>Supplementary Figure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4A). To further unravel the mechanisms underlying</w:t>
      </w:r>
      <w:bookmarkStart w:id="28" w:name="OLE_LINK17"/>
      <w:bookmarkStart w:id="29" w:name="OLE_LINK18"/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</w:t>
      </w:r>
      <w:bookmarkEnd w:id="28"/>
      <w:bookmarkEnd w:id="29"/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DN corelated to SIRT-1, PARP-1and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, we detected the levels of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in the high glucose-activated MCs. Since both SIRT-1 and PARP-1 are present in the nuclear compartment, the researchers have agreed that PARP-1 and SIRT-1 may compete for the same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substrate </w:t>
      </w:r>
      <w:r w:rsidRPr="002068EB">
        <w:rPr>
          <w:rFonts w:ascii="Arial" w:eastAsia="等线" w:hAnsi="Arial" w:cs="Arial"/>
          <w:noProof/>
          <w:kern w:val="0"/>
          <w:sz w:val="20"/>
          <w:szCs w:val="20"/>
          <w:vertAlign w:val="superscript"/>
          <w:lang w:eastAsia="en-US"/>
        </w:rPr>
        <w:t>5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. PARP-1 has a 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lastRenderedPageBreak/>
        <w:t>higher affinity for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than SIRT-1 does, however, suggesting that over-activation of PARP-1 can easily reduce the activity of SIRT-1 due to the limit of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availability </w:t>
      </w:r>
      <w:r w:rsidRPr="002068EB">
        <w:rPr>
          <w:rFonts w:ascii="Arial" w:eastAsia="等线" w:hAnsi="Arial" w:cs="Arial"/>
          <w:noProof/>
          <w:kern w:val="0"/>
          <w:sz w:val="20"/>
          <w:szCs w:val="20"/>
          <w:vertAlign w:val="superscript"/>
          <w:lang w:eastAsia="en-US"/>
        </w:rPr>
        <w:t>6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. In agreement with this hypothesis, we observed that the level of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in the high glucose-induced MCs was lower than the low glucose group </w:t>
      </w:r>
      <w:r w:rsidRPr="002068EB">
        <w:rPr>
          <w:rFonts w:ascii="Arial" w:eastAsia="等线" w:hAnsi="Arial" w:cs="Arial"/>
          <w:kern w:val="0"/>
          <w:sz w:val="20"/>
          <w:szCs w:val="20"/>
        </w:rPr>
        <w:t>(p&lt;0.0</w:t>
      </w:r>
      <w:r>
        <w:rPr>
          <w:rFonts w:ascii="Arial" w:eastAsia="等线" w:hAnsi="Arial" w:cs="Arial"/>
          <w:kern w:val="0"/>
          <w:sz w:val="20"/>
          <w:szCs w:val="20"/>
        </w:rPr>
        <w:t>01</w:t>
      </w:r>
      <w:r w:rsidRPr="002068EB">
        <w:rPr>
          <w:rFonts w:ascii="Arial" w:eastAsia="等线" w:hAnsi="Arial" w:cs="Arial"/>
          <w:kern w:val="0"/>
          <w:sz w:val="20"/>
          <w:szCs w:val="20"/>
        </w:rPr>
        <w:t xml:space="preserve">) 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and the inhibition of PARP-1 by PJ34 reduced the effect of high glucose in the </w:t>
      </w:r>
      <w:r w:rsidRPr="002068EB">
        <w:rPr>
          <w:rFonts w:ascii="Arial" w:eastAsia="等线" w:hAnsi="Arial" w:cs="Arial"/>
          <w:kern w:val="0"/>
          <w:sz w:val="20"/>
          <w:szCs w:val="20"/>
        </w:rPr>
        <w:t>alleviation of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</w:rPr>
        <w:t xml:space="preserve"> (p&lt;0.0</w:t>
      </w:r>
      <w:r>
        <w:rPr>
          <w:rFonts w:ascii="Arial" w:eastAsia="等线" w:hAnsi="Arial" w:cs="Arial"/>
          <w:kern w:val="0"/>
          <w:sz w:val="20"/>
          <w:szCs w:val="20"/>
        </w:rPr>
        <w:t>01</w:t>
      </w:r>
      <w:r w:rsidRPr="002068EB">
        <w:rPr>
          <w:rFonts w:ascii="Arial" w:eastAsia="等线" w:hAnsi="Arial" w:cs="Arial"/>
          <w:kern w:val="0"/>
          <w:sz w:val="20"/>
          <w:szCs w:val="20"/>
        </w:rPr>
        <w:t>)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</w:t>
      </w:r>
      <w:bookmarkStart w:id="30" w:name="OLE_LINK20"/>
      <w:bookmarkStart w:id="31" w:name="OLE_LINK21"/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(</w:t>
      </w:r>
      <w:r>
        <w:rPr>
          <w:rFonts w:ascii="Arial" w:eastAsia="等线" w:hAnsi="Arial" w:cs="Times New Roman"/>
          <w:kern w:val="0"/>
          <w:sz w:val="20"/>
          <w:lang w:eastAsia="en-US"/>
        </w:rPr>
        <w:t>Supplementary Figure</w:t>
      </w:r>
      <w:r w:rsidRPr="002068EB">
        <w:rPr>
          <w:rFonts w:ascii="Arial" w:eastAsia="等线" w:hAnsi="Arial" w:cs="Arial"/>
          <w:kern w:val="0"/>
          <w:sz w:val="20"/>
          <w:szCs w:val="20"/>
        </w:rPr>
        <w:t xml:space="preserve"> 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4B).</w:t>
      </w:r>
      <w:bookmarkEnd w:id="30"/>
      <w:bookmarkEnd w:id="31"/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Furthermore, the same phenomena were also been observed when the level of SIRT-1 was enhanced via transfecting Lv-SIRT-1 (p&lt;0.0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>01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) (</w:t>
      </w:r>
      <w:r>
        <w:rPr>
          <w:rFonts w:ascii="Arial" w:eastAsia="等线" w:hAnsi="Arial" w:cs="Times New Roman"/>
          <w:kern w:val="0"/>
          <w:sz w:val="20"/>
          <w:lang w:eastAsia="en-US"/>
        </w:rPr>
        <w:t>Supplementary Figure</w:t>
      </w:r>
      <w:r w:rsidRPr="002068EB">
        <w:rPr>
          <w:rFonts w:ascii="Arial" w:eastAsia="等线" w:hAnsi="Arial" w:cs="Arial"/>
          <w:kern w:val="0"/>
          <w:sz w:val="20"/>
          <w:szCs w:val="20"/>
        </w:rPr>
        <w:t xml:space="preserve"> 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4B).</w:t>
      </w:r>
      <w:r w:rsidRPr="002068EB">
        <w:rPr>
          <w:rFonts w:ascii="Arial" w:hAnsi="Arial" w:cs="Arial"/>
          <w:color w:val="000000"/>
          <w:sz w:val="20"/>
          <w:szCs w:val="20"/>
        </w:rPr>
        <w:t xml:space="preserve"> Given the impact of PARP-1 and SIRT-1 on the modulation of 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l</w:t>
      </w:r>
      <w:r w:rsidRPr="002068EB">
        <w:rPr>
          <w:rFonts w:ascii="Arial" w:hAnsi="Arial" w:cs="Arial"/>
          <w:color w:val="000000"/>
          <w:sz w:val="20"/>
          <w:szCs w:val="20"/>
        </w:rPr>
        <w:t>evels, it is possible to consider that the depletion of NAD</w:t>
      </w:r>
      <w:r w:rsidRPr="002068EB">
        <w:rPr>
          <w:rFonts w:ascii="Arial" w:hAnsi="Arial" w:cs="Arial"/>
          <w:color w:val="000000"/>
          <w:sz w:val="20"/>
          <w:szCs w:val="20"/>
          <w:vertAlign w:val="superscript"/>
        </w:rPr>
        <w:t>+</w:t>
      </w:r>
      <w:r w:rsidRPr="002068EB">
        <w:rPr>
          <w:rFonts w:ascii="Arial" w:hAnsi="Arial" w:cs="Arial"/>
          <w:color w:val="000000"/>
          <w:sz w:val="20"/>
          <w:szCs w:val="20"/>
        </w:rPr>
        <w:t xml:space="preserve"> is related to DN and </w:t>
      </w:r>
      <w:proofErr w:type="spellStart"/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hyperglycaemia</w:t>
      </w:r>
      <w:proofErr w:type="spellEnd"/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-induced PARP-1 activation induces MCs activation via inhibition of the activity of SIRT-1 due to the deficiency of intracellular NAD</w:t>
      </w:r>
      <w:r w:rsidRPr="002068EB"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 w:rsidRPr="002068EB">
        <w:rPr>
          <w:rFonts w:ascii="Arial" w:eastAsia="等线" w:hAnsi="Arial" w:cs="Arial"/>
          <w:kern w:val="0"/>
          <w:sz w:val="20"/>
          <w:szCs w:val="20"/>
          <w:lang w:eastAsia="en-US"/>
        </w:rPr>
        <w:t>.</w:t>
      </w:r>
    </w:p>
    <w:p w14:paraId="7C822F11" w14:textId="77777777" w:rsidR="001659FB" w:rsidRDefault="00636833" w:rsidP="00636833">
      <w:pPr>
        <w:widowControl/>
        <w:autoSpaceDE w:val="0"/>
        <w:autoSpaceDN w:val="0"/>
        <w:adjustRightInd w:val="0"/>
        <w:spacing w:after="240"/>
        <w:rPr>
          <w:rFonts w:ascii="Arial" w:eastAsia="等线" w:hAnsi="Arial" w:cs="Arial"/>
          <w:kern w:val="0"/>
          <w:sz w:val="20"/>
          <w:szCs w:val="20"/>
          <w:lang w:eastAsia="en-US"/>
        </w:rPr>
      </w:pPr>
      <w:r>
        <w:rPr>
          <w:rFonts w:ascii="Arial" w:eastAsia="等线" w:hAnsi="Arial" w:cs="Arial"/>
          <w:noProof/>
          <w:kern w:val="0"/>
          <w:sz w:val="20"/>
          <w:szCs w:val="20"/>
          <w:lang w:eastAsia="en-US"/>
        </w:rPr>
        <w:drawing>
          <wp:inline distT="0" distB="0" distL="0" distR="0" wp14:anchorId="02F2886B" wp14:editId="3719D16C">
            <wp:extent cx="5272405" cy="2609850"/>
            <wp:effectExtent l="0" t="0" r="444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833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</w:t>
      </w:r>
    </w:p>
    <w:p w14:paraId="1FF4D147" w14:textId="1C841BBC" w:rsidR="00636833" w:rsidRDefault="00636833" w:rsidP="001659FB">
      <w:pPr>
        <w:widowControl/>
        <w:autoSpaceDE w:val="0"/>
        <w:autoSpaceDN w:val="0"/>
        <w:adjustRightInd w:val="0"/>
        <w:spacing w:after="240"/>
        <w:rPr>
          <w:rFonts w:ascii="Arial" w:eastAsia="等线" w:hAnsi="Arial" w:cs="Arial"/>
          <w:kern w:val="0"/>
          <w:sz w:val="20"/>
          <w:szCs w:val="20"/>
          <w:lang w:eastAsia="en-US"/>
        </w:rPr>
      </w:pPr>
      <w:r>
        <w:rPr>
          <w:rFonts w:ascii="Arial" w:eastAsia="等线" w:hAnsi="Arial" w:cs="Arial"/>
          <w:kern w:val="0"/>
          <w:sz w:val="20"/>
          <w:szCs w:val="20"/>
          <w:lang w:eastAsia="en-US"/>
        </w:rPr>
        <w:t>Supplementary Figure 4. NAD</w:t>
      </w:r>
      <w:r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levels were determined either in the </w:t>
      </w:r>
      <w:proofErr w:type="spellStart"/>
      <w:r w:rsidRPr="001659FB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db</w:t>
      </w:r>
      <w:proofErr w:type="spellEnd"/>
      <w:r w:rsidRPr="001659FB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/</w:t>
      </w:r>
      <w:proofErr w:type="spellStart"/>
      <w:r w:rsidRPr="001659FB"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>db</w:t>
      </w:r>
      <w:proofErr w:type="spellEnd"/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mice kidney or in the activated MCs in the existence of </w:t>
      </w:r>
      <w:bookmarkStart w:id="32" w:name="OLE_LINK23"/>
      <w:bookmarkStart w:id="33" w:name="OLE_LINK25"/>
      <w:proofErr w:type="spellStart"/>
      <w:r>
        <w:rPr>
          <w:rFonts w:ascii="Arial" w:eastAsia="等线" w:hAnsi="Arial" w:cs="Arial"/>
          <w:kern w:val="0"/>
          <w:sz w:val="20"/>
          <w:szCs w:val="20"/>
          <w:lang w:eastAsia="en-US"/>
        </w:rPr>
        <w:t>hyperglycaemia</w:t>
      </w:r>
      <w:bookmarkEnd w:id="32"/>
      <w:bookmarkEnd w:id="33"/>
      <w:proofErr w:type="spellEnd"/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with or without the inhibition of PARP-1 and SIRT-1. A, NAD</w:t>
      </w:r>
      <w:r>
        <w:rPr>
          <w:rFonts w:ascii="Arial" w:eastAsia="等线" w:hAnsi="Arial" w:cs="Arial"/>
          <w:kern w:val="0"/>
          <w:sz w:val="20"/>
          <w:szCs w:val="20"/>
          <w:vertAlign w:val="superscript"/>
        </w:rPr>
        <w:t>+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activity change </w:t>
      </w:r>
      <w:r>
        <w:rPr>
          <w:rFonts w:ascii="Arial" w:eastAsia="等线" w:hAnsi="Arial" w:cs="Arial"/>
          <w:kern w:val="0"/>
          <w:sz w:val="20"/>
          <w:szCs w:val="20"/>
        </w:rPr>
        <w:t>of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</w:t>
      </w:r>
      <w:r>
        <w:rPr>
          <w:rFonts w:ascii="Arial" w:eastAsia="等线" w:hAnsi="Arial" w:cs="Arial"/>
          <w:kern w:val="0"/>
          <w:sz w:val="20"/>
          <w:szCs w:val="20"/>
        </w:rPr>
        <w:t>in vivo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animal was measured by NAD</w:t>
      </w:r>
      <w:r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/NADH activity kit. </w:t>
      </w:r>
      <w:bookmarkStart w:id="34" w:name="OLE_LINK32"/>
      <w:bookmarkStart w:id="35" w:name="OLE_LINK33"/>
      <w:r>
        <w:rPr>
          <w:rFonts w:ascii="Arial" w:eastAsia="等线" w:hAnsi="Arial" w:cs="Arial"/>
          <w:kern w:val="0"/>
          <w:sz w:val="20"/>
          <w:szCs w:val="20"/>
          <w:lang w:eastAsia="en-US"/>
        </w:rPr>
        <w:t>We conduct 3 independent experiments</w:t>
      </w:r>
      <w:bookmarkEnd w:id="34"/>
      <w:bookmarkEnd w:id="35"/>
      <w:r>
        <w:rPr>
          <w:rFonts w:ascii="Arial" w:eastAsia="等线" w:hAnsi="Arial" w:cs="Arial"/>
          <w:kern w:val="0"/>
          <w:sz w:val="20"/>
          <w:szCs w:val="20"/>
          <w:lang w:eastAsia="en-US"/>
        </w:rPr>
        <w:t>, all the data are presented as mean ± SD. *</w:t>
      </w:r>
      <w:r w:rsidR="001659FB">
        <w:rPr>
          <w:rFonts w:ascii="Arial" w:eastAsia="等线" w:hAnsi="Arial" w:cs="Arial" w:hint="eastAsia"/>
          <w:kern w:val="0"/>
          <w:sz w:val="20"/>
          <w:szCs w:val="20"/>
        </w:rPr>
        <w:t>**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Compared with NC, </w:t>
      </w:r>
      <w:r>
        <w:rPr>
          <w:rFonts w:ascii="Arial" w:eastAsia="等线" w:hAnsi="Arial" w:cs="Arial"/>
          <w:i/>
          <w:iCs/>
          <w:kern w:val="0"/>
          <w:sz w:val="20"/>
          <w:szCs w:val="20"/>
          <w:lang w:eastAsia="en-US"/>
        </w:rPr>
        <w:t xml:space="preserve">P &lt; 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>0.0</w:t>
      </w:r>
      <w:r w:rsidR="001659FB">
        <w:rPr>
          <w:rFonts w:ascii="Arial" w:eastAsia="等线" w:hAnsi="Arial" w:cs="Arial"/>
          <w:kern w:val="0"/>
          <w:sz w:val="20"/>
          <w:szCs w:val="20"/>
          <w:lang w:eastAsia="en-US"/>
        </w:rPr>
        <w:t>01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>; B, NAD</w:t>
      </w:r>
      <w:r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>+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activity in high glucose induced MCs under the indicated measures. Bars represent mean ± SD of </w:t>
      </w:r>
      <w:bookmarkStart w:id="36" w:name="OLE_LINK30"/>
      <w:bookmarkStart w:id="37" w:name="OLE_LINK31"/>
      <w:r>
        <w:rPr>
          <w:rFonts w:ascii="Arial" w:eastAsia="等线" w:hAnsi="Arial" w:cs="Arial"/>
          <w:kern w:val="0"/>
          <w:sz w:val="20"/>
          <w:szCs w:val="20"/>
          <w:lang w:eastAsia="en-US"/>
        </w:rPr>
        <w:t>3 independent experiments</w:t>
      </w:r>
      <w:bookmarkEnd w:id="36"/>
      <w:bookmarkEnd w:id="37"/>
      <w:r>
        <w:rPr>
          <w:rFonts w:ascii="Arial" w:eastAsia="等线" w:hAnsi="Arial" w:cs="Arial"/>
          <w:kern w:val="0"/>
          <w:sz w:val="20"/>
          <w:szCs w:val="20"/>
          <w:lang w:eastAsia="en-US"/>
        </w:rPr>
        <w:t>. *</w:t>
      </w:r>
      <w:r w:rsidR="001659FB">
        <w:rPr>
          <w:rFonts w:ascii="Arial" w:eastAsia="等线" w:hAnsi="Arial" w:cs="Arial"/>
          <w:kern w:val="0"/>
          <w:sz w:val="20"/>
          <w:szCs w:val="20"/>
          <w:lang w:eastAsia="en-US"/>
        </w:rPr>
        <w:t>**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>Compared with G5, P &lt; 0.0</w:t>
      </w:r>
      <w:r w:rsidR="001659FB">
        <w:rPr>
          <w:rFonts w:ascii="Arial" w:eastAsia="等线" w:hAnsi="Arial" w:cs="Arial"/>
          <w:kern w:val="0"/>
          <w:sz w:val="20"/>
          <w:szCs w:val="20"/>
          <w:lang w:eastAsia="en-US"/>
        </w:rPr>
        <w:t>01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>.</w:t>
      </w:r>
      <w:r w:rsidR="001659FB">
        <w:rPr>
          <w:rFonts w:ascii="Arial" w:eastAsia="等线" w:hAnsi="Arial" w:cs="Arial"/>
          <w:kern w:val="0"/>
          <w:sz w:val="20"/>
          <w:szCs w:val="20"/>
          <w:lang w:eastAsia="en-US"/>
        </w:rPr>
        <w:t xml:space="preserve"> </w:t>
      </w:r>
      <w:r>
        <w:rPr>
          <w:rFonts w:ascii="Arial" w:eastAsia="等线" w:hAnsi="Arial" w:cs="Arial"/>
          <w:kern w:val="0"/>
          <w:sz w:val="20"/>
          <w:szCs w:val="20"/>
          <w:vertAlign w:val="superscript"/>
          <w:lang w:eastAsia="en-US"/>
        </w:rPr>
        <w:t xml:space="preserve"> ###</w:t>
      </w:r>
      <w:r>
        <w:rPr>
          <w:rFonts w:ascii="Arial" w:eastAsia="等线" w:hAnsi="Arial" w:cs="Arial"/>
          <w:kern w:val="0"/>
          <w:sz w:val="20"/>
          <w:szCs w:val="20"/>
          <w:lang w:eastAsia="en-US"/>
        </w:rPr>
        <w:t>Compared with G25, P &lt; 0.001.</w:t>
      </w:r>
    </w:p>
    <w:p w14:paraId="2B292C60" w14:textId="77777777" w:rsidR="002702CF" w:rsidRDefault="002702CF" w:rsidP="00D430EE">
      <w:pPr>
        <w:pStyle w:val="1"/>
        <w:jc w:val="both"/>
      </w:pPr>
      <w:r w:rsidRPr="00D267FB">
        <w:lastRenderedPageBreak/>
        <w:t>References</w:t>
      </w:r>
    </w:p>
    <w:p w14:paraId="659832DE" w14:textId="77777777" w:rsidR="002702CF" w:rsidRPr="001659FB" w:rsidRDefault="002702CF" w:rsidP="00D430EE">
      <w:pPr>
        <w:pStyle w:val="EndNoteBibliography"/>
        <w:ind w:left="720" w:hanging="720"/>
        <w:rPr>
          <w:rFonts w:ascii="Arial" w:hAnsi="Arial" w:cs="Times New Roman"/>
          <w:noProof w:val="0"/>
          <w:kern w:val="0"/>
          <w:sz w:val="20"/>
          <w:lang w:eastAsia="en-US"/>
        </w:rPr>
      </w:pP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1.</w:t>
      </w: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ab/>
        <w:t xml:space="preserve">Wang X, Gao Y, Tian N, et al.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Astragaloside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IV represses high glucose-induced mesangial cells activation by enhancing autophagy via SIRT1 deacetylation of NF-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kappaB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p65 subunit. Drug Des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Devel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Ther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. 2018;12:2971-2980.</w:t>
      </w:r>
    </w:p>
    <w:p w14:paraId="1AE4603E" w14:textId="77777777" w:rsidR="002702CF" w:rsidRPr="001659FB" w:rsidRDefault="002702CF" w:rsidP="00D430EE">
      <w:pPr>
        <w:pStyle w:val="EndNoteBibliography"/>
        <w:ind w:left="720" w:hanging="720"/>
        <w:rPr>
          <w:rFonts w:ascii="Arial" w:hAnsi="Arial" w:cs="Times New Roman"/>
          <w:noProof w:val="0"/>
          <w:kern w:val="0"/>
          <w:sz w:val="20"/>
          <w:lang w:eastAsia="en-US"/>
        </w:rPr>
      </w:pP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2.</w:t>
      </w: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ab/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Barriere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DA, Noll C,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Roussy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G, et al. Combination of high-fat/high-fructose diet and low-dose streptozotocin to model long-term type-2 diabetes complications. Sci Rep. 2018;8(1):424.</w:t>
      </w:r>
    </w:p>
    <w:p w14:paraId="464CEC16" w14:textId="77777777" w:rsidR="002702CF" w:rsidRPr="001659FB" w:rsidRDefault="002702CF" w:rsidP="00D430EE">
      <w:pPr>
        <w:pStyle w:val="EndNoteBibliography"/>
        <w:ind w:left="720" w:hanging="720"/>
        <w:rPr>
          <w:rFonts w:ascii="Arial" w:hAnsi="Arial" w:cs="Times New Roman"/>
          <w:noProof w:val="0"/>
          <w:kern w:val="0"/>
          <w:sz w:val="20"/>
          <w:lang w:eastAsia="en-US"/>
        </w:rPr>
      </w:pP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3.</w:t>
      </w: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ab/>
        <w:t xml:space="preserve">Mohamed JS, Wilson JC, Myers MJ, Sisson KJ,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Alway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SE. Dysregulation of SIRT-1 in aging mice increases skeletal muscle fatigue by a PARP-1-dependent mechanism. Aging (Albany NY). 2014;6(10):820-834.</w:t>
      </w:r>
    </w:p>
    <w:p w14:paraId="1009DF5D" w14:textId="77777777" w:rsidR="002702CF" w:rsidRPr="001659FB" w:rsidRDefault="002702CF" w:rsidP="00D430EE">
      <w:pPr>
        <w:pStyle w:val="EndNoteBibliography"/>
        <w:ind w:left="720" w:hanging="720"/>
        <w:rPr>
          <w:rFonts w:ascii="Arial" w:hAnsi="Arial" w:cs="Times New Roman"/>
          <w:noProof w:val="0"/>
          <w:kern w:val="0"/>
          <w:sz w:val="20"/>
          <w:lang w:eastAsia="en-US"/>
        </w:rPr>
      </w:pP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4.</w:t>
      </w: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ab/>
        <w:t xml:space="preserve">Papadimitriou A, Silva KC, Peixoto EB, Borges CM, Lopes de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Faria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JM, Lopes de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Faria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JB. Theobromine increases NAD(+)/Sirt-1 activity and protects the kidney under diabetic conditions. Am J </w:t>
      </w:r>
      <w:proofErr w:type="spellStart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Physiol</w:t>
      </w:r>
      <w:proofErr w:type="spellEnd"/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 Renal Physiol. 2015;308(3):F209-225.</w:t>
      </w:r>
    </w:p>
    <w:p w14:paraId="65CA9E51" w14:textId="77777777" w:rsidR="002702CF" w:rsidRPr="009619C9" w:rsidRDefault="002702CF" w:rsidP="00D430EE">
      <w:pPr>
        <w:pStyle w:val="EndNoteBibliography"/>
        <w:ind w:left="720" w:hanging="720"/>
        <w:rPr>
          <w:rFonts w:ascii="Arial" w:hAnsi="Arial" w:cs="Times New Roman"/>
          <w:noProof w:val="0"/>
          <w:kern w:val="0"/>
          <w:sz w:val="20"/>
          <w:lang w:val="fr-FR" w:eastAsia="en-US"/>
        </w:rPr>
      </w:pPr>
      <w:r w:rsidRPr="002C63DC">
        <w:rPr>
          <w:rFonts w:ascii="Arial" w:hAnsi="Arial" w:cs="Times New Roman"/>
          <w:noProof w:val="0"/>
          <w:kern w:val="0"/>
          <w:sz w:val="20"/>
          <w:lang w:val="fr-FR" w:eastAsia="en-US"/>
        </w:rPr>
        <w:t>5.</w:t>
      </w:r>
      <w:r w:rsidRPr="002C63DC">
        <w:rPr>
          <w:rFonts w:ascii="Arial" w:hAnsi="Arial" w:cs="Times New Roman"/>
          <w:noProof w:val="0"/>
          <w:kern w:val="0"/>
          <w:sz w:val="20"/>
          <w:lang w:val="fr-FR" w:eastAsia="en-US"/>
        </w:rPr>
        <w:tab/>
        <w:t xml:space="preserve">Feng GS, Zhu CG, Li ZM, et al. </w:t>
      </w: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 xml:space="preserve">Synthesis of the novel PARP-1 inhibitor AG-690/11026014 and its protective effects on angiotensin II-induced mouse cardiac remodeling. </w:t>
      </w:r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 xml:space="preserve">Acta </w:t>
      </w:r>
      <w:proofErr w:type="spellStart"/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>Pharmacol</w:t>
      </w:r>
      <w:proofErr w:type="spellEnd"/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 xml:space="preserve"> Sin. </w:t>
      </w:r>
      <w:proofErr w:type="gramStart"/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>2017;</w:t>
      </w:r>
      <w:proofErr w:type="gramEnd"/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>38(5):638-650.</w:t>
      </w:r>
    </w:p>
    <w:p w14:paraId="24887885" w14:textId="29B686D8" w:rsidR="002702CF" w:rsidRPr="001659FB" w:rsidRDefault="002702CF" w:rsidP="00D430EE">
      <w:pPr>
        <w:pStyle w:val="EndNoteBibliography"/>
        <w:ind w:left="720" w:hanging="720"/>
        <w:rPr>
          <w:rFonts w:ascii="Arial" w:hAnsi="Arial" w:cs="Times New Roman"/>
          <w:noProof w:val="0"/>
          <w:kern w:val="0"/>
          <w:sz w:val="20"/>
          <w:lang w:eastAsia="en-US"/>
        </w:rPr>
      </w:pPr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>6.</w:t>
      </w:r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ab/>
        <w:t xml:space="preserve">Kaiser A, Kruger T, </w:t>
      </w:r>
      <w:proofErr w:type="spellStart"/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>Eiselt</w:t>
      </w:r>
      <w:proofErr w:type="spellEnd"/>
      <w:r w:rsidRPr="009619C9">
        <w:rPr>
          <w:rFonts w:ascii="Arial" w:hAnsi="Arial" w:cs="Times New Roman"/>
          <w:noProof w:val="0"/>
          <w:kern w:val="0"/>
          <w:sz w:val="20"/>
          <w:lang w:val="fr-FR" w:eastAsia="en-US"/>
        </w:rPr>
        <w:t xml:space="preserve"> G, et al. </w:t>
      </w:r>
      <w:r w:rsidRPr="001659FB">
        <w:rPr>
          <w:rFonts w:ascii="Arial" w:hAnsi="Arial" w:cs="Times New Roman"/>
          <w:noProof w:val="0"/>
          <w:kern w:val="0"/>
          <w:sz w:val="20"/>
          <w:lang w:eastAsia="en-US"/>
        </w:rPr>
        <w:t>Identification of PARP-1, Histone H1 and SIRT-1 as New Regulators of Breast Cancer-Related Aromatase Promoter I.3/II. Cells. 2020;9(2).</w:t>
      </w:r>
    </w:p>
    <w:p w14:paraId="52723432" w14:textId="77777777" w:rsidR="002702CF" w:rsidRPr="001659FB" w:rsidRDefault="002702CF">
      <w:pPr>
        <w:rPr>
          <w:rFonts w:ascii="Arial" w:eastAsia="等线" w:hAnsi="Arial" w:cs="Times New Roman"/>
          <w:kern w:val="0"/>
          <w:sz w:val="20"/>
          <w:lang w:eastAsia="en-US"/>
        </w:rPr>
      </w:pPr>
    </w:p>
    <w:sectPr w:rsidR="002702CF" w:rsidRPr="001659F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049FB"/>
    <w:multiLevelType w:val="hybridMultilevel"/>
    <w:tmpl w:val="7B525BF2"/>
    <w:lvl w:ilvl="0" w:tplc="68F61F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0685AAC"/>
    <w:multiLevelType w:val="hybridMultilevel"/>
    <w:tmpl w:val="BA4C65C2"/>
    <w:lvl w:ilvl="0" w:tplc="C3066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3831A7B"/>
    <w:multiLevelType w:val="hybridMultilevel"/>
    <w:tmpl w:val="321CE264"/>
    <w:lvl w:ilvl="0" w:tplc="CAA81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9F55409"/>
    <w:multiLevelType w:val="hybridMultilevel"/>
    <w:tmpl w:val="38A0BEA2"/>
    <w:lvl w:ilvl="0" w:tplc="C3066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0DA1B08"/>
    <w:multiLevelType w:val="hybridMultilevel"/>
    <w:tmpl w:val="86969536"/>
    <w:lvl w:ilvl="0" w:tplc="25E65F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9A6034A"/>
    <w:multiLevelType w:val="hybridMultilevel"/>
    <w:tmpl w:val="13646206"/>
    <w:lvl w:ilvl="0" w:tplc="C30666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0944862"/>
    <w:multiLevelType w:val="hybridMultilevel"/>
    <w:tmpl w:val="305C85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2702CF"/>
    <w:rsid w:val="001659FB"/>
    <w:rsid w:val="00181DDF"/>
    <w:rsid w:val="002702CF"/>
    <w:rsid w:val="002C63DC"/>
    <w:rsid w:val="003C1638"/>
    <w:rsid w:val="004966D0"/>
    <w:rsid w:val="00621421"/>
    <w:rsid w:val="00636833"/>
    <w:rsid w:val="007C582E"/>
    <w:rsid w:val="0088041E"/>
    <w:rsid w:val="00933B07"/>
    <w:rsid w:val="009619C9"/>
    <w:rsid w:val="00996B12"/>
    <w:rsid w:val="00A627CC"/>
    <w:rsid w:val="00C27108"/>
    <w:rsid w:val="00F93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05F3C"/>
  <w15:chartTrackingRefBased/>
  <w15:docId w15:val="{CF7B6FC3-7D7D-4AEB-B70F-60F8FBAD6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02CF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702CF"/>
    <w:pPr>
      <w:keepNext/>
      <w:widowControl/>
      <w:spacing w:before="240" w:after="60" w:line="480" w:lineRule="auto"/>
      <w:jc w:val="left"/>
      <w:outlineLvl w:val="0"/>
    </w:pPr>
    <w:rPr>
      <w:rFonts w:ascii="Arial" w:eastAsia="等线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qFormat/>
    <w:rsid w:val="002702CF"/>
    <w:pPr>
      <w:keepNext/>
      <w:widowControl/>
      <w:spacing w:before="240" w:after="60" w:line="480" w:lineRule="auto"/>
      <w:jc w:val="left"/>
      <w:outlineLvl w:val="1"/>
    </w:pPr>
    <w:rPr>
      <w:rFonts w:ascii="Arial" w:eastAsia="等线" w:hAnsi="Arial" w:cs="Arial"/>
      <w:b/>
      <w:bCs/>
      <w:i/>
      <w:iCs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2702CF"/>
    <w:rPr>
      <w:rFonts w:ascii="Arial" w:eastAsia="等线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标题 2 字符"/>
    <w:basedOn w:val="a0"/>
    <w:link w:val="2"/>
    <w:rsid w:val="002702CF"/>
    <w:rPr>
      <w:rFonts w:ascii="Arial" w:eastAsia="等线" w:hAnsi="Arial" w:cs="Arial"/>
      <w:b/>
      <w:bCs/>
      <w:i/>
      <w:iCs/>
      <w:kern w:val="0"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2702CF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2702C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2702C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2702C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2702CF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2702CF"/>
    <w:pPr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2702CF"/>
    <w:rPr>
      <w:rFonts w:ascii="等线" w:eastAsia="等线" w:hAnsi="等线"/>
      <w:noProof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rsid w:val="002702CF"/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2702CF"/>
    <w:rPr>
      <w:rFonts w:ascii="等线" w:eastAsia="等线" w:hAnsi="等线"/>
      <w:noProof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2702C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702CF"/>
    <w:rPr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181DD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81DDF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181DD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81DD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181D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68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tiff"/><Relationship Id="rId5" Type="http://schemas.openxmlformats.org/officeDocument/2006/relationships/styles" Target="styles.xml"/><Relationship Id="rId10" Type="http://schemas.openxmlformats.org/officeDocument/2006/relationships/image" Target="media/image3.tiff"/><Relationship Id="rId4" Type="http://schemas.openxmlformats.org/officeDocument/2006/relationships/numbering" Target="numbering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7AA6B4-E39C-49E9-A969-5AF1BA0DC5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98425F-7905-461D-95A8-58567C7CA61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09E9B7-A946-4B1D-973D-93F027904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6c50b-363d-4a7d-adb0-cfd422105622"/>
    <ds:schemaRef ds:uri="86f7edec-793f-422f-bf86-565db80f0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7</Pages>
  <Words>1394</Words>
  <Characters>7949</Characters>
  <Application>Microsoft Office Word</Application>
  <DocSecurity>0</DocSecurity>
  <Lines>66</Lines>
  <Paragraphs>18</Paragraphs>
  <ScaleCrop>false</ScaleCrop>
  <Company/>
  <LinksUpToDate>false</LinksUpToDate>
  <CharactersWithSpaces>9325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fangzhi</dc:creator>
  <cp:keywords/>
  <dc:description/>
  <cp:lastModifiedBy>. fangzhi</cp:lastModifiedBy>
  <cp:revision>14</cp:revision>
  <dcterms:created xsi:type="dcterms:W3CDTF">2021-01-06T01:58:00Z</dcterms:created>
  <dcterms:modified xsi:type="dcterms:W3CDTF">2021-01-08T03:23:00Z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