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80EB5" w14:textId="10DDC1FB" w:rsidR="00E31DAD" w:rsidRPr="00301E21" w:rsidRDefault="0031038A" w:rsidP="00EE4813">
      <w:pPr>
        <w:pStyle w:val="Heading1"/>
        <w:rPr>
          <w:lang w:val="en-US"/>
        </w:rPr>
      </w:pPr>
      <w:r w:rsidRPr="00301E21">
        <w:rPr>
          <w:lang w:val="en-US"/>
        </w:rPr>
        <w:t>Comparison of dry</w:t>
      </w:r>
      <w:r w:rsidR="004F567D" w:rsidRPr="00301E21">
        <w:rPr>
          <w:lang w:val="en-US"/>
        </w:rPr>
        <w:t>-</w:t>
      </w:r>
      <w:r w:rsidRPr="00301E21">
        <w:rPr>
          <w:lang w:val="en-US"/>
        </w:rPr>
        <w:t xml:space="preserve">powder inhaler </w:t>
      </w:r>
      <w:r w:rsidR="00EE4813" w:rsidRPr="00301E21">
        <w:rPr>
          <w:lang w:val="en-US"/>
        </w:rPr>
        <w:t>and</w:t>
      </w:r>
      <w:r w:rsidRPr="00301E21">
        <w:rPr>
          <w:lang w:val="en-US"/>
        </w:rPr>
        <w:t xml:space="preserve"> </w:t>
      </w:r>
      <w:r w:rsidR="00301E21" w:rsidRPr="00301E21">
        <w:rPr>
          <w:lang w:val="en-US"/>
        </w:rPr>
        <w:t>pressurized</w:t>
      </w:r>
      <w:r w:rsidRPr="00301E21">
        <w:rPr>
          <w:lang w:val="en-US"/>
        </w:rPr>
        <w:t xml:space="preserve"> metered-dose inhaler formulation</w:t>
      </w:r>
      <w:r w:rsidR="00EE4813" w:rsidRPr="00301E21">
        <w:rPr>
          <w:lang w:val="en-US"/>
        </w:rPr>
        <w:t>s</w:t>
      </w:r>
      <w:r w:rsidRPr="00301E21">
        <w:rPr>
          <w:lang w:val="en-US"/>
        </w:rPr>
        <w:t xml:space="preserve"> of extrafine beclomethasone dipropionate/formoterol fumarate/glycopyrronium in patients with COPD: The TRI-D </w:t>
      </w:r>
      <w:r w:rsidR="00301E21" w:rsidRPr="00301E21">
        <w:rPr>
          <w:lang w:val="en-US"/>
        </w:rPr>
        <w:t>randomized</w:t>
      </w:r>
      <w:r w:rsidR="00D60955" w:rsidRPr="00301E21">
        <w:rPr>
          <w:lang w:val="en-US"/>
        </w:rPr>
        <w:t xml:space="preserve"> controlled </w:t>
      </w:r>
      <w:r w:rsidR="000920BA" w:rsidRPr="00301E21">
        <w:rPr>
          <w:lang w:val="en-US"/>
        </w:rPr>
        <w:t>trial</w:t>
      </w:r>
    </w:p>
    <w:p w14:paraId="5DBCC93D" w14:textId="3D073C04" w:rsidR="005F6D12" w:rsidRPr="00301E21" w:rsidRDefault="005F6D12" w:rsidP="005F6D12">
      <w:pPr>
        <w:jc w:val="both"/>
        <w:rPr>
          <w:rFonts w:asciiTheme="minorHAnsi" w:hAnsiTheme="minorHAnsi"/>
          <w:lang w:val="en-US"/>
        </w:rPr>
      </w:pPr>
      <w:r w:rsidRPr="00301E21">
        <w:rPr>
          <w:lang w:val="en-US"/>
        </w:rPr>
        <w:t xml:space="preserve">Kai-Michael Beeh, Piotr Kuna, </w:t>
      </w:r>
      <w:r w:rsidR="0053634E" w:rsidRPr="00301E21">
        <w:rPr>
          <w:lang w:val="en-US"/>
        </w:rPr>
        <w:t xml:space="preserve">Massimo </w:t>
      </w:r>
      <w:proofErr w:type="spellStart"/>
      <w:r w:rsidR="0053634E" w:rsidRPr="00301E21">
        <w:rPr>
          <w:lang w:val="en-US"/>
        </w:rPr>
        <w:t>Corradi</w:t>
      </w:r>
      <w:proofErr w:type="spellEnd"/>
      <w:r w:rsidR="0053634E" w:rsidRPr="00301E21">
        <w:rPr>
          <w:lang w:val="en-US"/>
        </w:rPr>
        <w:t xml:space="preserve">, </w:t>
      </w:r>
      <w:r w:rsidRPr="00301E21">
        <w:rPr>
          <w:lang w:val="en-US"/>
        </w:rPr>
        <w:t xml:space="preserve">Isabelle </w:t>
      </w:r>
      <w:proofErr w:type="spellStart"/>
      <w:r w:rsidRPr="00301E21">
        <w:rPr>
          <w:lang w:val="en-US"/>
        </w:rPr>
        <w:t>Viaud</w:t>
      </w:r>
      <w:proofErr w:type="spellEnd"/>
      <w:r w:rsidRPr="00301E21">
        <w:rPr>
          <w:lang w:val="en-US"/>
        </w:rPr>
        <w:t xml:space="preserve">, Alessandro </w:t>
      </w:r>
      <w:proofErr w:type="spellStart"/>
      <w:r w:rsidRPr="00301E21">
        <w:rPr>
          <w:lang w:val="en-US"/>
        </w:rPr>
        <w:t>Guasconi</w:t>
      </w:r>
      <w:proofErr w:type="spellEnd"/>
      <w:r w:rsidRPr="00301E21">
        <w:rPr>
          <w:lang w:val="en-US"/>
        </w:rPr>
        <w:t>, George Georges</w:t>
      </w:r>
    </w:p>
    <w:p w14:paraId="4CFD7525" w14:textId="14C07978" w:rsidR="002B2464" w:rsidRPr="00301E21" w:rsidRDefault="002B2464">
      <w:pPr>
        <w:spacing w:line="259" w:lineRule="auto"/>
        <w:rPr>
          <w:lang w:val="en-US"/>
        </w:rPr>
      </w:pPr>
    </w:p>
    <w:p w14:paraId="0B03545D" w14:textId="16E625A5" w:rsidR="002B2464" w:rsidRPr="00301E21" w:rsidRDefault="00BB554F" w:rsidP="002B2464">
      <w:pPr>
        <w:pStyle w:val="Heading1"/>
        <w:rPr>
          <w:lang w:val="en-US"/>
        </w:rPr>
      </w:pPr>
      <w:r>
        <w:rPr>
          <w:lang w:val="en-US"/>
        </w:rPr>
        <w:t>Supplement</w:t>
      </w:r>
    </w:p>
    <w:p w14:paraId="15B1B26B" w14:textId="632D914F" w:rsidR="002B2464" w:rsidRPr="00301E21" w:rsidRDefault="002B2464" w:rsidP="002B2464">
      <w:pPr>
        <w:rPr>
          <w:lang w:val="en-US"/>
        </w:rPr>
      </w:pPr>
    </w:p>
    <w:p w14:paraId="662C7656" w14:textId="52C4BDFF" w:rsidR="006F00BD" w:rsidRPr="00301E21" w:rsidRDefault="006F00BD" w:rsidP="002B2464">
      <w:pPr>
        <w:rPr>
          <w:lang w:val="en-US"/>
        </w:rPr>
      </w:pPr>
    </w:p>
    <w:p w14:paraId="48ADA541" w14:textId="77777777" w:rsidR="00D30919" w:rsidRPr="00301E21" w:rsidRDefault="00D30919">
      <w:pPr>
        <w:spacing w:line="259" w:lineRule="auto"/>
        <w:rPr>
          <w:rFonts w:eastAsiaTheme="majorEastAsia" w:cstheme="majorBidi"/>
          <w:b/>
          <w:sz w:val="26"/>
          <w:szCs w:val="26"/>
          <w:lang w:val="en-US"/>
        </w:rPr>
      </w:pPr>
      <w:r w:rsidRPr="00301E21">
        <w:rPr>
          <w:lang w:val="en-US"/>
        </w:rPr>
        <w:br w:type="page"/>
      </w:r>
    </w:p>
    <w:p w14:paraId="60B9CA09" w14:textId="62A40055" w:rsidR="006F00BD" w:rsidRPr="00301E21" w:rsidRDefault="006A349C" w:rsidP="006F00BD">
      <w:pPr>
        <w:pStyle w:val="Heading2"/>
        <w:rPr>
          <w:lang w:val="en-US"/>
        </w:rPr>
      </w:pPr>
      <w:r w:rsidRPr="00301E21">
        <w:rPr>
          <w:lang w:val="en-US"/>
        </w:rPr>
        <w:lastRenderedPageBreak/>
        <w:t>Supplemental m</w:t>
      </w:r>
      <w:r w:rsidR="006F00BD" w:rsidRPr="00301E21">
        <w:rPr>
          <w:lang w:val="en-US"/>
        </w:rPr>
        <w:t>ethods</w:t>
      </w:r>
    </w:p>
    <w:p w14:paraId="01A3023D" w14:textId="77777777" w:rsidR="006F00BD" w:rsidRPr="00301E21" w:rsidRDefault="006F00BD" w:rsidP="006F00BD">
      <w:pPr>
        <w:pStyle w:val="Heading3"/>
        <w:rPr>
          <w:lang w:val="en-US"/>
        </w:rPr>
      </w:pPr>
      <w:bookmarkStart w:id="0" w:name="_Toc12268878"/>
      <w:bookmarkStart w:id="1" w:name="_Ref5866554"/>
      <w:bookmarkStart w:id="2" w:name="_Ref5867280"/>
      <w:bookmarkStart w:id="3" w:name="_Ref6497301"/>
      <w:bookmarkStart w:id="4" w:name="_Ref6498683"/>
      <w:bookmarkStart w:id="5" w:name="_Ref17814916"/>
      <w:bookmarkStart w:id="6" w:name="_Ref17814953"/>
      <w:bookmarkStart w:id="7" w:name="_Toc24537031"/>
      <w:r w:rsidRPr="00301E21">
        <w:rPr>
          <w:lang w:val="en-US"/>
        </w:rPr>
        <w:t>Inclusion Criteria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5998319" w14:textId="77777777" w:rsidR="006F00BD" w:rsidRPr="00301E21" w:rsidRDefault="006F00BD" w:rsidP="006F00BD">
      <w:pPr>
        <w:rPr>
          <w:lang w:val="en-US"/>
        </w:rPr>
      </w:pPr>
      <w:r w:rsidRPr="00301E21">
        <w:rPr>
          <w:lang w:val="en-US"/>
        </w:rPr>
        <w:t>Patients had to meet all of the following inclusion criteria to be eligible for enrolment into the study:</w:t>
      </w:r>
    </w:p>
    <w:p w14:paraId="4D4744FA" w14:textId="62D5F5D7" w:rsidR="006F00BD" w:rsidRPr="00301E21" w:rsidRDefault="006F00BD" w:rsidP="006F00BD">
      <w:pPr>
        <w:pStyle w:val="ListParagraph"/>
        <w:numPr>
          <w:ilvl w:val="0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>Age and informed consent: male and female adults (aged ≥40 and ≤85 years) with written informed consent obtained prior to any study-related procedure;</w:t>
      </w:r>
    </w:p>
    <w:p w14:paraId="422E0988" w14:textId="77777777" w:rsidR="006F00BD" w:rsidRPr="00301E21" w:rsidRDefault="006F00BD" w:rsidP="006F00BD">
      <w:pPr>
        <w:pStyle w:val="ListParagraph"/>
        <w:numPr>
          <w:ilvl w:val="0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>COPD diagnosis: established diagnosis of COPD (according to GOLD document updated 2017) at least 12 months prior to screening;</w:t>
      </w:r>
    </w:p>
    <w:p w14:paraId="7B3070A8" w14:textId="4395D1E0" w:rsidR="006F00BD" w:rsidRPr="00301E21" w:rsidRDefault="006F00BD" w:rsidP="006F00BD">
      <w:pPr>
        <w:pStyle w:val="ListParagraph"/>
        <w:numPr>
          <w:ilvl w:val="0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>A post-bronchodilator FEV</w:t>
      </w:r>
      <w:r w:rsidRPr="00301E21">
        <w:rPr>
          <w:bCs/>
          <w:vertAlign w:val="subscript"/>
          <w:lang w:val="en-US"/>
        </w:rPr>
        <w:t>1</w:t>
      </w:r>
      <w:r w:rsidRPr="00301E21">
        <w:rPr>
          <w:bCs/>
          <w:lang w:val="en-US"/>
        </w:rPr>
        <w:t> ≥30% and &lt;80% of the predicted normal value and FEV</w:t>
      </w:r>
      <w:r w:rsidRPr="00301E21">
        <w:rPr>
          <w:bCs/>
          <w:vertAlign w:val="subscript"/>
          <w:lang w:val="en-US"/>
        </w:rPr>
        <w:t>1</w:t>
      </w:r>
      <w:r w:rsidRPr="00301E21">
        <w:rPr>
          <w:bCs/>
          <w:lang w:val="en-US"/>
        </w:rPr>
        <w:t>/FVC &lt;0.7. Post-bronchodilator test was measured 10</w:t>
      </w:r>
      <w:r w:rsidR="00F41038" w:rsidRPr="00301E21">
        <w:rPr>
          <w:bCs/>
          <w:lang w:val="en-US"/>
        </w:rPr>
        <w:t>–</w:t>
      </w:r>
      <w:r w:rsidRPr="00301E21">
        <w:rPr>
          <w:bCs/>
          <w:lang w:val="en-US"/>
        </w:rPr>
        <w:t>15 minutes after the administration of 400 μg of salbutamol (4 x 100 μg);</w:t>
      </w:r>
    </w:p>
    <w:p w14:paraId="0C5EDD76" w14:textId="77777777" w:rsidR="006F00BD" w:rsidRPr="00301E21" w:rsidRDefault="006F00BD" w:rsidP="006F00BD">
      <w:pPr>
        <w:pStyle w:val="ListParagraph"/>
        <w:numPr>
          <w:ilvl w:val="0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>A smoking history of at least 10 pack-years (pack-years = [number of cigarettes per day x number of years]/20). Current and ex-smokers were eligible. For ex-smokers, smoking cessation must have been completed more than 6 months prior to screening;</w:t>
      </w:r>
    </w:p>
    <w:p w14:paraId="2E62B83B" w14:textId="77777777" w:rsidR="006F00BD" w:rsidRPr="00301E21" w:rsidRDefault="006F00BD" w:rsidP="006F00BD">
      <w:pPr>
        <w:pStyle w:val="ListParagraph"/>
        <w:numPr>
          <w:ilvl w:val="0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 xml:space="preserve">Previous medication: patients’ COPD therapy at screening with either: </w:t>
      </w:r>
    </w:p>
    <w:p w14:paraId="1C428A66" w14:textId="77777777" w:rsidR="006F00BD" w:rsidRPr="00301E21" w:rsidRDefault="006F00BD" w:rsidP="006F00BD">
      <w:pPr>
        <w:pStyle w:val="ListParagraph"/>
        <w:numPr>
          <w:ilvl w:val="1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>ICS/LABA/LAMA (free or fixed) combination;</w:t>
      </w:r>
    </w:p>
    <w:p w14:paraId="3FC43229" w14:textId="77777777" w:rsidR="006F00BD" w:rsidRPr="00301E21" w:rsidRDefault="006F00BD" w:rsidP="006F00BD">
      <w:pPr>
        <w:pStyle w:val="ListParagraph"/>
        <w:numPr>
          <w:ilvl w:val="1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>ICS/LABA (free or fixed) combination;</w:t>
      </w:r>
    </w:p>
    <w:p w14:paraId="64C53731" w14:textId="77777777" w:rsidR="006F00BD" w:rsidRPr="00301E21" w:rsidRDefault="006F00BD" w:rsidP="006F00BD">
      <w:pPr>
        <w:pStyle w:val="ListParagraph"/>
        <w:numPr>
          <w:ilvl w:val="1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>Inhaled LABA/LAMA (free or fixed) combination;</w:t>
      </w:r>
    </w:p>
    <w:p w14:paraId="5D9AE611" w14:textId="77777777" w:rsidR="006F00BD" w:rsidRPr="00301E21" w:rsidRDefault="006F00BD" w:rsidP="006F00BD">
      <w:pPr>
        <w:pStyle w:val="ListParagraph"/>
        <w:numPr>
          <w:ilvl w:val="1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>Inhaled LAMA;</w:t>
      </w:r>
    </w:p>
    <w:p w14:paraId="370E2962" w14:textId="4471D23A" w:rsidR="006F00BD" w:rsidRPr="00301E21" w:rsidRDefault="006F00BD" w:rsidP="006F00BD">
      <w:pPr>
        <w:ind w:left="1080"/>
        <w:rPr>
          <w:bCs/>
          <w:lang w:val="en-US"/>
        </w:rPr>
      </w:pPr>
      <w:r w:rsidRPr="00301E21">
        <w:rPr>
          <w:bCs/>
          <w:lang w:val="en-US"/>
        </w:rPr>
        <w:t>If taken at stable regimen at least 30 days before screening;</w:t>
      </w:r>
    </w:p>
    <w:p w14:paraId="35565E8F" w14:textId="77777777" w:rsidR="006F00BD" w:rsidRPr="00301E21" w:rsidRDefault="006F00BD" w:rsidP="006F00BD">
      <w:pPr>
        <w:pStyle w:val="ListParagraph"/>
        <w:numPr>
          <w:ilvl w:val="0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>Ability to comply with the protocol: patients had to have a cooperative attitude to comply with study procedures;</w:t>
      </w:r>
    </w:p>
    <w:p w14:paraId="4D765224" w14:textId="77777777" w:rsidR="006F00BD" w:rsidRPr="00301E21" w:rsidRDefault="006F00BD" w:rsidP="006F00BD">
      <w:pPr>
        <w:pStyle w:val="ListParagraph"/>
        <w:numPr>
          <w:ilvl w:val="0"/>
          <w:numId w:val="10"/>
        </w:numPr>
        <w:rPr>
          <w:bCs/>
          <w:lang w:val="en-US"/>
        </w:rPr>
      </w:pPr>
      <w:r w:rsidRPr="00301E21">
        <w:rPr>
          <w:bCs/>
          <w:lang w:val="en-US"/>
        </w:rPr>
        <w:t>Ability to use the inhaler: patients had to have a cooperative attitude and the ability to be trained to use correctly the pMDI and DPI inhalers;</w:t>
      </w:r>
    </w:p>
    <w:p w14:paraId="4F39FFC6" w14:textId="67151304" w:rsidR="006F00BD" w:rsidRPr="00301E21" w:rsidRDefault="006F00BD" w:rsidP="006F00BD">
      <w:pPr>
        <w:spacing w:before="60" w:after="60"/>
        <w:rPr>
          <w:lang w:val="en-US"/>
        </w:rPr>
      </w:pPr>
      <w:r w:rsidRPr="00301E21">
        <w:rPr>
          <w:lang w:val="en-US"/>
        </w:rPr>
        <w:lastRenderedPageBreak/>
        <w:t xml:space="preserve">Inclusion criteria #6 and #7 were to be re-checked at the </w:t>
      </w:r>
      <w:r w:rsidR="00301E21" w:rsidRPr="00301E21">
        <w:rPr>
          <w:lang w:val="en-US"/>
        </w:rPr>
        <w:t>randomization</w:t>
      </w:r>
      <w:r w:rsidRPr="00301E21">
        <w:rPr>
          <w:lang w:val="en-US"/>
        </w:rPr>
        <w:t xml:space="preserve"> visit.</w:t>
      </w:r>
    </w:p>
    <w:p w14:paraId="4B721BF1" w14:textId="77777777" w:rsidR="00B74B88" w:rsidRPr="00301E21" w:rsidRDefault="00B74B88" w:rsidP="00B74B88">
      <w:pPr>
        <w:pStyle w:val="Heading3"/>
        <w:rPr>
          <w:lang w:val="en-US"/>
        </w:rPr>
      </w:pPr>
      <w:bookmarkStart w:id="8" w:name="_Toc433082356"/>
      <w:bookmarkStart w:id="9" w:name="_Toc12268879"/>
      <w:bookmarkStart w:id="10" w:name="_Ref5866583"/>
      <w:bookmarkStart w:id="11" w:name="_Ref5867302"/>
      <w:bookmarkStart w:id="12" w:name="_Ref6497320"/>
      <w:bookmarkStart w:id="13" w:name="_Toc24537032"/>
      <w:r w:rsidRPr="00301E21">
        <w:rPr>
          <w:lang w:val="en-US"/>
        </w:rPr>
        <w:t>Exclusion Criteria</w:t>
      </w:r>
      <w:bookmarkEnd w:id="8"/>
      <w:bookmarkEnd w:id="9"/>
      <w:bookmarkEnd w:id="10"/>
      <w:bookmarkEnd w:id="11"/>
      <w:bookmarkEnd w:id="12"/>
      <w:bookmarkEnd w:id="13"/>
    </w:p>
    <w:p w14:paraId="73A6D3CD" w14:textId="77777777" w:rsidR="00B74B88" w:rsidRPr="00301E21" w:rsidRDefault="00B74B88" w:rsidP="00B74B88">
      <w:pPr>
        <w:rPr>
          <w:lang w:val="en-US"/>
        </w:rPr>
      </w:pPr>
      <w:r w:rsidRPr="00301E21">
        <w:rPr>
          <w:lang w:val="en-US"/>
        </w:rPr>
        <w:t>The presence of any of the following excluded a patient from study enrolment:</w:t>
      </w:r>
    </w:p>
    <w:p w14:paraId="621844D9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 xml:space="preserve">Pregnancy and lactation: pregnant or lactating women and women of childbearing potential with fertile male partners unless they and/or their partner were willing to use a highly effective birth control method from the signature of the informed consent and until the follow-up contact. Being of non-childbearing potential was defined as meeting, at least, one of the following criteria: </w:t>
      </w:r>
    </w:p>
    <w:p w14:paraId="58162FE4" w14:textId="77777777" w:rsidR="00B74B88" w:rsidRPr="00301E21" w:rsidRDefault="00B74B88" w:rsidP="00B74B88">
      <w:pPr>
        <w:pStyle w:val="ListParagraph"/>
        <w:numPr>
          <w:ilvl w:val="1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At least 12 months of natural (spontaneous) amenorrhea with an appropriate clinical profile;</w:t>
      </w:r>
    </w:p>
    <w:p w14:paraId="66382FB8" w14:textId="3E5E9F64" w:rsidR="00B74B88" w:rsidRPr="00301E21" w:rsidRDefault="00B74B88" w:rsidP="00B74B88">
      <w:pPr>
        <w:pStyle w:val="ListParagraph"/>
        <w:numPr>
          <w:ilvl w:val="1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 xml:space="preserve">Previous surgical </w:t>
      </w:r>
      <w:r w:rsidR="00301E21" w:rsidRPr="00301E21">
        <w:rPr>
          <w:bCs/>
          <w:lang w:val="en-US"/>
        </w:rPr>
        <w:t>sterilization</w:t>
      </w:r>
      <w:r w:rsidRPr="00301E21">
        <w:rPr>
          <w:bCs/>
          <w:lang w:val="en-US"/>
        </w:rPr>
        <w:t>;</w:t>
      </w:r>
    </w:p>
    <w:p w14:paraId="148B8348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Diagnosis of asthma: patients who had a current clinical diagnosis of asthma;</w:t>
      </w:r>
    </w:p>
    <w:p w14:paraId="4738280A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Respiratory disorders other than COPD that would have affected efficacy and safety evaluation or place the patient at risk. This could have included but was not limited to known: alpha 1-antitrypsine deficiency, active tuberculosis, bronchiectasis, sarcoidosis, lung fibrosis, pulmonary hypertension and interstitial lung disease;</w:t>
      </w:r>
    </w:p>
    <w:p w14:paraId="5064DB07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Lung cancer or history of lung cancer: patients with a diagnosis of lung cancer or a history of lung cancer;</w:t>
      </w:r>
    </w:p>
    <w:p w14:paraId="48337BC0" w14:textId="10527ABB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 xml:space="preserve">Cancer or history of cancer (other than lung): patients with active cancer or a history of cancer with less than 5 years disease free survival time (whether or not there was evidence of local recurrence or metastases). </w:t>
      </w:r>
      <w:r w:rsidR="00301E21" w:rsidRPr="00301E21">
        <w:rPr>
          <w:bCs/>
          <w:lang w:val="en-US"/>
        </w:rPr>
        <w:t>Localized</w:t>
      </w:r>
      <w:r w:rsidRPr="00301E21">
        <w:rPr>
          <w:bCs/>
          <w:lang w:val="en-US"/>
        </w:rPr>
        <w:t xml:space="preserve"> carcinoma (</w:t>
      </w:r>
      <w:proofErr w:type="spellStart"/>
      <w:r w:rsidRPr="00301E21">
        <w:rPr>
          <w:bCs/>
          <w:lang w:val="en-US"/>
        </w:rPr>
        <w:t>eg</w:t>
      </w:r>
      <w:proofErr w:type="spellEnd"/>
      <w:r w:rsidRPr="00301E21">
        <w:rPr>
          <w:bCs/>
          <w:lang w:val="en-US"/>
        </w:rPr>
        <w:t xml:space="preserve"> basal cell carcinoma, in situ carcinoma of the cervix adequately treated) was acceptable;</w:t>
      </w:r>
    </w:p>
    <w:p w14:paraId="7A1F5747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Lung resection: patients with a history of lung volume resection;</w:t>
      </w:r>
    </w:p>
    <w:p w14:paraId="1F643987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lastRenderedPageBreak/>
        <w:t>Lower tract respiratory infection that required use of antibiotics within 6 weeks prior to screening or during the run-in period;</w:t>
      </w:r>
    </w:p>
    <w:p w14:paraId="62FFB7E6" w14:textId="770B63E8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 xml:space="preserve">History of exacerbations: patients with a moderate or severe COPD exacerbation, </w:t>
      </w:r>
      <w:proofErr w:type="spellStart"/>
      <w:r w:rsidRPr="00301E21">
        <w:rPr>
          <w:bCs/>
          <w:lang w:val="en-US"/>
        </w:rPr>
        <w:t>ie</w:t>
      </w:r>
      <w:proofErr w:type="spellEnd"/>
      <w:r w:rsidRPr="00301E21">
        <w:rPr>
          <w:bCs/>
          <w:lang w:val="en-US"/>
        </w:rPr>
        <w:t xml:space="preserve"> resulting in the use of systemic corticosteroids (oral/intravenous [IV]/intramuscular [IM]) and/or antibiotics and/or need for </w:t>
      </w:r>
      <w:r w:rsidR="00301E21" w:rsidRPr="00301E21">
        <w:rPr>
          <w:bCs/>
          <w:lang w:val="en-US"/>
        </w:rPr>
        <w:t>hospitalization</w:t>
      </w:r>
      <w:r w:rsidRPr="00301E21">
        <w:rPr>
          <w:bCs/>
          <w:lang w:val="en-US"/>
        </w:rPr>
        <w:t xml:space="preserve"> within 6 weeks prior to screening or during the run-in period;</w:t>
      </w:r>
    </w:p>
    <w:p w14:paraId="073ED3D1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Oxygen therapy: patients requiring long term (at least 12 hours daily) oxygen therapy for chronic hypoxemia;</w:t>
      </w:r>
    </w:p>
    <w:p w14:paraId="1050A390" w14:textId="50D7E5BA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 xml:space="preserve">Patients participating to a pulmonary rehabilitation </w:t>
      </w:r>
      <w:r w:rsidR="00301E21" w:rsidRPr="00301E21">
        <w:rPr>
          <w:bCs/>
          <w:lang w:val="en-US"/>
        </w:rPr>
        <w:t>program</w:t>
      </w:r>
      <w:r w:rsidRPr="00301E21">
        <w:rPr>
          <w:bCs/>
          <w:lang w:val="en-US"/>
        </w:rPr>
        <w:t xml:space="preserve"> or completing such a </w:t>
      </w:r>
      <w:r w:rsidR="00301E21" w:rsidRPr="00301E21">
        <w:rPr>
          <w:bCs/>
          <w:lang w:val="en-US"/>
        </w:rPr>
        <w:t>program</w:t>
      </w:r>
      <w:r w:rsidRPr="00301E21">
        <w:rPr>
          <w:bCs/>
          <w:lang w:val="en-US"/>
        </w:rPr>
        <w:t xml:space="preserve"> within 6 weeks prior to screening;</w:t>
      </w:r>
    </w:p>
    <w:p w14:paraId="009F8C5B" w14:textId="4B774554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 xml:space="preserve">Cardiovascular diseases: patients who had clinically significant cardiovascular condition such as, but not limited to, unstable ischemic heart disease, New York Heart Association Class III/IV left ventricular failure, acute </w:t>
      </w:r>
      <w:r w:rsidR="00301E21" w:rsidRPr="00301E21">
        <w:rPr>
          <w:bCs/>
          <w:lang w:val="en-US"/>
        </w:rPr>
        <w:t>ischemic</w:t>
      </w:r>
      <w:r w:rsidRPr="00301E21">
        <w:rPr>
          <w:bCs/>
          <w:lang w:val="en-US"/>
        </w:rPr>
        <w:t xml:space="preserve"> heart disease in the last year prior to study screening, history of sustained cardiac arrhythmias or sustained and non-sustained cardiac arrhythmias diagnosed in the last 6 months not controlled with therapy (sustained meant lasting more than 30 seconds and/or ending only with external action, and/or leading to </w:t>
      </w:r>
      <w:r w:rsidR="00301E21" w:rsidRPr="00301E21">
        <w:rPr>
          <w:bCs/>
          <w:lang w:val="en-US"/>
        </w:rPr>
        <w:t>hemodynamic</w:t>
      </w:r>
      <w:r w:rsidRPr="00301E21">
        <w:rPr>
          <w:bCs/>
          <w:lang w:val="en-US"/>
        </w:rPr>
        <w:t xml:space="preserve"> collapse; non-sustained meant &gt; 3 beats &lt; 30 seconds, and/or ending spontaneously, and/or asymptomatic), impulse conduction high degree blocks, patients with implantable cardioverter defibrillator;</w:t>
      </w:r>
    </w:p>
    <w:p w14:paraId="03D825A7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Atrial fibrillation (AF):</w:t>
      </w:r>
    </w:p>
    <w:p w14:paraId="162919B1" w14:textId="77777777" w:rsidR="00B74B88" w:rsidRPr="00301E21" w:rsidRDefault="00B74B88" w:rsidP="00B74B88">
      <w:pPr>
        <w:pStyle w:val="ListParagraph"/>
        <w:numPr>
          <w:ilvl w:val="1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Paroxysmal AF;</w:t>
      </w:r>
    </w:p>
    <w:p w14:paraId="41CB45BE" w14:textId="77777777" w:rsidR="00B74B88" w:rsidRPr="00301E21" w:rsidRDefault="00B74B88" w:rsidP="00B74B88">
      <w:pPr>
        <w:pStyle w:val="ListParagraph"/>
        <w:numPr>
          <w:ilvl w:val="1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Persistent: AF episode either lasted longer than 7 days or required termination by cardioversion, either with drugs or by direct current cardioversion within 6 months from screening;</w:t>
      </w:r>
    </w:p>
    <w:p w14:paraId="2E3F6B90" w14:textId="77777777" w:rsidR="00B74B88" w:rsidRPr="00301E21" w:rsidRDefault="00B74B88" w:rsidP="00B74B88">
      <w:pPr>
        <w:pStyle w:val="ListParagraph"/>
        <w:numPr>
          <w:ilvl w:val="1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Long standing persistent: as defined by continuous AF diagnosed for less than 6 months with or without a rhythm control strategy;</w:t>
      </w:r>
    </w:p>
    <w:p w14:paraId="520E41B0" w14:textId="4BB102CC" w:rsidR="00B74B88" w:rsidRPr="00301E21" w:rsidRDefault="00B74B88" w:rsidP="00B74B88">
      <w:pPr>
        <w:pStyle w:val="ListParagraph"/>
        <w:numPr>
          <w:ilvl w:val="1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lastRenderedPageBreak/>
        <w:t>Permanent: for at least 6 months with a resting ventricular rate ≥ 100/minute controlled with a rate control strategy (</w:t>
      </w:r>
      <w:proofErr w:type="spellStart"/>
      <w:r w:rsidRPr="00301E21">
        <w:rPr>
          <w:bCs/>
          <w:lang w:val="en-US"/>
        </w:rPr>
        <w:t>ie</w:t>
      </w:r>
      <w:proofErr w:type="spellEnd"/>
      <w:r w:rsidRPr="00301E21">
        <w:rPr>
          <w:bCs/>
          <w:lang w:val="en-US"/>
        </w:rPr>
        <w:t xml:space="preserve"> selective β-blocker, calcium channel blocker, pacemaker placement, digoxin or ablation therapy);</w:t>
      </w:r>
    </w:p>
    <w:p w14:paraId="07FAD6A1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ECG criteria: any clinically significant abnormal 12-lead ECG that affected efficacy or safety evaluation or placed the patients at risk. Male patients with a Fridericia’s corrected QT interval (QTcF) &gt; 450 </w:t>
      </w:r>
      <w:proofErr w:type="spellStart"/>
      <w:r w:rsidRPr="00301E21">
        <w:rPr>
          <w:bCs/>
          <w:lang w:val="en-US"/>
        </w:rPr>
        <w:t>ms</w:t>
      </w:r>
      <w:proofErr w:type="spellEnd"/>
      <w:r w:rsidRPr="00301E21">
        <w:rPr>
          <w:bCs/>
          <w:lang w:val="en-US"/>
        </w:rPr>
        <w:t xml:space="preserve"> and female patients with a QTcF &gt; 470 </w:t>
      </w:r>
      <w:proofErr w:type="spellStart"/>
      <w:r w:rsidRPr="00301E21">
        <w:rPr>
          <w:bCs/>
          <w:lang w:val="en-US"/>
        </w:rPr>
        <w:t>ms</w:t>
      </w:r>
      <w:proofErr w:type="spellEnd"/>
      <w:r w:rsidRPr="00301E21">
        <w:rPr>
          <w:bCs/>
          <w:lang w:val="en-US"/>
        </w:rPr>
        <w:t xml:space="preserve"> at screening were not eligible (not applicable to patients that had permanent AF and for patients who had a pacemaker);</w:t>
      </w:r>
    </w:p>
    <w:p w14:paraId="3D08A239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Concurrent diseases: patients with medical history or who had a current diagnosis of narrow-angle glaucoma, symptomatic prostatic hypertrophy, urinary retention or bladder neck obstruction that would have prevented the use of anticholinergic agents;</w:t>
      </w:r>
    </w:p>
    <w:p w14:paraId="0F444658" w14:textId="097B285B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 xml:space="preserve">Other concurrent diseases: patients who had a historical or current evidence of uncontrolled concurrent disease such as but not limited to hyperthyroidism, diabetes mellitus or other endocrine disease; </w:t>
      </w:r>
      <w:r w:rsidR="00301E21" w:rsidRPr="00301E21">
        <w:rPr>
          <w:bCs/>
          <w:lang w:val="en-US"/>
        </w:rPr>
        <w:t>hematological</w:t>
      </w:r>
      <w:r w:rsidRPr="00301E21">
        <w:rPr>
          <w:bCs/>
          <w:lang w:val="en-US"/>
        </w:rPr>
        <w:t xml:space="preserve"> disease; autoimmune disorders (</w:t>
      </w:r>
      <w:proofErr w:type="spellStart"/>
      <w:r w:rsidRPr="00301E21">
        <w:rPr>
          <w:bCs/>
          <w:lang w:val="en-US"/>
        </w:rPr>
        <w:t>eg</w:t>
      </w:r>
      <w:proofErr w:type="spellEnd"/>
      <w:r w:rsidRPr="00301E21">
        <w:rPr>
          <w:bCs/>
          <w:lang w:val="en-US"/>
        </w:rPr>
        <w:t xml:space="preserve"> rheumatoid arthritis); significant renal impairment or other diseases/conditions that might have placed the patient at undue risk or potentially have compromised the results or interpretation of the study;</w:t>
      </w:r>
    </w:p>
    <w:p w14:paraId="494B4515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Laboratory abnormalities: patients with clinically significant laboratory abnormalities indicating a significant unstable concomitant disease that might have placed the patient at undue risk or potentially have compromised the results or interpretation of the study;</w:t>
      </w:r>
    </w:p>
    <w:p w14:paraId="67A6096C" w14:textId="057CF0E0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 xml:space="preserve">Patients with </w:t>
      </w:r>
      <w:r w:rsidR="00301E21" w:rsidRPr="00301E21">
        <w:rPr>
          <w:bCs/>
          <w:lang w:val="en-US"/>
        </w:rPr>
        <w:t>hypokalemia</w:t>
      </w:r>
      <w:r w:rsidRPr="00301E21">
        <w:rPr>
          <w:bCs/>
          <w:lang w:val="en-US"/>
        </w:rPr>
        <w:t xml:space="preserve"> (serum potassium levels &lt;3.5 </w:t>
      </w:r>
      <w:proofErr w:type="spellStart"/>
      <w:r w:rsidRPr="00301E21">
        <w:rPr>
          <w:bCs/>
          <w:lang w:val="en-US"/>
        </w:rPr>
        <w:t>mEq</w:t>
      </w:r>
      <w:proofErr w:type="spellEnd"/>
      <w:r w:rsidRPr="00301E21">
        <w:rPr>
          <w:bCs/>
          <w:lang w:val="en-US"/>
        </w:rPr>
        <w:t xml:space="preserve">/L [or 3.5 mmol/L]) or uncontrolled </w:t>
      </w:r>
      <w:r w:rsidR="00301E21" w:rsidRPr="00301E21">
        <w:rPr>
          <w:bCs/>
          <w:lang w:val="en-US"/>
        </w:rPr>
        <w:t>hyperkalemia</w:t>
      </w:r>
      <w:r w:rsidRPr="00301E21">
        <w:rPr>
          <w:bCs/>
          <w:lang w:val="en-US"/>
        </w:rPr>
        <w:t>;</w:t>
      </w:r>
    </w:p>
    <w:p w14:paraId="67C4696C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Alcohol/drug abuse: patients with a known or suspected history of alcohol and/or substance/drug abuse within 12 months prior to screening;</w:t>
      </w:r>
    </w:p>
    <w:p w14:paraId="750D315E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lastRenderedPageBreak/>
        <w:t>Participation to investigational study: patients who had received any investigational drug within the 30 days (60 days for biologics) before screening;</w:t>
      </w:r>
    </w:p>
    <w:p w14:paraId="162BDAE3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Hypersensitivity: history of hypersensitivity to any of the study treatments components or a history of other allergy that in the opinion of the Investigator contraindicated the patient’s participation;</w:t>
      </w:r>
    </w:p>
    <w:p w14:paraId="2B78F422" w14:textId="77777777" w:rsidR="00B74B88" w:rsidRPr="00301E21" w:rsidRDefault="00B74B88" w:rsidP="00B74B88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301E21">
        <w:rPr>
          <w:bCs/>
          <w:lang w:val="en-US"/>
        </w:rPr>
        <w:t>Patients mentally or legally incapacitated or patients accommodated in an establishment as a result of an official or judicial order.</w:t>
      </w:r>
    </w:p>
    <w:p w14:paraId="5A3A82A2" w14:textId="7684B38B" w:rsidR="00B74B88" w:rsidRPr="00301E21" w:rsidRDefault="00B74B88" w:rsidP="00B74B88">
      <w:pPr>
        <w:rPr>
          <w:lang w:val="en-US"/>
        </w:rPr>
      </w:pPr>
      <w:r w:rsidRPr="00301E21">
        <w:rPr>
          <w:lang w:val="en-US"/>
        </w:rPr>
        <w:t xml:space="preserve">Exclusion criteria #7 and #8 were re-checked at the </w:t>
      </w:r>
      <w:r w:rsidR="00301E21" w:rsidRPr="00301E21">
        <w:rPr>
          <w:lang w:val="en-US"/>
        </w:rPr>
        <w:t>randomization</w:t>
      </w:r>
      <w:r w:rsidRPr="00301E21">
        <w:rPr>
          <w:lang w:val="en-US"/>
        </w:rPr>
        <w:t xml:space="preserve"> visit.</w:t>
      </w:r>
    </w:p>
    <w:p w14:paraId="29C8EB1C" w14:textId="77777777" w:rsidR="00E77D06" w:rsidRPr="00301E21" w:rsidRDefault="00E77D06">
      <w:pPr>
        <w:spacing w:line="259" w:lineRule="auto"/>
        <w:rPr>
          <w:rFonts w:eastAsiaTheme="majorEastAsia" w:cstheme="majorBidi"/>
          <w:b/>
          <w:sz w:val="32"/>
          <w:szCs w:val="32"/>
          <w:lang w:val="en-US"/>
        </w:rPr>
      </w:pPr>
      <w:r w:rsidRPr="00301E21">
        <w:rPr>
          <w:lang w:val="en-US"/>
        </w:rPr>
        <w:br w:type="page"/>
      </w:r>
    </w:p>
    <w:p w14:paraId="616BDA4F" w14:textId="222CBFDB" w:rsidR="006F00BD" w:rsidRPr="00301E21" w:rsidRDefault="00146CF5" w:rsidP="00146CF5">
      <w:pPr>
        <w:pStyle w:val="Heading1"/>
        <w:rPr>
          <w:lang w:val="en-US"/>
        </w:rPr>
      </w:pPr>
      <w:r w:rsidRPr="00301E21">
        <w:rPr>
          <w:lang w:val="en-US"/>
        </w:rPr>
        <w:lastRenderedPageBreak/>
        <w:t xml:space="preserve">List of </w:t>
      </w:r>
      <w:r w:rsidR="0036530F" w:rsidRPr="00301E21">
        <w:rPr>
          <w:lang w:val="en-US"/>
        </w:rPr>
        <w:t>ethics committees</w:t>
      </w:r>
    </w:p>
    <w:p w14:paraId="0C521C0D" w14:textId="20FC7EBF" w:rsidR="00264324" w:rsidRPr="00301E21" w:rsidRDefault="00264324" w:rsidP="0052363F">
      <w:pPr>
        <w:spacing w:after="0" w:line="360" w:lineRule="auto"/>
        <w:rPr>
          <w:lang w:val="en-US"/>
        </w:rPr>
      </w:pPr>
      <w:r w:rsidRPr="00301E21">
        <w:rPr>
          <w:lang w:val="en-US"/>
        </w:rPr>
        <w:t>Bulgaria</w:t>
      </w:r>
    </w:p>
    <w:p w14:paraId="4A34AB73" w14:textId="3913EFCD" w:rsidR="00264324" w:rsidRPr="00301E21" w:rsidRDefault="00C917AB" w:rsidP="0052363F">
      <w:pPr>
        <w:pStyle w:val="ListParagraph"/>
        <w:numPr>
          <w:ilvl w:val="0"/>
          <w:numId w:val="18"/>
        </w:numPr>
        <w:spacing w:line="360" w:lineRule="auto"/>
        <w:rPr>
          <w:lang w:val="en-US"/>
        </w:rPr>
      </w:pPr>
      <w:r w:rsidRPr="00301E21">
        <w:rPr>
          <w:lang w:val="en-US"/>
        </w:rPr>
        <w:t xml:space="preserve">All sites: </w:t>
      </w:r>
      <w:r w:rsidR="00264324" w:rsidRPr="00301E21">
        <w:rPr>
          <w:lang w:val="en-US"/>
        </w:rPr>
        <w:t xml:space="preserve">Ethics Committee for Multicenter Trials (MCEC), 8 </w:t>
      </w:r>
      <w:proofErr w:type="spellStart"/>
      <w:r w:rsidR="00264324" w:rsidRPr="00301E21">
        <w:rPr>
          <w:lang w:val="en-US"/>
        </w:rPr>
        <w:t>Damyan</w:t>
      </w:r>
      <w:proofErr w:type="spellEnd"/>
      <w:r w:rsidR="00264324" w:rsidRPr="00301E21">
        <w:rPr>
          <w:lang w:val="en-US"/>
        </w:rPr>
        <w:t xml:space="preserve"> </w:t>
      </w:r>
      <w:proofErr w:type="spellStart"/>
      <w:r w:rsidR="00264324" w:rsidRPr="00301E21">
        <w:rPr>
          <w:lang w:val="en-US"/>
        </w:rPr>
        <w:t>Gruev</w:t>
      </w:r>
      <w:proofErr w:type="spellEnd"/>
      <w:r w:rsidR="00264324" w:rsidRPr="00301E21">
        <w:rPr>
          <w:lang w:val="en-US"/>
        </w:rPr>
        <w:t xml:space="preserve"> street, 1303 Sofia</w:t>
      </w:r>
    </w:p>
    <w:p w14:paraId="2E1A3365" w14:textId="0E28BA0C" w:rsidR="00C917AB" w:rsidRPr="00301E21" w:rsidRDefault="00C917AB" w:rsidP="0052363F">
      <w:pPr>
        <w:spacing w:after="0" w:line="360" w:lineRule="auto"/>
        <w:rPr>
          <w:lang w:val="en-US"/>
        </w:rPr>
      </w:pPr>
      <w:r w:rsidRPr="00301E21">
        <w:rPr>
          <w:lang w:val="en-US"/>
        </w:rPr>
        <w:t>Czech Republic</w:t>
      </w:r>
    </w:p>
    <w:p w14:paraId="2BF12103" w14:textId="77777777" w:rsidR="00C537A3" w:rsidRPr="00301E21" w:rsidRDefault="00264324" w:rsidP="0052363F">
      <w:pPr>
        <w:pStyle w:val="ListParagraph"/>
        <w:numPr>
          <w:ilvl w:val="0"/>
          <w:numId w:val="18"/>
        </w:numPr>
        <w:spacing w:line="360" w:lineRule="auto"/>
        <w:rPr>
          <w:lang w:val="en-US"/>
        </w:rPr>
      </w:pPr>
      <w:proofErr w:type="spellStart"/>
      <w:r w:rsidRPr="00301E21">
        <w:rPr>
          <w:lang w:val="en-US"/>
        </w:rPr>
        <w:t>Etická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komise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Krajské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nemocnice</w:t>
      </w:r>
      <w:proofErr w:type="spellEnd"/>
      <w:r w:rsidRPr="00301E21">
        <w:rPr>
          <w:lang w:val="en-US"/>
        </w:rPr>
        <w:t xml:space="preserve"> Liberec, </w:t>
      </w:r>
      <w:proofErr w:type="spellStart"/>
      <w:r w:rsidRPr="00301E21">
        <w:rPr>
          <w:lang w:val="en-US"/>
        </w:rPr>
        <w:t>a.s.</w:t>
      </w:r>
      <w:proofErr w:type="spellEnd"/>
      <w:r w:rsidRPr="00301E21">
        <w:rPr>
          <w:lang w:val="en-US"/>
        </w:rPr>
        <w:t xml:space="preserve">, </w:t>
      </w:r>
      <w:proofErr w:type="spellStart"/>
      <w:r w:rsidRPr="00301E21">
        <w:rPr>
          <w:lang w:val="en-US"/>
        </w:rPr>
        <w:t>Krajská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nemocnice</w:t>
      </w:r>
      <w:proofErr w:type="spellEnd"/>
      <w:r w:rsidRPr="00301E21">
        <w:rPr>
          <w:lang w:val="en-US"/>
        </w:rPr>
        <w:t xml:space="preserve"> Liberec, </w:t>
      </w:r>
      <w:proofErr w:type="spellStart"/>
      <w:r w:rsidRPr="00301E21">
        <w:rPr>
          <w:lang w:val="en-US"/>
        </w:rPr>
        <w:t>a.s.</w:t>
      </w:r>
      <w:proofErr w:type="spellEnd"/>
      <w:r w:rsidRPr="00301E21">
        <w:rPr>
          <w:lang w:val="en-US"/>
        </w:rPr>
        <w:t>, Husova 357/10</w:t>
      </w:r>
      <w:r w:rsidR="00C917AB" w:rsidRPr="00301E21">
        <w:rPr>
          <w:lang w:val="en-US"/>
        </w:rPr>
        <w:t xml:space="preserve">. </w:t>
      </w:r>
      <w:r w:rsidRPr="00301E21">
        <w:rPr>
          <w:lang w:val="en-US"/>
        </w:rPr>
        <w:t>Liberec I-</w:t>
      </w:r>
      <w:proofErr w:type="spellStart"/>
      <w:r w:rsidRPr="00301E21">
        <w:rPr>
          <w:lang w:val="en-US"/>
        </w:rPr>
        <w:t>Staré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Město</w:t>
      </w:r>
      <w:proofErr w:type="spellEnd"/>
      <w:r w:rsidRPr="00301E21">
        <w:rPr>
          <w:lang w:val="en-US"/>
        </w:rPr>
        <w:t>, 460 01 Liberec</w:t>
      </w:r>
    </w:p>
    <w:p w14:paraId="5215D434" w14:textId="0ABE146C" w:rsidR="00264324" w:rsidRPr="00301E21" w:rsidRDefault="00264324" w:rsidP="0052363F">
      <w:pPr>
        <w:pStyle w:val="ListParagraph"/>
        <w:numPr>
          <w:ilvl w:val="0"/>
          <w:numId w:val="18"/>
        </w:numPr>
        <w:spacing w:line="360" w:lineRule="auto"/>
        <w:rPr>
          <w:lang w:val="en-US"/>
        </w:rPr>
      </w:pPr>
      <w:proofErr w:type="spellStart"/>
      <w:r w:rsidRPr="00301E21">
        <w:rPr>
          <w:lang w:val="en-US"/>
        </w:rPr>
        <w:t>Etická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komise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Nemocnice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Kyjov</w:t>
      </w:r>
      <w:proofErr w:type="spellEnd"/>
      <w:r w:rsidRPr="00301E21">
        <w:rPr>
          <w:lang w:val="en-US"/>
        </w:rPr>
        <w:t xml:space="preserve">, </w:t>
      </w:r>
      <w:proofErr w:type="spellStart"/>
      <w:r w:rsidRPr="00301E21">
        <w:rPr>
          <w:lang w:val="en-US"/>
        </w:rPr>
        <w:t>příspěvková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organizace</w:t>
      </w:r>
      <w:proofErr w:type="spellEnd"/>
      <w:r w:rsidR="00C537A3" w:rsidRPr="00301E21">
        <w:rPr>
          <w:lang w:val="en-US"/>
        </w:rPr>
        <w:t xml:space="preserve">, </w:t>
      </w:r>
      <w:proofErr w:type="spellStart"/>
      <w:r w:rsidRPr="00301E21">
        <w:rPr>
          <w:lang w:val="en-US"/>
        </w:rPr>
        <w:t>Nemocnice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Kyjov</w:t>
      </w:r>
      <w:proofErr w:type="spellEnd"/>
      <w:r w:rsidRPr="00301E21">
        <w:rPr>
          <w:lang w:val="en-US"/>
        </w:rPr>
        <w:t xml:space="preserve">, </w:t>
      </w:r>
      <w:proofErr w:type="spellStart"/>
      <w:r w:rsidRPr="00301E21">
        <w:rPr>
          <w:lang w:val="en-US"/>
        </w:rPr>
        <w:t>příspěvková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organizace</w:t>
      </w:r>
      <w:proofErr w:type="spellEnd"/>
      <w:r w:rsidR="00C537A3" w:rsidRPr="00301E21">
        <w:rPr>
          <w:lang w:val="en-US"/>
        </w:rPr>
        <w:t xml:space="preserve">, </w:t>
      </w:r>
      <w:proofErr w:type="spellStart"/>
      <w:r w:rsidRPr="00301E21">
        <w:rPr>
          <w:lang w:val="en-US"/>
        </w:rPr>
        <w:t>Strážovská</w:t>
      </w:r>
      <w:proofErr w:type="spellEnd"/>
      <w:r w:rsidRPr="00301E21">
        <w:rPr>
          <w:lang w:val="en-US"/>
        </w:rPr>
        <w:t xml:space="preserve"> 1247/22, 69701 </w:t>
      </w:r>
      <w:proofErr w:type="spellStart"/>
      <w:r w:rsidRPr="00301E21">
        <w:rPr>
          <w:lang w:val="en-US"/>
        </w:rPr>
        <w:t>Kyjov</w:t>
      </w:r>
      <w:proofErr w:type="spellEnd"/>
    </w:p>
    <w:p w14:paraId="7CBD0BE8" w14:textId="77777777" w:rsidR="00C537A3" w:rsidRPr="00301E21" w:rsidRDefault="00264324" w:rsidP="0052363F">
      <w:pPr>
        <w:spacing w:after="0" w:line="360" w:lineRule="auto"/>
        <w:rPr>
          <w:lang w:val="en-US"/>
        </w:rPr>
      </w:pPr>
      <w:r w:rsidRPr="00301E21">
        <w:rPr>
          <w:lang w:val="en-US"/>
        </w:rPr>
        <w:t xml:space="preserve">Germany </w:t>
      </w:r>
    </w:p>
    <w:p w14:paraId="45311406" w14:textId="0B44BA05" w:rsidR="00264324" w:rsidRPr="00301E21" w:rsidRDefault="00264324" w:rsidP="0052363F">
      <w:pPr>
        <w:pStyle w:val="ListParagraph"/>
        <w:numPr>
          <w:ilvl w:val="0"/>
          <w:numId w:val="22"/>
        </w:numPr>
        <w:spacing w:line="360" w:lineRule="auto"/>
        <w:rPr>
          <w:lang w:val="en-US"/>
        </w:rPr>
      </w:pPr>
      <w:r w:rsidRPr="00301E21">
        <w:rPr>
          <w:lang w:val="en-US"/>
        </w:rPr>
        <w:t xml:space="preserve">All </w:t>
      </w:r>
      <w:r w:rsidR="00C537A3" w:rsidRPr="00301E21">
        <w:rPr>
          <w:lang w:val="en-US"/>
        </w:rPr>
        <w:t>s</w:t>
      </w:r>
      <w:r w:rsidRPr="00301E21">
        <w:rPr>
          <w:lang w:val="en-US"/>
        </w:rPr>
        <w:t>ites</w:t>
      </w:r>
      <w:r w:rsidR="00C537A3" w:rsidRPr="00301E21">
        <w:rPr>
          <w:lang w:val="en-US"/>
        </w:rPr>
        <w:t xml:space="preserve">: </w:t>
      </w:r>
      <w:proofErr w:type="spellStart"/>
      <w:r w:rsidRPr="00301E21">
        <w:rPr>
          <w:lang w:val="en-US"/>
        </w:rPr>
        <w:t>Ethikkommission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bei</w:t>
      </w:r>
      <w:proofErr w:type="spellEnd"/>
      <w:r w:rsidRPr="00301E21">
        <w:rPr>
          <w:lang w:val="en-US"/>
        </w:rPr>
        <w:t xml:space="preserve"> der</w:t>
      </w:r>
      <w:r w:rsidR="00C537A3"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Landesärztekammer</w:t>
      </w:r>
      <w:proofErr w:type="spellEnd"/>
      <w:r w:rsidRPr="00301E21">
        <w:rPr>
          <w:lang w:val="en-US"/>
        </w:rPr>
        <w:t xml:space="preserve"> Hessen</w:t>
      </w:r>
      <w:r w:rsidR="002D4799" w:rsidRPr="00301E21">
        <w:rPr>
          <w:lang w:val="en-US"/>
        </w:rPr>
        <w:t>,</w:t>
      </w:r>
      <w:r w:rsidR="00C537A3" w:rsidRPr="00301E21">
        <w:rPr>
          <w:lang w:val="en-US"/>
        </w:rPr>
        <w:t xml:space="preserve"> </w:t>
      </w:r>
      <w:r w:rsidRPr="00301E21">
        <w:rPr>
          <w:lang w:val="en-US"/>
        </w:rPr>
        <w:t xml:space="preserve">Im </w:t>
      </w:r>
      <w:proofErr w:type="spellStart"/>
      <w:r w:rsidRPr="00301E21">
        <w:rPr>
          <w:lang w:val="en-US"/>
        </w:rPr>
        <w:t>Vogelsgesang</w:t>
      </w:r>
      <w:proofErr w:type="spellEnd"/>
      <w:r w:rsidRPr="00301E21">
        <w:rPr>
          <w:lang w:val="en-US"/>
        </w:rPr>
        <w:t xml:space="preserve"> 3, 60488 Frankfurt am Main</w:t>
      </w:r>
    </w:p>
    <w:p w14:paraId="17807B28" w14:textId="77777777" w:rsidR="002D4799" w:rsidRPr="00301E21" w:rsidRDefault="00264324" w:rsidP="0052363F">
      <w:pPr>
        <w:spacing w:after="0" w:line="360" w:lineRule="auto"/>
        <w:rPr>
          <w:lang w:val="en-US"/>
        </w:rPr>
      </w:pPr>
      <w:r w:rsidRPr="00301E21">
        <w:rPr>
          <w:lang w:val="en-US"/>
        </w:rPr>
        <w:t xml:space="preserve">Hungary </w:t>
      </w:r>
    </w:p>
    <w:p w14:paraId="4BAE928B" w14:textId="74D71214" w:rsidR="00264324" w:rsidRPr="00301E21" w:rsidRDefault="00264324" w:rsidP="0052363F">
      <w:pPr>
        <w:pStyle w:val="ListParagraph"/>
        <w:numPr>
          <w:ilvl w:val="0"/>
          <w:numId w:val="22"/>
        </w:numPr>
        <w:spacing w:line="360" w:lineRule="auto"/>
        <w:rPr>
          <w:lang w:val="en-US"/>
        </w:rPr>
      </w:pPr>
      <w:r w:rsidRPr="00301E21">
        <w:rPr>
          <w:lang w:val="en-US"/>
        </w:rPr>
        <w:t xml:space="preserve">All </w:t>
      </w:r>
      <w:r w:rsidR="002D4799" w:rsidRPr="00301E21">
        <w:rPr>
          <w:lang w:val="en-US"/>
        </w:rPr>
        <w:t>s</w:t>
      </w:r>
      <w:r w:rsidRPr="00301E21">
        <w:rPr>
          <w:lang w:val="en-US"/>
        </w:rPr>
        <w:t>ites</w:t>
      </w:r>
      <w:r w:rsidR="002D4799" w:rsidRPr="00301E21">
        <w:rPr>
          <w:lang w:val="en-US"/>
        </w:rPr>
        <w:t xml:space="preserve">: </w:t>
      </w:r>
      <w:r w:rsidRPr="00301E21">
        <w:rPr>
          <w:lang w:val="en-US"/>
        </w:rPr>
        <w:t>Medical Research Council,</w:t>
      </w:r>
      <w:r w:rsidR="002D4799" w:rsidRPr="00301E21">
        <w:rPr>
          <w:lang w:val="en-US"/>
        </w:rPr>
        <w:t xml:space="preserve"> </w:t>
      </w:r>
      <w:r w:rsidRPr="00301E21">
        <w:rPr>
          <w:lang w:val="en-US"/>
        </w:rPr>
        <w:t>Ethics Committee for Clinical Pharmacology (MRC ECCP)</w:t>
      </w:r>
      <w:r w:rsidR="002D4799" w:rsidRPr="00301E21">
        <w:rPr>
          <w:lang w:val="en-US"/>
        </w:rPr>
        <w:t xml:space="preserve">, </w:t>
      </w:r>
      <w:proofErr w:type="spellStart"/>
      <w:r w:rsidRPr="00301E21">
        <w:rPr>
          <w:lang w:val="en-US"/>
        </w:rPr>
        <w:t>Alkotmány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utca</w:t>
      </w:r>
      <w:proofErr w:type="spellEnd"/>
      <w:r w:rsidRPr="00301E21">
        <w:rPr>
          <w:lang w:val="en-US"/>
        </w:rPr>
        <w:t xml:space="preserve"> 25, H-1054 Budapest</w:t>
      </w:r>
    </w:p>
    <w:p w14:paraId="0338AD66" w14:textId="37B8267E" w:rsidR="00264324" w:rsidRPr="00301E21" w:rsidRDefault="000B4A16" w:rsidP="0052363F">
      <w:pPr>
        <w:spacing w:after="0" w:line="360" w:lineRule="auto"/>
        <w:rPr>
          <w:lang w:val="en-US"/>
        </w:rPr>
      </w:pPr>
      <w:r w:rsidRPr="00301E21">
        <w:rPr>
          <w:lang w:val="en-US"/>
        </w:rPr>
        <w:t>Italy</w:t>
      </w:r>
    </w:p>
    <w:p w14:paraId="14D098B8" w14:textId="776F8961" w:rsidR="00264324" w:rsidRPr="00301E21" w:rsidRDefault="00264324" w:rsidP="0052363F">
      <w:pPr>
        <w:pStyle w:val="ListParagraph"/>
        <w:numPr>
          <w:ilvl w:val="0"/>
          <w:numId w:val="22"/>
        </w:numPr>
        <w:spacing w:line="360" w:lineRule="auto"/>
        <w:rPr>
          <w:lang w:val="en-US"/>
        </w:rPr>
      </w:pPr>
      <w:proofErr w:type="spellStart"/>
      <w:r w:rsidRPr="00301E21">
        <w:rPr>
          <w:lang w:val="en-US"/>
        </w:rPr>
        <w:t>Comitato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Etico</w:t>
      </w:r>
      <w:proofErr w:type="spellEnd"/>
      <w:r w:rsidRPr="00301E21">
        <w:rPr>
          <w:lang w:val="en-US"/>
        </w:rPr>
        <w:t xml:space="preserve"> per la </w:t>
      </w:r>
      <w:proofErr w:type="spellStart"/>
      <w:r w:rsidRPr="00301E21">
        <w:rPr>
          <w:lang w:val="en-US"/>
        </w:rPr>
        <w:t>Sperimentazione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Clinica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delle</w:t>
      </w:r>
      <w:proofErr w:type="spellEnd"/>
      <w:r w:rsidRPr="00301E21">
        <w:rPr>
          <w:lang w:val="en-US"/>
        </w:rPr>
        <w:t xml:space="preserve"> Province di Verona e Rovigo</w:t>
      </w:r>
      <w:r w:rsidR="000B4A16" w:rsidRPr="00301E21">
        <w:rPr>
          <w:lang w:val="en-US"/>
        </w:rPr>
        <w:t xml:space="preserve">, </w:t>
      </w:r>
      <w:r w:rsidRPr="00301E21">
        <w:rPr>
          <w:lang w:val="en-US"/>
        </w:rPr>
        <w:t xml:space="preserve">c/o </w:t>
      </w:r>
      <w:proofErr w:type="spellStart"/>
      <w:r w:rsidRPr="00301E21">
        <w:rPr>
          <w:lang w:val="en-US"/>
        </w:rPr>
        <w:t>Servizio</w:t>
      </w:r>
      <w:proofErr w:type="spellEnd"/>
      <w:r w:rsidRPr="00301E21">
        <w:rPr>
          <w:lang w:val="en-US"/>
        </w:rPr>
        <w:t xml:space="preserve"> di </w:t>
      </w:r>
      <w:proofErr w:type="spellStart"/>
      <w:r w:rsidRPr="00301E21">
        <w:rPr>
          <w:lang w:val="en-US"/>
        </w:rPr>
        <w:t>Farmacia</w:t>
      </w:r>
      <w:proofErr w:type="spellEnd"/>
      <w:r w:rsidR="000B4A16" w:rsidRPr="00301E21">
        <w:rPr>
          <w:lang w:val="en-US"/>
        </w:rPr>
        <w:t xml:space="preserve">, </w:t>
      </w:r>
      <w:r w:rsidRPr="00301E21">
        <w:rPr>
          <w:lang w:val="en-US"/>
        </w:rPr>
        <w:t>Piazzale A. Stefani, 1 - 37126 Verona</w:t>
      </w:r>
    </w:p>
    <w:p w14:paraId="51AD2D64" w14:textId="3642F095" w:rsidR="00264324" w:rsidRPr="00301E21" w:rsidRDefault="00264324" w:rsidP="0052363F">
      <w:pPr>
        <w:pStyle w:val="ListParagraph"/>
        <w:numPr>
          <w:ilvl w:val="0"/>
          <w:numId w:val="22"/>
        </w:numPr>
        <w:spacing w:line="360" w:lineRule="auto"/>
        <w:rPr>
          <w:lang w:val="en-US"/>
        </w:rPr>
      </w:pPr>
      <w:proofErr w:type="spellStart"/>
      <w:r w:rsidRPr="00301E21">
        <w:rPr>
          <w:lang w:val="en-US"/>
        </w:rPr>
        <w:t>Comitato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Etico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Interaziendale</w:t>
      </w:r>
      <w:proofErr w:type="spellEnd"/>
      <w:r w:rsidR="000B4A16" w:rsidRPr="00301E21">
        <w:rPr>
          <w:lang w:val="en-US"/>
        </w:rPr>
        <w:t xml:space="preserve">, </w:t>
      </w:r>
      <w:proofErr w:type="spellStart"/>
      <w:r w:rsidRPr="00301E21">
        <w:rPr>
          <w:lang w:val="en-US"/>
        </w:rPr>
        <w:t>Azienda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Ospedaliera</w:t>
      </w:r>
      <w:proofErr w:type="spellEnd"/>
      <w:r w:rsidRPr="00301E21">
        <w:rPr>
          <w:lang w:val="en-US"/>
        </w:rPr>
        <w:t xml:space="preserve"> di Alessandria</w:t>
      </w:r>
      <w:r w:rsidR="000B4A16" w:rsidRPr="00301E21">
        <w:rPr>
          <w:lang w:val="en-US"/>
        </w:rPr>
        <w:t xml:space="preserve">, </w:t>
      </w:r>
      <w:r w:rsidRPr="00301E21">
        <w:rPr>
          <w:lang w:val="en-US"/>
        </w:rPr>
        <w:t xml:space="preserve">S.S. Antonio e </w:t>
      </w:r>
      <w:proofErr w:type="spellStart"/>
      <w:r w:rsidRPr="00301E21">
        <w:rPr>
          <w:lang w:val="en-US"/>
        </w:rPr>
        <w:t>Biagio</w:t>
      </w:r>
      <w:proofErr w:type="spellEnd"/>
      <w:r w:rsidRPr="00301E21">
        <w:rPr>
          <w:lang w:val="en-US"/>
        </w:rPr>
        <w:t xml:space="preserve"> e Cesare Arrigo</w:t>
      </w:r>
      <w:r w:rsidR="000B4A16" w:rsidRPr="00301E21">
        <w:rPr>
          <w:lang w:val="en-US"/>
        </w:rPr>
        <w:t xml:space="preserve">, </w:t>
      </w:r>
      <w:r w:rsidRPr="00301E21">
        <w:rPr>
          <w:lang w:val="en-US"/>
        </w:rPr>
        <w:t>Via Venezia, 16 - 15121 Alessandria</w:t>
      </w:r>
    </w:p>
    <w:p w14:paraId="0F02062A" w14:textId="2A281BFC" w:rsidR="00264324" w:rsidRPr="00301E21" w:rsidRDefault="00264324" w:rsidP="0052363F">
      <w:pPr>
        <w:pStyle w:val="ListParagraph"/>
        <w:numPr>
          <w:ilvl w:val="0"/>
          <w:numId w:val="22"/>
        </w:numPr>
        <w:spacing w:line="360" w:lineRule="auto"/>
        <w:rPr>
          <w:lang w:val="en-US"/>
        </w:rPr>
      </w:pPr>
      <w:proofErr w:type="spellStart"/>
      <w:r w:rsidRPr="00301E21">
        <w:rPr>
          <w:lang w:val="en-US"/>
        </w:rPr>
        <w:t>Comitato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Etico</w:t>
      </w:r>
      <w:proofErr w:type="spellEnd"/>
      <w:r w:rsidRPr="00301E21">
        <w:rPr>
          <w:lang w:val="en-US"/>
        </w:rPr>
        <w:t xml:space="preserve"> Unico </w:t>
      </w:r>
      <w:proofErr w:type="spellStart"/>
      <w:r w:rsidRPr="00301E21">
        <w:rPr>
          <w:lang w:val="en-US"/>
        </w:rPr>
        <w:t>Regionale</w:t>
      </w:r>
      <w:proofErr w:type="spellEnd"/>
      <w:r w:rsidR="000B4A16" w:rsidRPr="00301E21">
        <w:rPr>
          <w:lang w:val="en-US"/>
        </w:rPr>
        <w:t xml:space="preserve">, </w:t>
      </w:r>
      <w:r w:rsidRPr="00301E21">
        <w:rPr>
          <w:lang w:val="en-US"/>
        </w:rPr>
        <w:t xml:space="preserve">c/o </w:t>
      </w:r>
      <w:proofErr w:type="spellStart"/>
      <w:r w:rsidRPr="00301E21">
        <w:rPr>
          <w:lang w:val="en-US"/>
        </w:rPr>
        <w:t>Direzione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Scientifica</w:t>
      </w:r>
      <w:proofErr w:type="spellEnd"/>
      <w:r w:rsidR="00A10B38" w:rsidRPr="00301E21">
        <w:rPr>
          <w:lang w:val="en-US"/>
        </w:rPr>
        <w:t xml:space="preserve"> </w:t>
      </w:r>
      <w:r w:rsidRPr="00301E21">
        <w:rPr>
          <w:lang w:val="en-US"/>
        </w:rPr>
        <w:t xml:space="preserve">Centro di </w:t>
      </w:r>
      <w:proofErr w:type="spellStart"/>
      <w:r w:rsidRPr="00301E21">
        <w:rPr>
          <w:lang w:val="en-US"/>
        </w:rPr>
        <w:t>Riferimento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Oncologico</w:t>
      </w:r>
      <w:proofErr w:type="spellEnd"/>
      <w:r w:rsidR="00A10B38" w:rsidRPr="00301E21">
        <w:rPr>
          <w:lang w:val="en-US"/>
        </w:rPr>
        <w:t xml:space="preserve">, </w:t>
      </w:r>
      <w:proofErr w:type="spellStart"/>
      <w:r w:rsidRPr="00301E21">
        <w:rPr>
          <w:lang w:val="en-US"/>
        </w:rPr>
        <w:t>Istituto</w:t>
      </w:r>
      <w:proofErr w:type="spellEnd"/>
      <w:r w:rsidRPr="00301E21">
        <w:rPr>
          <w:lang w:val="en-US"/>
        </w:rPr>
        <w:t xml:space="preserve"> di </w:t>
      </w:r>
      <w:proofErr w:type="spellStart"/>
      <w:r w:rsidRPr="00301E21">
        <w:rPr>
          <w:lang w:val="en-US"/>
        </w:rPr>
        <w:t>ricovero</w:t>
      </w:r>
      <w:proofErr w:type="spellEnd"/>
      <w:r w:rsidRPr="00301E21">
        <w:rPr>
          <w:lang w:val="en-US"/>
        </w:rPr>
        <w:t xml:space="preserve"> e </w:t>
      </w:r>
      <w:proofErr w:type="spellStart"/>
      <w:r w:rsidRPr="00301E21">
        <w:rPr>
          <w:lang w:val="en-US"/>
        </w:rPr>
        <w:t>cura</w:t>
      </w:r>
      <w:proofErr w:type="spellEnd"/>
      <w:r w:rsidRPr="00301E21">
        <w:rPr>
          <w:lang w:val="en-US"/>
        </w:rPr>
        <w:t xml:space="preserve"> a carattere </w:t>
      </w:r>
      <w:proofErr w:type="spellStart"/>
      <w:r w:rsidRPr="00301E21">
        <w:rPr>
          <w:lang w:val="en-US"/>
        </w:rPr>
        <w:t>scientifico</w:t>
      </w:r>
      <w:proofErr w:type="spellEnd"/>
      <w:r w:rsidR="00A10B38" w:rsidRPr="00301E21">
        <w:rPr>
          <w:lang w:val="en-US"/>
        </w:rPr>
        <w:t xml:space="preserve">, </w:t>
      </w:r>
      <w:r w:rsidRPr="00301E21">
        <w:rPr>
          <w:lang w:val="en-US"/>
        </w:rPr>
        <w:t xml:space="preserve">Via Franco </w:t>
      </w:r>
      <w:proofErr w:type="spellStart"/>
      <w:r w:rsidRPr="00301E21">
        <w:rPr>
          <w:lang w:val="en-US"/>
        </w:rPr>
        <w:t>Gallini</w:t>
      </w:r>
      <w:proofErr w:type="spellEnd"/>
      <w:r w:rsidRPr="00301E21">
        <w:rPr>
          <w:lang w:val="en-US"/>
        </w:rPr>
        <w:t>, 2 - 33081 Aviano (PN)</w:t>
      </w:r>
    </w:p>
    <w:p w14:paraId="5752EE94" w14:textId="1A1F6D19" w:rsidR="00264324" w:rsidRPr="00301E21" w:rsidRDefault="00264324" w:rsidP="0052363F">
      <w:pPr>
        <w:pStyle w:val="ListParagraph"/>
        <w:numPr>
          <w:ilvl w:val="0"/>
          <w:numId w:val="22"/>
        </w:numPr>
        <w:spacing w:line="360" w:lineRule="auto"/>
        <w:rPr>
          <w:lang w:val="en-US"/>
        </w:rPr>
      </w:pPr>
      <w:proofErr w:type="spellStart"/>
      <w:r w:rsidRPr="00301E21">
        <w:rPr>
          <w:lang w:val="en-US"/>
        </w:rPr>
        <w:t>Comitato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Etico</w:t>
      </w:r>
      <w:proofErr w:type="spellEnd"/>
      <w:r w:rsidRPr="00301E21">
        <w:rPr>
          <w:lang w:val="en-US"/>
        </w:rPr>
        <w:t xml:space="preserve"> Area </w:t>
      </w:r>
      <w:proofErr w:type="spellStart"/>
      <w:r w:rsidRPr="00301E21">
        <w:rPr>
          <w:lang w:val="en-US"/>
        </w:rPr>
        <w:t>Vasta</w:t>
      </w:r>
      <w:proofErr w:type="spellEnd"/>
      <w:r w:rsidRPr="00301E21">
        <w:rPr>
          <w:lang w:val="en-US"/>
        </w:rPr>
        <w:t xml:space="preserve"> Nord-</w:t>
      </w:r>
      <w:proofErr w:type="spellStart"/>
      <w:r w:rsidRPr="00301E21">
        <w:rPr>
          <w:lang w:val="en-US"/>
        </w:rPr>
        <w:t>Ovest</w:t>
      </w:r>
      <w:proofErr w:type="spellEnd"/>
      <w:r w:rsidR="00A10B38" w:rsidRPr="00301E21">
        <w:rPr>
          <w:lang w:val="en-US"/>
        </w:rPr>
        <w:t xml:space="preserve">, </w:t>
      </w:r>
      <w:r w:rsidRPr="00301E21">
        <w:rPr>
          <w:lang w:val="en-US"/>
        </w:rPr>
        <w:t xml:space="preserve">c/o </w:t>
      </w:r>
      <w:proofErr w:type="spellStart"/>
      <w:r w:rsidRPr="00301E21">
        <w:rPr>
          <w:lang w:val="en-US"/>
        </w:rPr>
        <w:t>Azienda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Ospedaliero-Universitaria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Pisana</w:t>
      </w:r>
      <w:proofErr w:type="spellEnd"/>
      <w:r w:rsidR="00A10B38" w:rsidRPr="00301E21">
        <w:rPr>
          <w:lang w:val="en-US"/>
        </w:rPr>
        <w:t xml:space="preserve">, </w:t>
      </w:r>
      <w:r w:rsidRPr="00301E21">
        <w:rPr>
          <w:lang w:val="en-US"/>
        </w:rPr>
        <w:t>Via Roma, 67 - 56126 Pisa</w:t>
      </w:r>
    </w:p>
    <w:p w14:paraId="0BE69913" w14:textId="77777777" w:rsidR="00A10B38" w:rsidRPr="00301E21" w:rsidRDefault="00264324" w:rsidP="0052363F">
      <w:pPr>
        <w:spacing w:after="0" w:line="360" w:lineRule="auto"/>
        <w:rPr>
          <w:lang w:val="en-US"/>
        </w:rPr>
      </w:pPr>
      <w:r w:rsidRPr="00301E21">
        <w:rPr>
          <w:lang w:val="en-US"/>
        </w:rPr>
        <w:t>Poland</w:t>
      </w:r>
    </w:p>
    <w:p w14:paraId="1C5BFDF4" w14:textId="40C860BE" w:rsidR="00264324" w:rsidRPr="00301E21" w:rsidRDefault="00264324" w:rsidP="0052363F">
      <w:pPr>
        <w:pStyle w:val="ListParagraph"/>
        <w:numPr>
          <w:ilvl w:val="0"/>
          <w:numId w:val="23"/>
        </w:numPr>
        <w:spacing w:line="360" w:lineRule="auto"/>
        <w:rPr>
          <w:lang w:val="en-US"/>
        </w:rPr>
      </w:pPr>
      <w:r w:rsidRPr="00301E21">
        <w:rPr>
          <w:lang w:val="en-US"/>
        </w:rPr>
        <w:t xml:space="preserve">All </w:t>
      </w:r>
      <w:r w:rsidR="00A10B38" w:rsidRPr="00301E21">
        <w:rPr>
          <w:lang w:val="en-US"/>
        </w:rPr>
        <w:t>s</w:t>
      </w:r>
      <w:r w:rsidRPr="00301E21">
        <w:rPr>
          <w:lang w:val="en-US"/>
        </w:rPr>
        <w:t>ites</w:t>
      </w:r>
      <w:r w:rsidR="00A10B38" w:rsidRPr="00301E21">
        <w:rPr>
          <w:lang w:val="en-US"/>
        </w:rPr>
        <w:t xml:space="preserve">: </w:t>
      </w:r>
      <w:proofErr w:type="spellStart"/>
      <w:r w:rsidRPr="00301E21">
        <w:rPr>
          <w:lang w:val="en-US"/>
        </w:rPr>
        <w:t>Komisja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Bioetyczna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Przy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Uniwersytecie</w:t>
      </w:r>
      <w:proofErr w:type="spellEnd"/>
      <w:r w:rsidRPr="00301E21">
        <w:rPr>
          <w:lang w:val="en-US"/>
        </w:rPr>
        <w:t xml:space="preserve"> </w:t>
      </w:r>
      <w:proofErr w:type="spellStart"/>
      <w:r w:rsidRPr="00301E21">
        <w:rPr>
          <w:lang w:val="en-US"/>
        </w:rPr>
        <w:t>Medycznym</w:t>
      </w:r>
      <w:proofErr w:type="spellEnd"/>
      <w:r w:rsidRPr="00301E21">
        <w:rPr>
          <w:lang w:val="en-US"/>
        </w:rPr>
        <w:t xml:space="preserve"> w </w:t>
      </w:r>
      <w:proofErr w:type="spellStart"/>
      <w:r w:rsidRPr="00301E21">
        <w:rPr>
          <w:lang w:val="en-US"/>
        </w:rPr>
        <w:t>Łodzi</w:t>
      </w:r>
      <w:proofErr w:type="spellEnd"/>
      <w:r w:rsidR="00A10B38" w:rsidRPr="00301E21">
        <w:rPr>
          <w:lang w:val="en-US"/>
        </w:rPr>
        <w:t xml:space="preserve">, </w:t>
      </w:r>
      <w:r w:rsidRPr="00301E21">
        <w:rPr>
          <w:lang w:val="en-US"/>
        </w:rPr>
        <w:t xml:space="preserve">PI. </w:t>
      </w:r>
      <w:proofErr w:type="spellStart"/>
      <w:r w:rsidRPr="00301E21">
        <w:rPr>
          <w:lang w:val="en-US"/>
        </w:rPr>
        <w:t>Hallera</w:t>
      </w:r>
      <w:proofErr w:type="spellEnd"/>
      <w:r w:rsidRPr="00301E21">
        <w:rPr>
          <w:lang w:val="en-US"/>
        </w:rPr>
        <w:t xml:space="preserve"> 1B, 90-647 </w:t>
      </w:r>
      <w:proofErr w:type="spellStart"/>
      <w:r w:rsidRPr="00301E21">
        <w:rPr>
          <w:lang w:val="en-US"/>
        </w:rPr>
        <w:t>Łódz</w:t>
      </w:r>
      <w:proofErr w:type="spellEnd"/>
    </w:p>
    <w:sectPr w:rsidR="00264324" w:rsidRPr="00301E21" w:rsidSect="00301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21836" w14:textId="77777777" w:rsidR="00A76CAA" w:rsidRDefault="00A76CAA" w:rsidP="00DA45F1">
      <w:pPr>
        <w:spacing w:after="0" w:line="240" w:lineRule="auto"/>
      </w:pPr>
      <w:r>
        <w:separator/>
      </w:r>
    </w:p>
  </w:endnote>
  <w:endnote w:type="continuationSeparator" w:id="0">
    <w:p w14:paraId="22A6A86B" w14:textId="77777777" w:rsidR="00A76CAA" w:rsidRDefault="00A76CAA" w:rsidP="00DA45F1">
      <w:pPr>
        <w:spacing w:after="0" w:line="240" w:lineRule="auto"/>
      </w:pPr>
      <w:r>
        <w:continuationSeparator/>
      </w:r>
    </w:p>
  </w:endnote>
  <w:endnote w:type="continuationNotice" w:id="1">
    <w:p w14:paraId="4FCD1692" w14:textId="77777777" w:rsidR="00A76CAA" w:rsidRDefault="00A76C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9BF2A" w14:textId="77777777" w:rsidR="004C22AD" w:rsidRDefault="004C2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36738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7B08B4" w14:textId="77777777" w:rsidR="00FA41BC" w:rsidRDefault="00FA41BC">
            <w:pPr>
              <w:pStyle w:val="Footer"/>
              <w:jc w:val="center"/>
            </w:pPr>
            <w:r w:rsidRPr="00DA45F1">
              <w:rPr>
                <w:sz w:val="16"/>
                <w:szCs w:val="16"/>
              </w:rPr>
              <w:t xml:space="preserve">Page </w:t>
            </w:r>
            <w:r w:rsidRPr="00DA45F1">
              <w:rPr>
                <w:b/>
                <w:bCs/>
                <w:sz w:val="16"/>
                <w:szCs w:val="16"/>
              </w:rPr>
              <w:fldChar w:fldCharType="begin"/>
            </w:r>
            <w:r w:rsidRPr="00DA45F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A45F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8</w:t>
            </w:r>
            <w:r w:rsidRPr="00DA45F1">
              <w:rPr>
                <w:b/>
                <w:bCs/>
                <w:sz w:val="16"/>
                <w:szCs w:val="16"/>
              </w:rPr>
              <w:fldChar w:fldCharType="end"/>
            </w:r>
            <w:r w:rsidRPr="00DA45F1">
              <w:rPr>
                <w:sz w:val="16"/>
                <w:szCs w:val="16"/>
              </w:rPr>
              <w:t xml:space="preserve"> of </w:t>
            </w:r>
            <w:r w:rsidRPr="00DA45F1">
              <w:rPr>
                <w:b/>
                <w:bCs/>
                <w:sz w:val="16"/>
                <w:szCs w:val="16"/>
              </w:rPr>
              <w:fldChar w:fldCharType="begin"/>
            </w:r>
            <w:r w:rsidRPr="00DA45F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A45F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8</w:t>
            </w:r>
            <w:r w:rsidRPr="00DA45F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09A413" w14:textId="77777777" w:rsidR="00FA41BC" w:rsidRDefault="00FA41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92CF0" w14:textId="77777777" w:rsidR="004C22AD" w:rsidRDefault="004C2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63FA1" w14:textId="77777777" w:rsidR="00A76CAA" w:rsidRDefault="00A76CAA" w:rsidP="00DA45F1">
      <w:pPr>
        <w:spacing w:after="0" w:line="240" w:lineRule="auto"/>
      </w:pPr>
      <w:r>
        <w:separator/>
      </w:r>
    </w:p>
  </w:footnote>
  <w:footnote w:type="continuationSeparator" w:id="0">
    <w:p w14:paraId="5B14D880" w14:textId="77777777" w:rsidR="00A76CAA" w:rsidRDefault="00A76CAA" w:rsidP="00DA45F1">
      <w:pPr>
        <w:spacing w:after="0" w:line="240" w:lineRule="auto"/>
      </w:pPr>
      <w:r>
        <w:continuationSeparator/>
      </w:r>
    </w:p>
  </w:footnote>
  <w:footnote w:type="continuationNotice" w:id="1">
    <w:p w14:paraId="4976F099" w14:textId="77777777" w:rsidR="00A76CAA" w:rsidRDefault="00A76C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88A71" w14:textId="77777777" w:rsidR="004C22AD" w:rsidRDefault="004C2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8FC35" w14:textId="3A147D81" w:rsidR="00FA41BC" w:rsidRDefault="00FA41BC">
    <w:pPr>
      <w:pStyle w:val="Header"/>
    </w:pPr>
    <w:r>
      <w:ptab w:relativeTo="margin" w:alignment="center" w:leader="none"/>
    </w:r>
    <w:r>
      <w:t xml:space="preserve">TRI-D manuscript </w:t>
    </w:r>
    <w:r w:rsidR="00CF7210">
      <w:t>supplement</w:t>
    </w:r>
    <w:r>
      <w:ptab w:relativeTo="margin" w:alignment="right" w:leader="none"/>
    </w:r>
    <w:r w:rsidR="00EF3768">
      <w:t>1 Dec</w:t>
    </w:r>
    <w:r w:rsidR="004C22AD">
      <w:t>ember</w:t>
    </w:r>
    <w:r>
      <w:t xml:space="preserve">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24CAB" w14:textId="77777777" w:rsidR="004C22AD" w:rsidRDefault="004C2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1A88"/>
    <w:multiLevelType w:val="hybridMultilevel"/>
    <w:tmpl w:val="F9CCA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4C06"/>
    <w:multiLevelType w:val="hybridMultilevel"/>
    <w:tmpl w:val="85601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21D9"/>
    <w:multiLevelType w:val="hybridMultilevel"/>
    <w:tmpl w:val="80187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AF5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113A"/>
    <w:multiLevelType w:val="hybridMultilevel"/>
    <w:tmpl w:val="43E05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4605"/>
    <w:multiLevelType w:val="hybridMultilevel"/>
    <w:tmpl w:val="FFDA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133"/>
    <w:multiLevelType w:val="hybridMultilevel"/>
    <w:tmpl w:val="D268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56EEF"/>
    <w:multiLevelType w:val="hybridMultilevel"/>
    <w:tmpl w:val="3C1C4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9445A"/>
    <w:multiLevelType w:val="hybridMultilevel"/>
    <w:tmpl w:val="08F61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929DB"/>
    <w:multiLevelType w:val="multilevel"/>
    <w:tmpl w:val="D42E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2333C"/>
    <w:multiLevelType w:val="hybridMultilevel"/>
    <w:tmpl w:val="90D6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4390F"/>
    <w:multiLevelType w:val="hybridMultilevel"/>
    <w:tmpl w:val="856E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C377B"/>
    <w:multiLevelType w:val="hybridMultilevel"/>
    <w:tmpl w:val="6756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F7325"/>
    <w:multiLevelType w:val="hybridMultilevel"/>
    <w:tmpl w:val="80187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AF5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12F8A"/>
    <w:multiLevelType w:val="hybridMultilevel"/>
    <w:tmpl w:val="D650460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A87639C"/>
    <w:multiLevelType w:val="hybridMultilevel"/>
    <w:tmpl w:val="483A266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4AD04EAB"/>
    <w:multiLevelType w:val="hybridMultilevel"/>
    <w:tmpl w:val="661E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B59"/>
    <w:multiLevelType w:val="hybridMultilevel"/>
    <w:tmpl w:val="70862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10C34"/>
    <w:multiLevelType w:val="hybridMultilevel"/>
    <w:tmpl w:val="8A52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AF5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E3AB7"/>
    <w:multiLevelType w:val="multilevel"/>
    <w:tmpl w:val="5EB8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50763"/>
    <w:multiLevelType w:val="hybridMultilevel"/>
    <w:tmpl w:val="4A86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01B12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16B90"/>
    <w:multiLevelType w:val="hybridMultilevel"/>
    <w:tmpl w:val="85CE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B0569"/>
    <w:multiLevelType w:val="hybridMultilevel"/>
    <w:tmpl w:val="3E4E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7350A"/>
    <w:multiLevelType w:val="hybridMultilevel"/>
    <w:tmpl w:val="53345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4"/>
  </w:num>
  <w:num w:numId="5">
    <w:abstractNumId w:val="16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12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8"/>
  </w:num>
  <w:num w:numId="17">
    <w:abstractNumId w:val="18"/>
  </w:num>
  <w:num w:numId="18">
    <w:abstractNumId w:val="22"/>
  </w:num>
  <w:num w:numId="19">
    <w:abstractNumId w:val="14"/>
  </w:num>
  <w:num w:numId="20">
    <w:abstractNumId w:val="20"/>
  </w:num>
  <w:num w:numId="21">
    <w:abstractNumId w:val="1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AD"/>
    <w:rsid w:val="0000077E"/>
    <w:rsid w:val="000019FE"/>
    <w:rsid w:val="000047A6"/>
    <w:rsid w:val="00005035"/>
    <w:rsid w:val="00005663"/>
    <w:rsid w:val="00006373"/>
    <w:rsid w:val="00006A7F"/>
    <w:rsid w:val="00007D69"/>
    <w:rsid w:val="0001391D"/>
    <w:rsid w:val="00015941"/>
    <w:rsid w:val="000164D9"/>
    <w:rsid w:val="00022191"/>
    <w:rsid w:val="000232FF"/>
    <w:rsid w:val="00024C8C"/>
    <w:rsid w:val="00026A3E"/>
    <w:rsid w:val="00026F4C"/>
    <w:rsid w:val="000272A2"/>
    <w:rsid w:val="00027908"/>
    <w:rsid w:val="00030802"/>
    <w:rsid w:val="00032347"/>
    <w:rsid w:val="00033596"/>
    <w:rsid w:val="0004505D"/>
    <w:rsid w:val="000503CB"/>
    <w:rsid w:val="00054A47"/>
    <w:rsid w:val="00056D8D"/>
    <w:rsid w:val="00057958"/>
    <w:rsid w:val="000626AE"/>
    <w:rsid w:val="000644F7"/>
    <w:rsid w:val="0006644F"/>
    <w:rsid w:val="0007286D"/>
    <w:rsid w:val="000738C8"/>
    <w:rsid w:val="00073D1E"/>
    <w:rsid w:val="00075BA7"/>
    <w:rsid w:val="000816B1"/>
    <w:rsid w:val="00083542"/>
    <w:rsid w:val="00085737"/>
    <w:rsid w:val="00085A2C"/>
    <w:rsid w:val="000861E3"/>
    <w:rsid w:val="00087D8B"/>
    <w:rsid w:val="00087FE3"/>
    <w:rsid w:val="000908EA"/>
    <w:rsid w:val="00090F47"/>
    <w:rsid w:val="00091ABD"/>
    <w:rsid w:val="00091D8E"/>
    <w:rsid w:val="000920BA"/>
    <w:rsid w:val="0009581B"/>
    <w:rsid w:val="000A387A"/>
    <w:rsid w:val="000A52BD"/>
    <w:rsid w:val="000A6FA8"/>
    <w:rsid w:val="000A75A8"/>
    <w:rsid w:val="000B0A01"/>
    <w:rsid w:val="000B3765"/>
    <w:rsid w:val="000B396B"/>
    <w:rsid w:val="000B434D"/>
    <w:rsid w:val="000B4A16"/>
    <w:rsid w:val="000B6256"/>
    <w:rsid w:val="000C497E"/>
    <w:rsid w:val="000C567F"/>
    <w:rsid w:val="000D12A7"/>
    <w:rsid w:val="000D1C32"/>
    <w:rsid w:val="000D3940"/>
    <w:rsid w:val="000D4FFD"/>
    <w:rsid w:val="000D66A1"/>
    <w:rsid w:val="000D6F77"/>
    <w:rsid w:val="000D78BB"/>
    <w:rsid w:val="000D7EFB"/>
    <w:rsid w:val="000E4D24"/>
    <w:rsid w:val="000E5AB6"/>
    <w:rsid w:val="000E6FC0"/>
    <w:rsid w:val="000F08F3"/>
    <w:rsid w:val="000F5509"/>
    <w:rsid w:val="000F7878"/>
    <w:rsid w:val="0010172C"/>
    <w:rsid w:val="0010667F"/>
    <w:rsid w:val="00106940"/>
    <w:rsid w:val="00107FBE"/>
    <w:rsid w:val="00110602"/>
    <w:rsid w:val="00110612"/>
    <w:rsid w:val="00114FC7"/>
    <w:rsid w:val="00115148"/>
    <w:rsid w:val="00115FF0"/>
    <w:rsid w:val="00116154"/>
    <w:rsid w:val="00117253"/>
    <w:rsid w:val="0012021D"/>
    <w:rsid w:val="00122E4E"/>
    <w:rsid w:val="00123BB1"/>
    <w:rsid w:val="001264FC"/>
    <w:rsid w:val="00130DD5"/>
    <w:rsid w:val="00134F3B"/>
    <w:rsid w:val="0013565D"/>
    <w:rsid w:val="001358E7"/>
    <w:rsid w:val="001365E5"/>
    <w:rsid w:val="0014096B"/>
    <w:rsid w:val="00140F6F"/>
    <w:rsid w:val="0014677C"/>
    <w:rsid w:val="00146CF5"/>
    <w:rsid w:val="00155C32"/>
    <w:rsid w:val="00156808"/>
    <w:rsid w:val="001578D4"/>
    <w:rsid w:val="001606FE"/>
    <w:rsid w:val="00162F68"/>
    <w:rsid w:val="0016340A"/>
    <w:rsid w:val="00166D6E"/>
    <w:rsid w:val="00175005"/>
    <w:rsid w:val="0017538D"/>
    <w:rsid w:val="00175698"/>
    <w:rsid w:val="00177100"/>
    <w:rsid w:val="001817E1"/>
    <w:rsid w:val="00182D25"/>
    <w:rsid w:val="00182EC8"/>
    <w:rsid w:val="00183146"/>
    <w:rsid w:val="001847D4"/>
    <w:rsid w:val="00184CC9"/>
    <w:rsid w:val="00190A72"/>
    <w:rsid w:val="00191FA7"/>
    <w:rsid w:val="0019396C"/>
    <w:rsid w:val="001968ED"/>
    <w:rsid w:val="001A0A44"/>
    <w:rsid w:val="001A2813"/>
    <w:rsid w:val="001A298C"/>
    <w:rsid w:val="001A3952"/>
    <w:rsid w:val="001A62D1"/>
    <w:rsid w:val="001B29AC"/>
    <w:rsid w:val="001B2A28"/>
    <w:rsid w:val="001B2C43"/>
    <w:rsid w:val="001C0C21"/>
    <w:rsid w:val="001C3255"/>
    <w:rsid w:val="001C7347"/>
    <w:rsid w:val="001D25A4"/>
    <w:rsid w:val="001D3B0A"/>
    <w:rsid w:val="001D50B6"/>
    <w:rsid w:val="001D5935"/>
    <w:rsid w:val="001D6F6E"/>
    <w:rsid w:val="001E03E2"/>
    <w:rsid w:val="001E04BA"/>
    <w:rsid w:val="001E1F2F"/>
    <w:rsid w:val="001F00CE"/>
    <w:rsid w:val="001F05C2"/>
    <w:rsid w:val="001F0D0E"/>
    <w:rsid w:val="001F4C14"/>
    <w:rsid w:val="002032A1"/>
    <w:rsid w:val="00204B5A"/>
    <w:rsid w:val="002052C2"/>
    <w:rsid w:val="002052E4"/>
    <w:rsid w:val="002075E4"/>
    <w:rsid w:val="00210528"/>
    <w:rsid w:val="00217003"/>
    <w:rsid w:val="00224064"/>
    <w:rsid w:val="00224657"/>
    <w:rsid w:val="00225474"/>
    <w:rsid w:val="00226F90"/>
    <w:rsid w:val="00233B47"/>
    <w:rsid w:val="00233B52"/>
    <w:rsid w:val="002365D2"/>
    <w:rsid w:val="00237886"/>
    <w:rsid w:val="0024184E"/>
    <w:rsid w:val="0024331A"/>
    <w:rsid w:val="0024749A"/>
    <w:rsid w:val="00247B08"/>
    <w:rsid w:val="00247E0F"/>
    <w:rsid w:val="0025006D"/>
    <w:rsid w:val="00251F8F"/>
    <w:rsid w:val="0025557E"/>
    <w:rsid w:val="002557FE"/>
    <w:rsid w:val="00263C7F"/>
    <w:rsid w:val="00264324"/>
    <w:rsid w:val="00265414"/>
    <w:rsid w:val="0026709D"/>
    <w:rsid w:val="0027034A"/>
    <w:rsid w:val="00276090"/>
    <w:rsid w:val="002840F6"/>
    <w:rsid w:val="00293DE7"/>
    <w:rsid w:val="0029413D"/>
    <w:rsid w:val="002953FC"/>
    <w:rsid w:val="002958E4"/>
    <w:rsid w:val="00295C23"/>
    <w:rsid w:val="002A189A"/>
    <w:rsid w:val="002A6249"/>
    <w:rsid w:val="002A6B47"/>
    <w:rsid w:val="002A7296"/>
    <w:rsid w:val="002B12A6"/>
    <w:rsid w:val="002B137C"/>
    <w:rsid w:val="002B1ECD"/>
    <w:rsid w:val="002B2464"/>
    <w:rsid w:val="002C797E"/>
    <w:rsid w:val="002D4799"/>
    <w:rsid w:val="002D56C7"/>
    <w:rsid w:val="002E2B30"/>
    <w:rsid w:val="002E582B"/>
    <w:rsid w:val="00301A46"/>
    <w:rsid w:val="00301E21"/>
    <w:rsid w:val="003024A1"/>
    <w:rsid w:val="00304C02"/>
    <w:rsid w:val="00307E83"/>
    <w:rsid w:val="0031038A"/>
    <w:rsid w:val="00311B17"/>
    <w:rsid w:val="00320A0C"/>
    <w:rsid w:val="0032255B"/>
    <w:rsid w:val="0032339F"/>
    <w:rsid w:val="003234B2"/>
    <w:rsid w:val="0032351C"/>
    <w:rsid w:val="003236F3"/>
    <w:rsid w:val="003314C7"/>
    <w:rsid w:val="00332D13"/>
    <w:rsid w:val="00333D1B"/>
    <w:rsid w:val="00336EF9"/>
    <w:rsid w:val="003405A4"/>
    <w:rsid w:val="00341B6D"/>
    <w:rsid w:val="003451FA"/>
    <w:rsid w:val="00345739"/>
    <w:rsid w:val="00345C30"/>
    <w:rsid w:val="003463DD"/>
    <w:rsid w:val="0034690A"/>
    <w:rsid w:val="00347EE8"/>
    <w:rsid w:val="00351A04"/>
    <w:rsid w:val="00354203"/>
    <w:rsid w:val="0035437F"/>
    <w:rsid w:val="00360836"/>
    <w:rsid w:val="00360C10"/>
    <w:rsid w:val="00361EFD"/>
    <w:rsid w:val="0036530F"/>
    <w:rsid w:val="003653EB"/>
    <w:rsid w:val="00366CFE"/>
    <w:rsid w:val="00370CC3"/>
    <w:rsid w:val="0037173B"/>
    <w:rsid w:val="00372202"/>
    <w:rsid w:val="00372295"/>
    <w:rsid w:val="0037633A"/>
    <w:rsid w:val="003806D5"/>
    <w:rsid w:val="00380A2E"/>
    <w:rsid w:val="00384AA8"/>
    <w:rsid w:val="0039065E"/>
    <w:rsid w:val="003910EF"/>
    <w:rsid w:val="00393A6B"/>
    <w:rsid w:val="003A16B9"/>
    <w:rsid w:val="003A1F4D"/>
    <w:rsid w:val="003A2B80"/>
    <w:rsid w:val="003A76C7"/>
    <w:rsid w:val="003B0107"/>
    <w:rsid w:val="003B160D"/>
    <w:rsid w:val="003B23F0"/>
    <w:rsid w:val="003B470D"/>
    <w:rsid w:val="003B4DC2"/>
    <w:rsid w:val="003B5E3E"/>
    <w:rsid w:val="003B6C37"/>
    <w:rsid w:val="003C5507"/>
    <w:rsid w:val="003C5646"/>
    <w:rsid w:val="003D3127"/>
    <w:rsid w:val="003D4EFD"/>
    <w:rsid w:val="003D5DF6"/>
    <w:rsid w:val="003D7317"/>
    <w:rsid w:val="003E275C"/>
    <w:rsid w:val="003E4538"/>
    <w:rsid w:val="003E661F"/>
    <w:rsid w:val="003F0D65"/>
    <w:rsid w:val="003F5828"/>
    <w:rsid w:val="003F5F91"/>
    <w:rsid w:val="003F65AF"/>
    <w:rsid w:val="003F7868"/>
    <w:rsid w:val="00401338"/>
    <w:rsid w:val="00401449"/>
    <w:rsid w:val="004021FE"/>
    <w:rsid w:val="00402CD7"/>
    <w:rsid w:val="004100BB"/>
    <w:rsid w:val="00411F46"/>
    <w:rsid w:val="00412F4C"/>
    <w:rsid w:val="00414E1E"/>
    <w:rsid w:val="00417FC7"/>
    <w:rsid w:val="00420D55"/>
    <w:rsid w:val="00422A88"/>
    <w:rsid w:val="00422C02"/>
    <w:rsid w:val="0042456B"/>
    <w:rsid w:val="004248DA"/>
    <w:rsid w:val="00424BFF"/>
    <w:rsid w:val="00424FCB"/>
    <w:rsid w:val="00426073"/>
    <w:rsid w:val="004260DB"/>
    <w:rsid w:val="00430BC0"/>
    <w:rsid w:val="004311A4"/>
    <w:rsid w:val="004336A3"/>
    <w:rsid w:val="004421CE"/>
    <w:rsid w:val="00446310"/>
    <w:rsid w:val="00447A1C"/>
    <w:rsid w:val="004578F9"/>
    <w:rsid w:val="00463F4B"/>
    <w:rsid w:val="00465244"/>
    <w:rsid w:val="00465324"/>
    <w:rsid w:val="00465734"/>
    <w:rsid w:val="004722DE"/>
    <w:rsid w:val="004754CC"/>
    <w:rsid w:val="00482731"/>
    <w:rsid w:val="00484E8A"/>
    <w:rsid w:val="00486AC8"/>
    <w:rsid w:val="00490C84"/>
    <w:rsid w:val="00491082"/>
    <w:rsid w:val="00494355"/>
    <w:rsid w:val="004949DF"/>
    <w:rsid w:val="004A14AB"/>
    <w:rsid w:val="004A2EE5"/>
    <w:rsid w:val="004A56D4"/>
    <w:rsid w:val="004A5735"/>
    <w:rsid w:val="004A6D50"/>
    <w:rsid w:val="004B42DF"/>
    <w:rsid w:val="004B52B6"/>
    <w:rsid w:val="004B60F0"/>
    <w:rsid w:val="004C22AD"/>
    <w:rsid w:val="004C75C0"/>
    <w:rsid w:val="004E1BF6"/>
    <w:rsid w:val="004E51E4"/>
    <w:rsid w:val="004E61FC"/>
    <w:rsid w:val="004F567D"/>
    <w:rsid w:val="004F6629"/>
    <w:rsid w:val="00503650"/>
    <w:rsid w:val="005041DA"/>
    <w:rsid w:val="00505A9E"/>
    <w:rsid w:val="00510789"/>
    <w:rsid w:val="005123CD"/>
    <w:rsid w:val="00512D6F"/>
    <w:rsid w:val="00513A62"/>
    <w:rsid w:val="00516110"/>
    <w:rsid w:val="00520E25"/>
    <w:rsid w:val="00522C03"/>
    <w:rsid w:val="0052363F"/>
    <w:rsid w:val="005265BC"/>
    <w:rsid w:val="00530534"/>
    <w:rsid w:val="005306E2"/>
    <w:rsid w:val="0053104C"/>
    <w:rsid w:val="00532229"/>
    <w:rsid w:val="0053634E"/>
    <w:rsid w:val="00537C0A"/>
    <w:rsid w:val="00540948"/>
    <w:rsid w:val="00545FCC"/>
    <w:rsid w:val="00546283"/>
    <w:rsid w:val="00547DBC"/>
    <w:rsid w:val="005532FB"/>
    <w:rsid w:val="00553453"/>
    <w:rsid w:val="005551E1"/>
    <w:rsid w:val="00555B37"/>
    <w:rsid w:val="00557373"/>
    <w:rsid w:val="00562A4C"/>
    <w:rsid w:val="00563A6B"/>
    <w:rsid w:val="00563C36"/>
    <w:rsid w:val="00563E53"/>
    <w:rsid w:val="00564639"/>
    <w:rsid w:val="00564F03"/>
    <w:rsid w:val="0057114F"/>
    <w:rsid w:val="00577DCF"/>
    <w:rsid w:val="005808DF"/>
    <w:rsid w:val="005809BB"/>
    <w:rsid w:val="00583707"/>
    <w:rsid w:val="00583DE2"/>
    <w:rsid w:val="00584308"/>
    <w:rsid w:val="00584638"/>
    <w:rsid w:val="00585BB2"/>
    <w:rsid w:val="00586975"/>
    <w:rsid w:val="00590FB8"/>
    <w:rsid w:val="00591BF8"/>
    <w:rsid w:val="005940C5"/>
    <w:rsid w:val="00594D1B"/>
    <w:rsid w:val="005A20B4"/>
    <w:rsid w:val="005B4483"/>
    <w:rsid w:val="005B5D8B"/>
    <w:rsid w:val="005B5FDB"/>
    <w:rsid w:val="005B6570"/>
    <w:rsid w:val="005C0242"/>
    <w:rsid w:val="005C1447"/>
    <w:rsid w:val="005C52F0"/>
    <w:rsid w:val="005C6701"/>
    <w:rsid w:val="005D1C88"/>
    <w:rsid w:val="005D4A7B"/>
    <w:rsid w:val="005D583A"/>
    <w:rsid w:val="005D69A7"/>
    <w:rsid w:val="005D6A4E"/>
    <w:rsid w:val="005D7BCF"/>
    <w:rsid w:val="005E598E"/>
    <w:rsid w:val="005E7AAC"/>
    <w:rsid w:val="005F08E9"/>
    <w:rsid w:val="005F0A9D"/>
    <w:rsid w:val="005F138B"/>
    <w:rsid w:val="005F138F"/>
    <w:rsid w:val="005F13C9"/>
    <w:rsid w:val="005F1CC5"/>
    <w:rsid w:val="005F6D12"/>
    <w:rsid w:val="005F7416"/>
    <w:rsid w:val="005F76A0"/>
    <w:rsid w:val="006005A6"/>
    <w:rsid w:val="00602737"/>
    <w:rsid w:val="00611C75"/>
    <w:rsid w:val="006140B3"/>
    <w:rsid w:val="0061457B"/>
    <w:rsid w:val="006212E4"/>
    <w:rsid w:val="00624E8A"/>
    <w:rsid w:val="00630222"/>
    <w:rsid w:val="00631120"/>
    <w:rsid w:val="0064522F"/>
    <w:rsid w:val="00645ACC"/>
    <w:rsid w:val="00646F9C"/>
    <w:rsid w:val="006475E5"/>
    <w:rsid w:val="006476BE"/>
    <w:rsid w:val="0064799C"/>
    <w:rsid w:val="00650E20"/>
    <w:rsid w:val="00652D55"/>
    <w:rsid w:val="0065332A"/>
    <w:rsid w:val="006534B9"/>
    <w:rsid w:val="00654713"/>
    <w:rsid w:val="00654ECF"/>
    <w:rsid w:val="0065605A"/>
    <w:rsid w:val="00656702"/>
    <w:rsid w:val="00656B62"/>
    <w:rsid w:val="00660111"/>
    <w:rsid w:val="00661249"/>
    <w:rsid w:val="00666CBB"/>
    <w:rsid w:val="006675EC"/>
    <w:rsid w:val="00672243"/>
    <w:rsid w:val="006773C3"/>
    <w:rsid w:val="006802C3"/>
    <w:rsid w:val="0068123A"/>
    <w:rsid w:val="00682037"/>
    <w:rsid w:val="00687003"/>
    <w:rsid w:val="00687EC4"/>
    <w:rsid w:val="006906DC"/>
    <w:rsid w:val="00690A41"/>
    <w:rsid w:val="006919C0"/>
    <w:rsid w:val="00692184"/>
    <w:rsid w:val="0069295F"/>
    <w:rsid w:val="0069375A"/>
    <w:rsid w:val="00693788"/>
    <w:rsid w:val="00693A84"/>
    <w:rsid w:val="006A032D"/>
    <w:rsid w:val="006A349C"/>
    <w:rsid w:val="006A4B5B"/>
    <w:rsid w:val="006A53C7"/>
    <w:rsid w:val="006B051D"/>
    <w:rsid w:val="006B0DB7"/>
    <w:rsid w:val="006B571C"/>
    <w:rsid w:val="006B6CEF"/>
    <w:rsid w:val="006C0684"/>
    <w:rsid w:val="006C2BB8"/>
    <w:rsid w:val="006C380C"/>
    <w:rsid w:val="006D412D"/>
    <w:rsid w:val="006D5349"/>
    <w:rsid w:val="006D62EA"/>
    <w:rsid w:val="006D66F8"/>
    <w:rsid w:val="006D6AE8"/>
    <w:rsid w:val="006D7552"/>
    <w:rsid w:val="006E100F"/>
    <w:rsid w:val="006E1A62"/>
    <w:rsid w:val="006F00BD"/>
    <w:rsid w:val="006F0831"/>
    <w:rsid w:val="006F130E"/>
    <w:rsid w:val="006F55EF"/>
    <w:rsid w:val="006F5E27"/>
    <w:rsid w:val="007000BF"/>
    <w:rsid w:val="0070234B"/>
    <w:rsid w:val="00706C08"/>
    <w:rsid w:val="007131F4"/>
    <w:rsid w:val="007137F7"/>
    <w:rsid w:val="00714A41"/>
    <w:rsid w:val="007171EF"/>
    <w:rsid w:val="00722838"/>
    <w:rsid w:val="007246FB"/>
    <w:rsid w:val="007279A3"/>
    <w:rsid w:val="00727CD2"/>
    <w:rsid w:val="00730841"/>
    <w:rsid w:val="00736C25"/>
    <w:rsid w:val="0073734C"/>
    <w:rsid w:val="0073742B"/>
    <w:rsid w:val="00737D3F"/>
    <w:rsid w:val="00745832"/>
    <w:rsid w:val="007479C2"/>
    <w:rsid w:val="00750F26"/>
    <w:rsid w:val="0076268F"/>
    <w:rsid w:val="007674A5"/>
    <w:rsid w:val="00774750"/>
    <w:rsid w:val="00777C98"/>
    <w:rsid w:val="00780016"/>
    <w:rsid w:val="0078051B"/>
    <w:rsid w:val="00780566"/>
    <w:rsid w:val="00783C80"/>
    <w:rsid w:val="00786351"/>
    <w:rsid w:val="0078675B"/>
    <w:rsid w:val="00791475"/>
    <w:rsid w:val="00795502"/>
    <w:rsid w:val="00795AD2"/>
    <w:rsid w:val="00795AF0"/>
    <w:rsid w:val="00796278"/>
    <w:rsid w:val="007975AC"/>
    <w:rsid w:val="007A17CE"/>
    <w:rsid w:val="007A2462"/>
    <w:rsid w:val="007A2891"/>
    <w:rsid w:val="007A2EFE"/>
    <w:rsid w:val="007A3685"/>
    <w:rsid w:val="007A3D22"/>
    <w:rsid w:val="007A59EF"/>
    <w:rsid w:val="007A6148"/>
    <w:rsid w:val="007A631E"/>
    <w:rsid w:val="007A7E78"/>
    <w:rsid w:val="007B0782"/>
    <w:rsid w:val="007B1253"/>
    <w:rsid w:val="007B23E2"/>
    <w:rsid w:val="007B31D7"/>
    <w:rsid w:val="007B5707"/>
    <w:rsid w:val="007B764E"/>
    <w:rsid w:val="007C1C05"/>
    <w:rsid w:val="007C3EA3"/>
    <w:rsid w:val="007C4A74"/>
    <w:rsid w:val="007C584B"/>
    <w:rsid w:val="007C62D0"/>
    <w:rsid w:val="007C79F1"/>
    <w:rsid w:val="007D3FDF"/>
    <w:rsid w:val="007D4444"/>
    <w:rsid w:val="007D617E"/>
    <w:rsid w:val="007E0E07"/>
    <w:rsid w:val="007E2245"/>
    <w:rsid w:val="007E3A92"/>
    <w:rsid w:val="007E41A6"/>
    <w:rsid w:val="007E5B57"/>
    <w:rsid w:val="007F2280"/>
    <w:rsid w:val="007F3BBD"/>
    <w:rsid w:val="007F424F"/>
    <w:rsid w:val="007F492D"/>
    <w:rsid w:val="007F5AE8"/>
    <w:rsid w:val="007F6C63"/>
    <w:rsid w:val="007F75FA"/>
    <w:rsid w:val="00800231"/>
    <w:rsid w:val="00801B9D"/>
    <w:rsid w:val="00801FD0"/>
    <w:rsid w:val="0080590E"/>
    <w:rsid w:val="0080775D"/>
    <w:rsid w:val="0081112B"/>
    <w:rsid w:val="008121C9"/>
    <w:rsid w:val="008140D5"/>
    <w:rsid w:val="0081493D"/>
    <w:rsid w:val="00815428"/>
    <w:rsid w:val="00822327"/>
    <w:rsid w:val="008241EA"/>
    <w:rsid w:val="008268E3"/>
    <w:rsid w:val="0083056D"/>
    <w:rsid w:val="008316F8"/>
    <w:rsid w:val="0083383D"/>
    <w:rsid w:val="008404F1"/>
    <w:rsid w:val="00843C87"/>
    <w:rsid w:val="00843FF7"/>
    <w:rsid w:val="008440C0"/>
    <w:rsid w:val="0085252C"/>
    <w:rsid w:val="00853224"/>
    <w:rsid w:val="008618CA"/>
    <w:rsid w:val="00862606"/>
    <w:rsid w:val="00862F28"/>
    <w:rsid w:val="00864679"/>
    <w:rsid w:val="00864A6D"/>
    <w:rsid w:val="008652B3"/>
    <w:rsid w:val="008679C3"/>
    <w:rsid w:val="008701A7"/>
    <w:rsid w:val="00876782"/>
    <w:rsid w:val="00877726"/>
    <w:rsid w:val="008802AD"/>
    <w:rsid w:val="008868C2"/>
    <w:rsid w:val="00890D12"/>
    <w:rsid w:val="00891B98"/>
    <w:rsid w:val="00895093"/>
    <w:rsid w:val="0089575A"/>
    <w:rsid w:val="00895B4C"/>
    <w:rsid w:val="008A0FB4"/>
    <w:rsid w:val="008A1A56"/>
    <w:rsid w:val="008A25D1"/>
    <w:rsid w:val="008A2936"/>
    <w:rsid w:val="008A4CF5"/>
    <w:rsid w:val="008B10D0"/>
    <w:rsid w:val="008C0322"/>
    <w:rsid w:val="008C1422"/>
    <w:rsid w:val="008C14CA"/>
    <w:rsid w:val="008C324E"/>
    <w:rsid w:val="008D2177"/>
    <w:rsid w:val="008D2F33"/>
    <w:rsid w:val="008E0BEF"/>
    <w:rsid w:val="008E1781"/>
    <w:rsid w:val="008E1C9E"/>
    <w:rsid w:val="008E20E9"/>
    <w:rsid w:val="008E6CC1"/>
    <w:rsid w:val="008F217C"/>
    <w:rsid w:val="008F3CDD"/>
    <w:rsid w:val="008F4D5F"/>
    <w:rsid w:val="008F70B9"/>
    <w:rsid w:val="0090083F"/>
    <w:rsid w:val="00900A8C"/>
    <w:rsid w:val="009016E7"/>
    <w:rsid w:val="00906328"/>
    <w:rsid w:val="00907884"/>
    <w:rsid w:val="0091445A"/>
    <w:rsid w:val="00916629"/>
    <w:rsid w:val="00920B0D"/>
    <w:rsid w:val="0092108D"/>
    <w:rsid w:val="00921270"/>
    <w:rsid w:val="00922658"/>
    <w:rsid w:val="00926A8D"/>
    <w:rsid w:val="00931046"/>
    <w:rsid w:val="009364DC"/>
    <w:rsid w:val="00942044"/>
    <w:rsid w:val="00943798"/>
    <w:rsid w:val="00943D4B"/>
    <w:rsid w:val="00944116"/>
    <w:rsid w:val="0094449E"/>
    <w:rsid w:val="00947C25"/>
    <w:rsid w:val="00947E35"/>
    <w:rsid w:val="00952024"/>
    <w:rsid w:val="00952A18"/>
    <w:rsid w:val="00952BF8"/>
    <w:rsid w:val="0095355A"/>
    <w:rsid w:val="0096355A"/>
    <w:rsid w:val="009652D6"/>
    <w:rsid w:val="00967094"/>
    <w:rsid w:val="0097253C"/>
    <w:rsid w:val="009731FF"/>
    <w:rsid w:val="00973506"/>
    <w:rsid w:val="00980AB1"/>
    <w:rsid w:val="00982944"/>
    <w:rsid w:val="00984783"/>
    <w:rsid w:val="00990021"/>
    <w:rsid w:val="00991C9A"/>
    <w:rsid w:val="00991DF8"/>
    <w:rsid w:val="00992116"/>
    <w:rsid w:val="00992D1B"/>
    <w:rsid w:val="00996014"/>
    <w:rsid w:val="009A4BE4"/>
    <w:rsid w:val="009A542B"/>
    <w:rsid w:val="009A721A"/>
    <w:rsid w:val="009B0EE2"/>
    <w:rsid w:val="009B26C5"/>
    <w:rsid w:val="009B2C49"/>
    <w:rsid w:val="009B71CA"/>
    <w:rsid w:val="009C16D1"/>
    <w:rsid w:val="009C1AEB"/>
    <w:rsid w:val="009C2D7B"/>
    <w:rsid w:val="009D023F"/>
    <w:rsid w:val="009D1386"/>
    <w:rsid w:val="009D1E0D"/>
    <w:rsid w:val="009D629D"/>
    <w:rsid w:val="009D6E19"/>
    <w:rsid w:val="009E6381"/>
    <w:rsid w:val="009E6F2A"/>
    <w:rsid w:val="009F2616"/>
    <w:rsid w:val="009F428B"/>
    <w:rsid w:val="009F76D9"/>
    <w:rsid w:val="00A05B80"/>
    <w:rsid w:val="00A07EDF"/>
    <w:rsid w:val="00A10B2E"/>
    <w:rsid w:val="00A10B38"/>
    <w:rsid w:val="00A11308"/>
    <w:rsid w:val="00A131DD"/>
    <w:rsid w:val="00A170A9"/>
    <w:rsid w:val="00A17F01"/>
    <w:rsid w:val="00A20A36"/>
    <w:rsid w:val="00A21E16"/>
    <w:rsid w:val="00A224EA"/>
    <w:rsid w:val="00A22C75"/>
    <w:rsid w:val="00A22E00"/>
    <w:rsid w:val="00A23F5D"/>
    <w:rsid w:val="00A30453"/>
    <w:rsid w:val="00A32601"/>
    <w:rsid w:val="00A32640"/>
    <w:rsid w:val="00A3311B"/>
    <w:rsid w:val="00A35145"/>
    <w:rsid w:val="00A42C4C"/>
    <w:rsid w:val="00A45140"/>
    <w:rsid w:val="00A46442"/>
    <w:rsid w:val="00A50B07"/>
    <w:rsid w:val="00A51674"/>
    <w:rsid w:val="00A54BC9"/>
    <w:rsid w:val="00A562A6"/>
    <w:rsid w:val="00A610E7"/>
    <w:rsid w:val="00A657A8"/>
    <w:rsid w:val="00A65E2D"/>
    <w:rsid w:val="00A72DD2"/>
    <w:rsid w:val="00A7473F"/>
    <w:rsid w:val="00A76CAA"/>
    <w:rsid w:val="00A805C4"/>
    <w:rsid w:val="00A81F61"/>
    <w:rsid w:val="00A83ECA"/>
    <w:rsid w:val="00A8479F"/>
    <w:rsid w:val="00A857A3"/>
    <w:rsid w:val="00A87DEF"/>
    <w:rsid w:val="00A905F0"/>
    <w:rsid w:val="00A94903"/>
    <w:rsid w:val="00A96814"/>
    <w:rsid w:val="00A96EDD"/>
    <w:rsid w:val="00A97B1D"/>
    <w:rsid w:val="00AA1250"/>
    <w:rsid w:val="00AA1351"/>
    <w:rsid w:val="00AA3674"/>
    <w:rsid w:val="00AA420C"/>
    <w:rsid w:val="00AA6880"/>
    <w:rsid w:val="00AB73FD"/>
    <w:rsid w:val="00AC2B5F"/>
    <w:rsid w:val="00AC2C90"/>
    <w:rsid w:val="00AC47A8"/>
    <w:rsid w:val="00AC5E0A"/>
    <w:rsid w:val="00AD186D"/>
    <w:rsid w:val="00AD1E4A"/>
    <w:rsid w:val="00AD2CA6"/>
    <w:rsid w:val="00AD6519"/>
    <w:rsid w:val="00AD6817"/>
    <w:rsid w:val="00AD74A4"/>
    <w:rsid w:val="00AD7F36"/>
    <w:rsid w:val="00AE0036"/>
    <w:rsid w:val="00AE1139"/>
    <w:rsid w:val="00AE2E75"/>
    <w:rsid w:val="00AE48AD"/>
    <w:rsid w:val="00AF1816"/>
    <w:rsid w:val="00AF1960"/>
    <w:rsid w:val="00AF2F2B"/>
    <w:rsid w:val="00AF3D25"/>
    <w:rsid w:val="00AF428E"/>
    <w:rsid w:val="00AF474D"/>
    <w:rsid w:val="00AF6E10"/>
    <w:rsid w:val="00B005EE"/>
    <w:rsid w:val="00B00D46"/>
    <w:rsid w:val="00B0684C"/>
    <w:rsid w:val="00B0726A"/>
    <w:rsid w:val="00B07DDF"/>
    <w:rsid w:val="00B13A78"/>
    <w:rsid w:val="00B16133"/>
    <w:rsid w:val="00B161E6"/>
    <w:rsid w:val="00B21787"/>
    <w:rsid w:val="00B22FD2"/>
    <w:rsid w:val="00B317C0"/>
    <w:rsid w:val="00B32F73"/>
    <w:rsid w:val="00B342A2"/>
    <w:rsid w:val="00B363A9"/>
    <w:rsid w:val="00B413CB"/>
    <w:rsid w:val="00B43334"/>
    <w:rsid w:val="00B527DE"/>
    <w:rsid w:val="00B556D4"/>
    <w:rsid w:val="00B57E85"/>
    <w:rsid w:val="00B63291"/>
    <w:rsid w:val="00B65F87"/>
    <w:rsid w:val="00B67297"/>
    <w:rsid w:val="00B67F65"/>
    <w:rsid w:val="00B74B88"/>
    <w:rsid w:val="00B75BB1"/>
    <w:rsid w:val="00B771C4"/>
    <w:rsid w:val="00B77DD0"/>
    <w:rsid w:val="00B95691"/>
    <w:rsid w:val="00B96BCD"/>
    <w:rsid w:val="00B96D74"/>
    <w:rsid w:val="00B97516"/>
    <w:rsid w:val="00BA4B5A"/>
    <w:rsid w:val="00BA76D9"/>
    <w:rsid w:val="00BB1E82"/>
    <w:rsid w:val="00BB2C8F"/>
    <w:rsid w:val="00BB3C49"/>
    <w:rsid w:val="00BB554F"/>
    <w:rsid w:val="00BB670D"/>
    <w:rsid w:val="00BC03F4"/>
    <w:rsid w:val="00BC2291"/>
    <w:rsid w:val="00BC269E"/>
    <w:rsid w:val="00BC34CA"/>
    <w:rsid w:val="00BC41E1"/>
    <w:rsid w:val="00BC5A20"/>
    <w:rsid w:val="00BC61A1"/>
    <w:rsid w:val="00BC6A71"/>
    <w:rsid w:val="00BD1B26"/>
    <w:rsid w:val="00BD1DBF"/>
    <w:rsid w:val="00BD268D"/>
    <w:rsid w:val="00BE014B"/>
    <w:rsid w:val="00BE2BCA"/>
    <w:rsid w:val="00BE5EF1"/>
    <w:rsid w:val="00BF0FD4"/>
    <w:rsid w:val="00BF40F7"/>
    <w:rsid w:val="00BF5E69"/>
    <w:rsid w:val="00C00A0C"/>
    <w:rsid w:val="00C014B4"/>
    <w:rsid w:val="00C01F15"/>
    <w:rsid w:val="00C03333"/>
    <w:rsid w:val="00C058BA"/>
    <w:rsid w:val="00C062D8"/>
    <w:rsid w:val="00C100BC"/>
    <w:rsid w:val="00C10BF7"/>
    <w:rsid w:val="00C12430"/>
    <w:rsid w:val="00C201E8"/>
    <w:rsid w:val="00C220E7"/>
    <w:rsid w:val="00C22E98"/>
    <w:rsid w:val="00C250AF"/>
    <w:rsid w:val="00C27FE0"/>
    <w:rsid w:val="00C313D3"/>
    <w:rsid w:val="00C3146C"/>
    <w:rsid w:val="00C358ED"/>
    <w:rsid w:val="00C36334"/>
    <w:rsid w:val="00C4293C"/>
    <w:rsid w:val="00C43220"/>
    <w:rsid w:val="00C449C0"/>
    <w:rsid w:val="00C44E2D"/>
    <w:rsid w:val="00C45A85"/>
    <w:rsid w:val="00C534AE"/>
    <w:rsid w:val="00C537A3"/>
    <w:rsid w:val="00C53AA2"/>
    <w:rsid w:val="00C5623A"/>
    <w:rsid w:val="00C662A4"/>
    <w:rsid w:val="00C70357"/>
    <w:rsid w:val="00C70CF1"/>
    <w:rsid w:val="00C775DA"/>
    <w:rsid w:val="00C77C4A"/>
    <w:rsid w:val="00C80C5A"/>
    <w:rsid w:val="00C821E7"/>
    <w:rsid w:val="00C824F1"/>
    <w:rsid w:val="00C917AB"/>
    <w:rsid w:val="00C9199C"/>
    <w:rsid w:val="00C91E98"/>
    <w:rsid w:val="00C94194"/>
    <w:rsid w:val="00C95616"/>
    <w:rsid w:val="00CA0F41"/>
    <w:rsid w:val="00CA17A1"/>
    <w:rsid w:val="00CA2DA1"/>
    <w:rsid w:val="00CA302A"/>
    <w:rsid w:val="00CA4D8A"/>
    <w:rsid w:val="00CA6270"/>
    <w:rsid w:val="00CB17F0"/>
    <w:rsid w:val="00CB23D6"/>
    <w:rsid w:val="00CB3BD7"/>
    <w:rsid w:val="00CB5857"/>
    <w:rsid w:val="00CB6A07"/>
    <w:rsid w:val="00CB72C7"/>
    <w:rsid w:val="00CC0A2F"/>
    <w:rsid w:val="00CC0A9C"/>
    <w:rsid w:val="00CC3C86"/>
    <w:rsid w:val="00CC527C"/>
    <w:rsid w:val="00CC6F98"/>
    <w:rsid w:val="00CD148D"/>
    <w:rsid w:val="00CD1ABC"/>
    <w:rsid w:val="00CD35BB"/>
    <w:rsid w:val="00CD4754"/>
    <w:rsid w:val="00CD4B6B"/>
    <w:rsid w:val="00CD7AF6"/>
    <w:rsid w:val="00CE132F"/>
    <w:rsid w:val="00CE3835"/>
    <w:rsid w:val="00CE3A16"/>
    <w:rsid w:val="00CE4A19"/>
    <w:rsid w:val="00CE67B8"/>
    <w:rsid w:val="00CE760A"/>
    <w:rsid w:val="00CE7B4A"/>
    <w:rsid w:val="00CF13F6"/>
    <w:rsid w:val="00CF2410"/>
    <w:rsid w:val="00CF2907"/>
    <w:rsid w:val="00CF61D2"/>
    <w:rsid w:val="00CF7210"/>
    <w:rsid w:val="00CF7999"/>
    <w:rsid w:val="00D07213"/>
    <w:rsid w:val="00D11EAA"/>
    <w:rsid w:val="00D1541D"/>
    <w:rsid w:val="00D15462"/>
    <w:rsid w:val="00D15CCA"/>
    <w:rsid w:val="00D15F01"/>
    <w:rsid w:val="00D16342"/>
    <w:rsid w:val="00D17E6C"/>
    <w:rsid w:val="00D229E8"/>
    <w:rsid w:val="00D23C82"/>
    <w:rsid w:val="00D2541D"/>
    <w:rsid w:val="00D26BB6"/>
    <w:rsid w:val="00D30919"/>
    <w:rsid w:val="00D3099A"/>
    <w:rsid w:val="00D30B03"/>
    <w:rsid w:val="00D32276"/>
    <w:rsid w:val="00D33F1C"/>
    <w:rsid w:val="00D37965"/>
    <w:rsid w:val="00D46A93"/>
    <w:rsid w:val="00D47ACE"/>
    <w:rsid w:val="00D50B16"/>
    <w:rsid w:val="00D51C53"/>
    <w:rsid w:val="00D55166"/>
    <w:rsid w:val="00D57FF3"/>
    <w:rsid w:val="00D60955"/>
    <w:rsid w:val="00D64E4B"/>
    <w:rsid w:val="00D652B8"/>
    <w:rsid w:val="00D677F2"/>
    <w:rsid w:val="00D8001D"/>
    <w:rsid w:val="00D85D0B"/>
    <w:rsid w:val="00D87131"/>
    <w:rsid w:val="00D922E2"/>
    <w:rsid w:val="00D961DC"/>
    <w:rsid w:val="00DA01B8"/>
    <w:rsid w:val="00DA45F1"/>
    <w:rsid w:val="00DB06D7"/>
    <w:rsid w:val="00DB4DB4"/>
    <w:rsid w:val="00DD177B"/>
    <w:rsid w:val="00DD2400"/>
    <w:rsid w:val="00DD34D6"/>
    <w:rsid w:val="00DD4452"/>
    <w:rsid w:val="00DD495F"/>
    <w:rsid w:val="00DD71F1"/>
    <w:rsid w:val="00DD7D38"/>
    <w:rsid w:val="00DE0D45"/>
    <w:rsid w:val="00DE1FC6"/>
    <w:rsid w:val="00DF3D4A"/>
    <w:rsid w:val="00E04083"/>
    <w:rsid w:val="00E042CE"/>
    <w:rsid w:val="00E05FC3"/>
    <w:rsid w:val="00E10DA2"/>
    <w:rsid w:val="00E1154F"/>
    <w:rsid w:val="00E17DC3"/>
    <w:rsid w:val="00E22A18"/>
    <w:rsid w:val="00E3112A"/>
    <w:rsid w:val="00E31DAD"/>
    <w:rsid w:val="00E41CFB"/>
    <w:rsid w:val="00E4287D"/>
    <w:rsid w:val="00E47312"/>
    <w:rsid w:val="00E518B0"/>
    <w:rsid w:val="00E54524"/>
    <w:rsid w:val="00E549E7"/>
    <w:rsid w:val="00E55825"/>
    <w:rsid w:val="00E57879"/>
    <w:rsid w:val="00E6174E"/>
    <w:rsid w:val="00E6178F"/>
    <w:rsid w:val="00E62916"/>
    <w:rsid w:val="00E66D9F"/>
    <w:rsid w:val="00E66DC1"/>
    <w:rsid w:val="00E70348"/>
    <w:rsid w:val="00E712DA"/>
    <w:rsid w:val="00E72453"/>
    <w:rsid w:val="00E72DF8"/>
    <w:rsid w:val="00E732ED"/>
    <w:rsid w:val="00E74EFC"/>
    <w:rsid w:val="00E750B9"/>
    <w:rsid w:val="00E77903"/>
    <w:rsid w:val="00E77D06"/>
    <w:rsid w:val="00E82F59"/>
    <w:rsid w:val="00E84E82"/>
    <w:rsid w:val="00E86423"/>
    <w:rsid w:val="00E864BD"/>
    <w:rsid w:val="00E87A38"/>
    <w:rsid w:val="00E91491"/>
    <w:rsid w:val="00E930F9"/>
    <w:rsid w:val="00E9496B"/>
    <w:rsid w:val="00E958AE"/>
    <w:rsid w:val="00E95A77"/>
    <w:rsid w:val="00E96CDD"/>
    <w:rsid w:val="00E97C35"/>
    <w:rsid w:val="00EA03F0"/>
    <w:rsid w:val="00EA423C"/>
    <w:rsid w:val="00EB126F"/>
    <w:rsid w:val="00EB1972"/>
    <w:rsid w:val="00EB256B"/>
    <w:rsid w:val="00EB465D"/>
    <w:rsid w:val="00EB4D99"/>
    <w:rsid w:val="00EC521A"/>
    <w:rsid w:val="00EC527F"/>
    <w:rsid w:val="00ED03F8"/>
    <w:rsid w:val="00ED0573"/>
    <w:rsid w:val="00ED385E"/>
    <w:rsid w:val="00ED59C7"/>
    <w:rsid w:val="00ED7A70"/>
    <w:rsid w:val="00EE2AE8"/>
    <w:rsid w:val="00EE4813"/>
    <w:rsid w:val="00EE498B"/>
    <w:rsid w:val="00EE7D7A"/>
    <w:rsid w:val="00EE7E02"/>
    <w:rsid w:val="00EF0ADB"/>
    <w:rsid w:val="00EF364E"/>
    <w:rsid w:val="00EF3768"/>
    <w:rsid w:val="00F04AD8"/>
    <w:rsid w:val="00F054E5"/>
    <w:rsid w:val="00F07C89"/>
    <w:rsid w:val="00F07DF7"/>
    <w:rsid w:val="00F1097C"/>
    <w:rsid w:val="00F1113F"/>
    <w:rsid w:val="00F12F80"/>
    <w:rsid w:val="00F149A7"/>
    <w:rsid w:val="00F1560D"/>
    <w:rsid w:val="00F1597C"/>
    <w:rsid w:val="00F23FCB"/>
    <w:rsid w:val="00F310AC"/>
    <w:rsid w:val="00F35F56"/>
    <w:rsid w:val="00F362A2"/>
    <w:rsid w:val="00F366AD"/>
    <w:rsid w:val="00F41038"/>
    <w:rsid w:val="00F5023C"/>
    <w:rsid w:val="00F505DE"/>
    <w:rsid w:val="00F63C80"/>
    <w:rsid w:val="00F660B6"/>
    <w:rsid w:val="00F6692B"/>
    <w:rsid w:val="00F73C8B"/>
    <w:rsid w:val="00F75A68"/>
    <w:rsid w:val="00F761E1"/>
    <w:rsid w:val="00F86549"/>
    <w:rsid w:val="00F871C8"/>
    <w:rsid w:val="00F8739B"/>
    <w:rsid w:val="00F91212"/>
    <w:rsid w:val="00F91559"/>
    <w:rsid w:val="00F95390"/>
    <w:rsid w:val="00F9749F"/>
    <w:rsid w:val="00F97528"/>
    <w:rsid w:val="00FA06CB"/>
    <w:rsid w:val="00FA1258"/>
    <w:rsid w:val="00FA3BBF"/>
    <w:rsid w:val="00FA41BC"/>
    <w:rsid w:val="00FA4821"/>
    <w:rsid w:val="00FB0F06"/>
    <w:rsid w:val="00FB13AC"/>
    <w:rsid w:val="00FB1639"/>
    <w:rsid w:val="00FB1D58"/>
    <w:rsid w:val="00FB3085"/>
    <w:rsid w:val="00FB32A7"/>
    <w:rsid w:val="00FB4E70"/>
    <w:rsid w:val="00FB790F"/>
    <w:rsid w:val="00FC2B3E"/>
    <w:rsid w:val="00FC3403"/>
    <w:rsid w:val="00FC591A"/>
    <w:rsid w:val="00FC5C69"/>
    <w:rsid w:val="00FC5D52"/>
    <w:rsid w:val="00FC61C0"/>
    <w:rsid w:val="00FC75A9"/>
    <w:rsid w:val="00FC78CB"/>
    <w:rsid w:val="00FD052B"/>
    <w:rsid w:val="00FD0B76"/>
    <w:rsid w:val="00FD2072"/>
    <w:rsid w:val="00FD2549"/>
    <w:rsid w:val="00FD3BDF"/>
    <w:rsid w:val="00FE200B"/>
    <w:rsid w:val="00FE682A"/>
    <w:rsid w:val="00FE7ABB"/>
    <w:rsid w:val="00FF2A98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9D5BBD"/>
  <w15:chartTrackingRefBased/>
  <w15:docId w15:val="{F41F2AE8-FB87-444E-9EDB-ED161398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AD"/>
    <w:pPr>
      <w:spacing w:line="48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2C2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8E4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2C2"/>
    <w:pPr>
      <w:keepNext/>
      <w:keepLines/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2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58E4"/>
    <w:rPr>
      <w:rFonts w:ascii="Arial" w:eastAsiaTheme="majorEastAsia" w:hAnsi="Arial" w:cstheme="majorBidi"/>
      <w:b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31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052C2"/>
    <w:rPr>
      <w:rFonts w:ascii="Arial" w:eastAsiaTheme="majorEastAsia" w:hAnsi="Arial" w:cstheme="majorBidi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4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F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A4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F1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795AF0"/>
    <w:pPr>
      <w:keepNext/>
      <w:spacing w:after="200" w:line="240" w:lineRule="auto"/>
    </w:pPr>
    <w:rPr>
      <w:i/>
      <w:i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7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5A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5A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5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5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1A46"/>
    <w:rPr>
      <w:b/>
      <w:bCs/>
    </w:rPr>
  </w:style>
  <w:style w:type="character" w:styleId="Emphasis">
    <w:name w:val="Emphasis"/>
    <w:basedOn w:val="DefaultParagraphFont"/>
    <w:uiPriority w:val="20"/>
    <w:qFormat/>
    <w:rsid w:val="00301A46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85252C"/>
  </w:style>
  <w:style w:type="character" w:styleId="Hyperlink">
    <w:name w:val="Hyperlink"/>
    <w:uiPriority w:val="99"/>
    <w:rsid w:val="007479C2"/>
    <w:rPr>
      <w:color w:val="0000FF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82D2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862606"/>
  </w:style>
  <w:style w:type="character" w:customStyle="1" w:styleId="eop">
    <w:name w:val="eop"/>
    <w:basedOn w:val="DefaultParagraphFont"/>
    <w:rsid w:val="00862606"/>
  </w:style>
  <w:style w:type="character" w:customStyle="1" w:styleId="position-number">
    <w:name w:val="position-number"/>
    <w:basedOn w:val="DefaultParagraphFont"/>
    <w:rsid w:val="006C380C"/>
  </w:style>
  <w:style w:type="character" w:customStyle="1" w:styleId="labs-docsum-authors">
    <w:name w:val="labs-docsum-authors"/>
    <w:basedOn w:val="DefaultParagraphFont"/>
    <w:rsid w:val="006C380C"/>
  </w:style>
  <w:style w:type="character" w:customStyle="1" w:styleId="labs-docsum-journal-citation">
    <w:name w:val="labs-docsum-journal-citation"/>
    <w:basedOn w:val="DefaultParagraphFont"/>
    <w:rsid w:val="006C380C"/>
  </w:style>
  <w:style w:type="paragraph" w:styleId="Revision">
    <w:name w:val="Revision"/>
    <w:hidden/>
    <w:uiPriority w:val="99"/>
    <w:semiHidden/>
    <w:rsid w:val="000908E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A038C594D274C9098B522947CA4F4" ma:contentTypeVersion="12" ma:contentTypeDescription="Create a new document." ma:contentTypeScope="" ma:versionID="913f5a718ab9bd70887ec19fdff2d051">
  <xsd:schema xmlns:xsd="http://www.w3.org/2001/XMLSchema" xmlns:xs="http://www.w3.org/2001/XMLSchema" xmlns:p="http://schemas.microsoft.com/office/2006/metadata/properties" xmlns:ns3="435a1bd9-640a-4ff1-8c09-ec2ebd01f1f0" xmlns:ns4="035c77c7-c5a4-4a5d-994c-daa2d893b477" targetNamespace="http://schemas.microsoft.com/office/2006/metadata/properties" ma:root="true" ma:fieldsID="9bc6473b652dca7386c91965dd4d3646" ns3:_="" ns4:_="">
    <xsd:import namespace="435a1bd9-640a-4ff1-8c09-ec2ebd01f1f0"/>
    <xsd:import namespace="035c77c7-c5a4-4a5d-994c-daa2d893b4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a1bd9-640a-4ff1-8c09-ec2ebd01f1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77c7-c5a4-4a5d-994c-daa2d893b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5C1CBF6FC8408CEEF555EA52A39B" ma:contentTypeVersion="12" ma:contentTypeDescription="Create a new document." ma:contentTypeScope="" ma:versionID="a871a5e9342991a021d8b60818613edd">
  <xsd:schema xmlns:xsd="http://www.w3.org/2001/XMLSchema" xmlns:xs="http://www.w3.org/2001/XMLSchema" xmlns:p="http://schemas.microsoft.com/office/2006/metadata/properties" xmlns:ns3="fb87784c-58f4-49a6-98f7-89c8f545e2b6" xmlns:ns4="435c59d9-d55f-4215-bbfb-6603d332be38" targetNamespace="http://schemas.microsoft.com/office/2006/metadata/properties" ma:root="true" ma:fieldsID="713e087d2e11ed6ec34c215a684027d3" ns3:_="" ns4:_="">
    <xsd:import namespace="fb87784c-58f4-49a6-98f7-89c8f545e2b6"/>
    <xsd:import namespace="435c59d9-d55f-4215-bbfb-6603d332be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7784c-58f4-49a6-98f7-89c8f545e2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59d9-d55f-4215-bbfb-6603d332b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7303E-0437-46D4-B492-1412360EA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a1bd9-640a-4ff1-8c09-ec2ebd01f1f0"/>
    <ds:schemaRef ds:uri="035c77c7-c5a4-4a5d-994c-daa2d893b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7D8B8-65AF-4CF3-AD72-A5BADE0F62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863A53-A2DB-4E3F-976E-9D55809C7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7784c-58f4-49a6-98f7-89c8f545e2b6"/>
    <ds:schemaRef ds:uri="435c59d9-d55f-4215-bbfb-6603d332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58876-6942-4F5A-80D0-268A2199A7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1F78E2-39D9-4C28-8146-94C4D2BC7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1318</Words>
  <Characters>7518</Characters>
  <Application>Microsoft Office Word</Application>
  <DocSecurity>0</DocSecurity>
  <Lines>62</Lines>
  <Paragraphs>17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Young</dc:creator>
  <cp:keywords/>
  <dc:description/>
  <cp:lastModifiedBy>David Young</cp:lastModifiedBy>
  <cp:revision>3</cp:revision>
  <cp:lastPrinted>2020-08-24T13:28:00Z</cp:lastPrinted>
  <dcterms:created xsi:type="dcterms:W3CDTF">2020-12-01T15:21:00Z</dcterms:created>
  <dcterms:modified xsi:type="dcterms:W3CDTF">2020-12-01T15:22:00Z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http://csl.mendeley.com/styles/126155841/Neonatology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http://csl.mendeley.com/styles/126155841/Neonatology</vt:lpwstr>
  </property>
  <property fmtid="{D5CDD505-2E9C-101B-9397-08002B2CF9AE}" pid="7" name="Mendeley Recent Style Name 1_1">
    <vt:lpwstr>BioMed Central - David Young</vt:lpwstr>
  </property>
  <property fmtid="{D5CDD505-2E9C-101B-9397-08002B2CF9AE}" pid="8" name="Mendeley Recent Style Id 2_1">
    <vt:lpwstr>http://csl.mendeley.com/styles/126155841/chest-DY</vt:lpwstr>
  </property>
  <property fmtid="{D5CDD505-2E9C-101B-9397-08002B2CF9AE}" pid="9" name="Mendeley Recent Style Name 2_1">
    <vt:lpwstr>Chest - David Young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http://www.zotero.org/styles/chicago-fullnote-bibliography</vt:lpwstr>
  </property>
  <property fmtid="{D5CDD505-2E9C-101B-9397-08002B2CF9AE}" pid="13" name="Mendeley Recent Style Name 4_1">
    <vt:lpwstr>Chicago Manual of Style 17th edition (full note)</vt:lpwstr>
  </property>
  <property fmtid="{D5CDD505-2E9C-101B-9397-08002B2CF9AE}" pid="14" name="Mendeley Recent Style Id 5_1">
    <vt:lpwstr>http://www.zotero.org/styles/jama</vt:lpwstr>
  </property>
  <property fmtid="{D5CDD505-2E9C-101B-9397-08002B2CF9AE}" pid="15" name="Mendeley Recent Style Name 5_1">
    <vt:lpwstr>JAMA (The Journal of the American Medical Association)</vt:lpwstr>
  </property>
  <property fmtid="{D5CDD505-2E9C-101B-9397-08002B2CF9AE}" pid="16" name="Mendeley Recent Style Id 6_1">
    <vt:lpwstr>http://www.zotero.org/styles/respiration</vt:lpwstr>
  </property>
  <property fmtid="{D5CDD505-2E9C-101B-9397-08002B2CF9AE}" pid="17" name="Mendeley Recent Style Name 6_1">
    <vt:lpwstr>Respiration</vt:lpwstr>
  </property>
  <property fmtid="{D5CDD505-2E9C-101B-9397-08002B2CF9AE}" pid="18" name="Mendeley Recent Style Id 7_1">
    <vt:lpwstr>http://csl.mendeley.com/styles/126155841/springer-vancouver-brackets-DOI-DY</vt:lpwstr>
  </property>
  <property fmtid="{D5CDD505-2E9C-101B-9397-08002B2CF9AE}" pid="19" name="Mendeley Recent Style Name 7_1">
    <vt:lpwstr>Springer Vancouver (brackets) - David Young - David Young, Mr</vt:lpwstr>
  </property>
  <property fmtid="{D5CDD505-2E9C-101B-9397-08002B2CF9AE}" pid="20" name="Mendeley Recent Style Id 8_1">
    <vt:lpwstr>http://www.zotero.org/styles/the-lancet</vt:lpwstr>
  </property>
  <property fmtid="{D5CDD505-2E9C-101B-9397-08002B2CF9AE}" pid="21" name="Mendeley Recent Style Name 8_1">
    <vt:lpwstr>The Lancet</vt:lpwstr>
  </property>
  <property fmtid="{D5CDD505-2E9C-101B-9397-08002B2CF9AE}" pid="22" name="Mendeley Recent Style Id 9_1">
    <vt:lpwstr>http://csl.mendeley.com/styles/126155841/vancouver-superscript-only-year</vt:lpwstr>
  </property>
  <property fmtid="{D5CDD505-2E9C-101B-9397-08002B2CF9AE}" pid="23" name="Mendeley Recent Style Name 9_1">
    <vt:lpwstr>Vancouver (superscript, only year in date, no issue numbers) - David Young, Mr</vt:lpwstr>
  </property>
  <property fmtid="{D5CDD505-2E9C-101B-9397-08002B2CF9AE}" pid="24" name="ContentTypeId">
    <vt:lpwstr>0x01010041CE5C1CBF6FC8408CEEF555EA52A39B</vt:lpwstr>
  </property>
  <property fmtid="{D5CDD505-2E9C-101B-9397-08002B2CF9AE}" pid="25" name="Mendeley Unique User Id_1">
    <vt:lpwstr>b91ca142-f93c-3451-b593-180f6d956fe8</vt:lpwstr>
  </property>
</Properties>
</file>