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4A475" w14:textId="0AE4855E" w:rsidR="00DB721A" w:rsidRPr="00DB721A" w:rsidRDefault="00DB721A" w:rsidP="00DB721A">
      <w:pPr>
        <w:widowControl w:val="0"/>
        <w:rPr>
          <w:rFonts w:ascii="Arial" w:hAnsi="Arial" w:cs="Arial"/>
          <w:b/>
          <w:bCs/>
          <w:sz w:val="24"/>
          <w:szCs w:val="24"/>
        </w:rPr>
      </w:pPr>
      <w:r w:rsidRPr="00DB721A">
        <w:rPr>
          <w:rFonts w:ascii="Arial" w:hAnsi="Arial" w:cs="Arial"/>
          <w:b/>
          <w:bCs/>
          <w:sz w:val="24"/>
          <w:szCs w:val="24"/>
        </w:rPr>
        <w:t>Supplementary Material</w:t>
      </w:r>
    </w:p>
    <w:p w14:paraId="3A8B1BED" w14:textId="3865D3F2" w:rsidR="00DB721A" w:rsidRDefault="00DB721A" w:rsidP="00DB721A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AD22500" wp14:editId="5BB59165">
            <wp:simplePos x="0" y="0"/>
            <wp:positionH relativeFrom="margin">
              <wp:posOffset>1303020</wp:posOffset>
            </wp:positionH>
            <wp:positionV relativeFrom="paragraph">
              <wp:posOffset>287769</wp:posOffset>
            </wp:positionV>
            <wp:extent cx="3513455" cy="3312795"/>
            <wp:effectExtent l="0" t="0" r="0" b="1905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455" cy="3312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24865" w14:textId="77777777" w:rsidR="00DB721A" w:rsidRDefault="00DB721A" w:rsidP="00DB721A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542CE6C4" w14:textId="491A774E" w:rsidR="00B47F50" w:rsidRDefault="00DB721A" w:rsidP="00DB721A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DB721A">
        <w:rPr>
          <w:rFonts w:ascii="Arial" w:hAnsi="Arial" w:cs="Arial"/>
          <w:b/>
          <w:bCs/>
          <w:sz w:val="20"/>
          <w:szCs w:val="20"/>
        </w:rPr>
        <w:t xml:space="preserve">Figure 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Pr="00DB721A">
        <w:rPr>
          <w:rFonts w:ascii="Arial" w:hAnsi="Arial" w:cs="Arial"/>
          <w:b/>
          <w:bCs/>
          <w:sz w:val="20"/>
          <w:szCs w:val="20"/>
        </w:rPr>
        <w:t xml:space="preserve">1 Gating strategy for subsequent analysis on peripheral blood mononuclear cells (PBMCs). </w:t>
      </w:r>
      <w:r w:rsidRPr="00DB721A">
        <w:rPr>
          <w:rFonts w:ascii="Arial" w:hAnsi="Arial" w:cs="Arial"/>
          <w:sz w:val="20"/>
          <w:szCs w:val="20"/>
        </w:rPr>
        <w:t>Flow cytometry dot plot FSC vs. SSC presenting gating strategy for PBMC</w:t>
      </w:r>
      <w:r>
        <w:rPr>
          <w:rFonts w:ascii="Arial" w:hAnsi="Arial" w:cs="Arial"/>
          <w:sz w:val="20"/>
          <w:szCs w:val="20"/>
        </w:rPr>
        <w:t>s</w:t>
      </w:r>
      <w:r w:rsidRPr="00DB721A">
        <w:rPr>
          <w:rFonts w:ascii="Arial" w:hAnsi="Arial" w:cs="Arial"/>
          <w:sz w:val="20"/>
          <w:szCs w:val="20"/>
        </w:rPr>
        <w:t xml:space="preserve"> to evaluate NT</w:t>
      </w:r>
      <w:r w:rsidRPr="00DB721A">
        <w:rPr>
          <w:rFonts w:ascii="Arial" w:hAnsi="Arial" w:cs="Arial"/>
          <w:sz w:val="20"/>
          <w:szCs w:val="20"/>
          <w:vertAlign w:val="subscript"/>
        </w:rPr>
        <w:t>B</w:t>
      </w:r>
      <w:r w:rsidRPr="00DB721A">
        <w:rPr>
          <w:rFonts w:ascii="Arial" w:hAnsi="Arial" w:cs="Arial"/>
          <w:sz w:val="20"/>
          <w:szCs w:val="20"/>
        </w:rPr>
        <w:t>700 effect on lymphocyte (red) and monocyte (light blue) populations.</w:t>
      </w:r>
    </w:p>
    <w:p w14:paraId="22DFCBA9" w14:textId="77777777" w:rsidR="00DB721A" w:rsidRPr="00DB721A" w:rsidRDefault="00DB721A">
      <w:pPr>
        <w:spacing w:line="480" w:lineRule="auto"/>
        <w:rPr>
          <w:rFonts w:ascii="Arial" w:hAnsi="Arial" w:cs="Arial"/>
          <w:sz w:val="20"/>
          <w:szCs w:val="20"/>
        </w:rPr>
      </w:pPr>
    </w:p>
    <w:sectPr w:rsidR="00DB721A" w:rsidRPr="00DB72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21A"/>
    <w:rsid w:val="007A2A4A"/>
    <w:rsid w:val="00B47F50"/>
    <w:rsid w:val="00C507AA"/>
    <w:rsid w:val="00DB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914A1"/>
  <w15:chartTrackingRefBased/>
  <w15:docId w15:val="{F8391C25-A46B-42AA-95C1-52472DD6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72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Sola</dc:creator>
  <cp:keywords/>
  <dc:description/>
  <cp:lastModifiedBy>Mel Phimester</cp:lastModifiedBy>
  <cp:revision>2</cp:revision>
  <dcterms:created xsi:type="dcterms:W3CDTF">2021-02-25T10:41:00Z</dcterms:created>
  <dcterms:modified xsi:type="dcterms:W3CDTF">2021-02-25T10:41:00Z</dcterms:modified>
</cp:coreProperties>
</file>