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tblpY="741"/>
        <w:tblW w:w="83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268"/>
        <w:gridCol w:w="1985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Icotinib Group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Interval time (Days)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Cisplatin plus Docetaxel Group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Interval time (Days)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Case13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Case13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Case14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Case14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Case16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Case16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Case17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Case17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Case18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Case18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Case19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Case19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Case21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Case21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Case22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Supplement table 1: Interval between the surgery and the beginning of adjuvant therapy</w: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 xml:space="preserve">Supplement table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 xml:space="preserve">: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T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reatments of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 patients in the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 xml:space="preserve"> Cisplatin plus Docetaxel Group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after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 xml:space="preserve"> progression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 b</w:t>
      </w:r>
      <w:bookmarkStart w:id="2" w:name="_GoBack"/>
      <w:bookmarkEnd w:id="2"/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efore the data cut-off point (April 10, 2020)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 xml:space="preserve">. </w:t>
      </w:r>
    </w:p>
    <w:tbl>
      <w:tblPr>
        <w:tblStyle w:val="2"/>
        <w:tblpPr w:leftFromText="180" w:rightFromText="180" w:tblpY="741"/>
        <w:tblW w:w="840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4427"/>
        <w:gridCol w:w="154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Cisplatin plus Docetaxel Group</w:t>
            </w:r>
          </w:p>
        </w:tc>
        <w:tc>
          <w:tcPr>
            <w:tcW w:w="4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Treatments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Date of using EGFR-TKI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Icotinib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+ 4 cycles of pemetrexed monotherapy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Oct 16,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Icotinib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Sep 6,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Icotinib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Sep 20,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Brain radiotherapy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Icotinib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+ 1 cycle of carboplatin plus pemetrexed plus bevacizumab chemotherapy, 1 cycle of bevacizumab monotherapy 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Jun 16,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Brain radiotherapy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+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Icotinib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Jul 12,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one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radiotherapy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+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Icotinib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Oct 25,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Icotinib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Feb 1,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Brain radiotherapy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+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Icotinib</w:t>
            </w:r>
            <w:bookmarkEnd w:id="0"/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Mar 8,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Icotinib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Feb 26,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Icotinib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Apr 12,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Icotinib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Oct 30,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Icotinib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Sep 29, 2015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Icotinib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Mar 30, 2015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4 cycles of carboplatin plus pemetrexed chemotherapy, 2 cycles of pemetrexed monotherapy,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Icotinib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Apr 24,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Icotinib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Jan1,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Icotinib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Aug 10, 2015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Brain radiotherapy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+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Icotinib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Feb 9,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Icotinib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, Osimertinib (after progression on icotinib and presence of the EGFR T790M mutation)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Dec 4, 2015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Icotinib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, 6 cycles of d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ocetaxel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plus bevacizumab chemotherapy, 3 cycles of carboplatin plus paclitaxel plus bevacizumab chemotherapy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bookmarkStart w:id="1" w:name="OLE_LINK2"/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Jun </w:t>
            </w:r>
            <w:bookmarkEnd w:id="1"/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21, 2018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Icotinib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Dec 3,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Case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</w:tbl>
    <w:p>
      <w:pP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</w:pPr>
    </w:p>
    <w:p>
      <w:pPr>
        <w:bidi w:val="0"/>
        <w:rPr>
          <w:lang w:val="en-US" w:eastAsia="zh-CN"/>
        </w:rPr>
      </w:pP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 xml:space="preserve">Note: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Case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21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 xml:space="preserve"> relapsed with brain metastasis and was admitted to the hospital in a coma. Unfortunately, this patient passed away later and had no chance to use EGFR-TKIs.</w: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lang w:val="en-US" w:eastAsia="zh-CN"/>
        </w:rPr>
        <w:drawing>
          <wp:inline distT="0" distB="0" distL="114300" distR="114300">
            <wp:extent cx="4399915" cy="2379980"/>
            <wp:effectExtent l="0" t="0" r="4445" b="12700"/>
            <wp:docPr id="1" name="图片 1" descr="06_Jan_2021_290636_Revised_Figure_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6_Jan_2021_290636_Revised_Figure_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9915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 xml:space="preserve">Supplement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figure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 xml:space="preserve"> 1: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 xml:space="preserve">Kaplan-Meier curves for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disease-free survival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 xml:space="preserve"> of icotinib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group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 xml:space="preserve">patients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treated for ≤ 2-year and ＞2-year.</w:t>
      </w:r>
    </w:p>
    <w:p>
      <w:pP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5937885" cy="1929765"/>
            <wp:effectExtent l="0" t="0" r="5715" b="5715"/>
            <wp:docPr id="3" name="图片 3" descr="06_Jan_2021_290636_Revised_Figure_S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6_Jan_2021_290636_Revised_Figure_S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 xml:space="preserve">Supplement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figure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: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Kaplan-Meier curves for DFS. (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) DFS of patients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with exon19 deletion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 and L858R mutation treated with adjuvant targeted therapy.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 xml:space="preserve"> (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) DFS of patients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with exon19 deletion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 and L858R mutation treated with adjuvant chemotherapy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16"/>
    <w:rsid w:val="001A113A"/>
    <w:rsid w:val="0036501C"/>
    <w:rsid w:val="00545116"/>
    <w:rsid w:val="0B2B1082"/>
    <w:rsid w:val="14A715C1"/>
    <w:rsid w:val="38686C05"/>
    <w:rsid w:val="4DA53B1D"/>
    <w:rsid w:val="533802BC"/>
    <w:rsid w:val="55CF1BF6"/>
    <w:rsid w:val="771F1FFB"/>
    <w:rsid w:val="785912AF"/>
    <w:rsid w:val="7EAA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ZJUmed</Company>
  <Pages>1</Pages>
  <Words>91</Words>
  <Characters>521</Characters>
  <Lines>4</Lines>
  <Paragraphs>1</Paragraphs>
  <TotalTime>3</TotalTime>
  <ScaleCrop>false</ScaleCrop>
  <LinksUpToDate>false</LinksUpToDate>
  <CharactersWithSpaces>611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2020-12-17T15:28:00Z</dcterms:created>
  <dc:creator>jieyuwu</dc:creator>
  <cp:lastModifiedBy>王仕杰</cp:lastModifiedBy>
  <dcterms:modified xsi:type="dcterms:W3CDTF">2021-01-22T07:16:12Z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