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spacing w:line="480" w:lineRule="auto"/>
        <w:jc w:val="both"/>
        <w:rPr>
          <w:rFonts w:ascii="Arial" w:hAnsi="Arial" w:eastAsia="宋体" w:cs="Arial"/>
          <w:b/>
          <w:bCs/>
          <w:color w:val="auto"/>
          <w:sz w:val="32"/>
          <w:szCs w:val="32"/>
        </w:rPr>
      </w:pPr>
      <w:bookmarkStart w:id="0" w:name="OLE_LINK150"/>
      <w:bookmarkStart w:id="1" w:name="OLE_LINK67"/>
      <w:bookmarkStart w:id="2" w:name="OLE_LINK91"/>
      <w:r>
        <w:rPr>
          <w:rFonts w:hint="eastAsia" w:ascii="Arial" w:hAnsi="Arial" w:eastAsia="宋体" w:cs="Arial"/>
          <w:b/>
          <w:bCs/>
          <w:color w:val="auto"/>
          <w:sz w:val="32"/>
          <w:szCs w:val="32"/>
        </w:rPr>
        <w:t>Preparation, Characterization, Pharmacokinetic, and Therapeutic Potential of Novel 6-Mercaptopurine-loade</w:t>
      </w:r>
      <w:bookmarkStart w:id="5" w:name="_GoBack"/>
      <w:bookmarkEnd w:id="5"/>
      <w:r>
        <w:rPr>
          <w:rFonts w:hint="eastAsia" w:ascii="Arial" w:hAnsi="Arial" w:eastAsia="宋体" w:cs="Arial"/>
          <w:b/>
          <w:bCs/>
          <w:color w:val="auto"/>
          <w:sz w:val="32"/>
          <w:szCs w:val="32"/>
        </w:rPr>
        <w:t>d Oral Nanomedicines for Acute Lymphoblastic Leukemia</w:t>
      </w:r>
    </w:p>
    <w:bookmarkEnd w:id="0"/>
    <w:p>
      <w:pPr>
        <w:pStyle w:val="2"/>
        <w:spacing w:line="480" w:lineRule="auto"/>
        <w:ind w:left="0"/>
        <w:jc w:val="both"/>
        <w:rPr>
          <w:rFonts w:ascii="Arial" w:hAnsi="Arial" w:cs="Arial"/>
          <w:spacing w:val="15"/>
          <w:lang w:bidi="ar"/>
        </w:rPr>
      </w:pPr>
      <w:r>
        <w:rPr>
          <w:rFonts w:ascii="Arial" w:hAnsi="Arial" w:cs="Arial"/>
          <w:spacing w:val="15"/>
          <w:lang w:bidi="ar"/>
        </w:rPr>
        <w:t>Yaru Zou</w:t>
      </w:r>
      <w:r>
        <w:rPr>
          <w:rFonts w:ascii="Arial" w:hAnsi="Arial" w:cs="Arial"/>
          <w:spacing w:val="15"/>
          <w:vertAlign w:val="superscript"/>
          <w:lang w:bidi="ar"/>
        </w:rPr>
        <w:t>1,2,#</w:t>
      </w:r>
      <w:r>
        <w:rPr>
          <w:rFonts w:ascii="Arial" w:hAnsi="Arial" w:cs="Arial"/>
          <w:spacing w:val="15"/>
          <w:lang w:bidi="ar"/>
        </w:rPr>
        <w:t>, Dong Mei</w:t>
      </w:r>
      <w:r>
        <w:rPr>
          <w:rFonts w:ascii="Arial" w:hAnsi="Arial" w:cs="Arial"/>
          <w:spacing w:val="15"/>
          <w:vertAlign w:val="superscript"/>
          <w:lang w:bidi="ar"/>
        </w:rPr>
        <w:t>1,#</w:t>
      </w:r>
      <w:r>
        <w:rPr>
          <w:rFonts w:ascii="Arial" w:hAnsi="Arial" w:cs="Arial"/>
          <w:spacing w:val="15"/>
          <w:lang w:bidi="ar"/>
        </w:rPr>
        <w:t>, Jinjie Yuan</w:t>
      </w:r>
      <w:r>
        <w:rPr>
          <w:rFonts w:ascii="Arial" w:hAnsi="Arial" w:cs="Arial"/>
          <w:spacing w:val="15"/>
          <w:vertAlign w:val="superscript"/>
          <w:lang w:bidi="ar"/>
        </w:rPr>
        <w:t>1,2</w:t>
      </w:r>
      <w:r>
        <w:rPr>
          <w:rFonts w:ascii="Arial" w:hAnsi="Arial" w:cs="Arial"/>
          <w:spacing w:val="15"/>
          <w:lang w:bidi="ar"/>
        </w:rPr>
        <w:t>, Jiaqi Han</w:t>
      </w:r>
      <w:r>
        <w:rPr>
          <w:rFonts w:ascii="Arial" w:hAnsi="Arial" w:cs="Arial"/>
          <w:spacing w:val="15"/>
          <w:vertAlign w:val="superscript"/>
          <w:lang w:bidi="ar"/>
        </w:rPr>
        <w:t>1</w:t>
      </w:r>
      <w:r>
        <w:rPr>
          <w:rFonts w:ascii="Arial" w:hAnsi="Arial" w:cs="Arial"/>
          <w:spacing w:val="15"/>
          <w:lang w:bidi="ar"/>
        </w:rPr>
        <w:t>, Jiamin Xu</w:t>
      </w:r>
      <w:r>
        <w:rPr>
          <w:rFonts w:ascii="Arial" w:hAnsi="Arial" w:cs="Arial"/>
          <w:spacing w:val="15"/>
          <w:vertAlign w:val="superscript"/>
          <w:lang w:bidi="ar"/>
        </w:rPr>
        <w:t>1</w:t>
      </w:r>
      <w:r>
        <w:rPr>
          <w:rFonts w:ascii="Arial" w:hAnsi="Arial" w:cs="Arial"/>
          <w:spacing w:val="15"/>
          <w:lang w:bidi="ar"/>
        </w:rPr>
        <w:t>, Ning Sun</w:t>
      </w:r>
      <w:r>
        <w:rPr>
          <w:rFonts w:ascii="Arial" w:hAnsi="Arial" w:cs="Arial"/>
          <w:spacing w:val="15"/>
          <w:vertAlign w:val="superscript"/>
          <w:lang w:bidi="ar"/>
        </w:rPr>
        <w:t>1</w:t>
      </w:r>
      <w:r>
        <w:rPr>
          <w:rFonts w:ascii="Arial" w:hAnsi="Arial" w:cs="Arial"/>
          <w:spacing w:val="15"/>
          <w:lang w:bidi="ar"/>
        </w:rPr>
        <w:t>, Huan He</w:t>
      </w:r>
      <w:r>
        <w:rPr>
          <w:rFonts w:ascii="Arial" w:hAnsi="Arial" w:cs="Arial"/>
          <w:spacing w:val="15"/>
          <w:vertAlign w:val="superscript"/>
          <w:lang w:bidi="ar"/>
        </w:rPr>
        <w:t>1</w:t>
      </w:r>
      <w:r>
        <w:rPr>
          <w:rFonts w:ascii="Arial" w:hAnsi="Arial" w:cs="Arial"/>
          <w:spacing w:val="15"/>
          <w:lang w:bidi="ar"/>
        </w:rPr>
        <w:t>, Changqing Yang</w:t>
      </w:r>
      <w:r>
        <w:rPr>
          <w:rFonts w:ascii="Arial" w:hAnsi="Arial" w:cs="Arial"/>
          <w:spacing w:val="15"/>
          <w:vertAlign w:val="superscript"/>
          <w:lang w:bidi="ar"/>
        </w:rPr>
        <w:t>2</w:t>
      </w:r>
      <w:r>
        <w:rPr>
          <w:rFonts w:ascii="Arial" w:hAnsi="Arial" w:cs="Arial"/>
          <w:spacing w:val="15"/>
          <w:lang w:bidi="ar"/>
        </w:rPr>
        <w:t>, Libo Zhao</w:t>
      </w:r>
      <w:r>
        <w:rPr>
          <w:rFonts w:ascii="Arial" w:hAnsi="Arial" w:cs="Arial"/>
          <w:spacing w:val="15"/>
          <w:vertAlign w:val="superscript"/>
          <w:lang w:bidi="ar"/>
        </w:rPr>
        <w:t>1</w:t>
      </w:r>
      <w:r>
        <w:rPr>
          <w:rFonts w:hint="eastAsia" w:ascii="Arial" w:hAnsi="Arial" w:cs="Arial"/>
          <w:spacing w:val="15"/>
          <w:vertAlign w:val="superscript"/>
          <w:lang w:bidi="ar"/>
        </w:rPr>
        <w:t>*</w:t>
      </w:r>
    </w:p>
    <w:p>
      <w:pPr>
        <w:pStyle w:val="2"/>
        <w:numPr>
          <w:ilvl w:val="255"/>
          <w:numId w:val="0"/>
        </w:numPr>
        <w:spacing w:line="480" w:lineRule="auto"/>
        <w:jc w:val="both"/>
        <w:rPr>
          <w:rFonts w:ascii="Arial" w:hAnsi="Arial" w:cs="Arial"/>
          <w:spacing w:val="15"/>
          <w:lang w:bidi="ar"/>
        </w:rPr>
      </w:pPr>
      <w:r>
        <w:rPr>
          <w:rFonts w:ascii="Arial" w:hAnsi="Arial" w:cs="Arial"/>
          <w:spacing w:val="15"/>
          <w:vertAlign w:val="superscript"/>
          <w:lang w:bidi="ar"/>
        </w:rPr>
        <w:t xml:space="preserve">1 </w:t>
      </w:r>
      <w:bookmarkStart w:id="3" w:name="OLE_LINK127"/>
      <w:r>
        <w:rPr>
          <w:rFonts w:ascii="Arial" w:hAnsi="Arial" w:cs="Arial"/>
          <w:spacing w:val="15"/>
          <w:lang w:bidi="ar"/>
        </w:rPr>
        <w:t xml:space="preserve">Clinical Research Center, Beijing Children’s Hospital, Capital Medical University, </w:t>
      </w:r>
      <w:r>
        <w:rPr>
          <w:rFonts w:ascii="Arial" w:hAnsi="Arial" w:cs="Arial"/>
        </w:rPr>
        <w:t>National Center for Children’s Health, Beijing</w:t>
      </w:r>
      <w:bookmarkEnd w:id="3"/>
      <w:r>
        <w:rPr>
          <w:rFonts w:ascii="Arial" w:hAnsi="Arial" w:cs="Arial"/>
        </w:rPr>
        <w:t>, 100045, China</w:t>
      </w:r>
    </w:p>
    <w:p>
      <w:pPr>
        <w:pStyle w:val="2"/>
        <w:numPr>
          <w:ilvl w:val="255"/>
          <w:numId w:val="0"/>
        </w:numPr>
        <w:spacing w:line="480" w:lineRule="auto"/>
        <w:jc w:val="both"/>
        <w:rPr>
          <w:rFonts w:ascii="Arial" w:hAnsi="Arial" w:cs="Arial"/>
          <w:spacing w:val="15"/>
          <w:lang w:bidi="ar"/>
        </w:rPr>
      </w:pPr>
      <w:r>
        <w:rPr>
          <w:rFonts w:ascii="Arial" w:hAnsi="Arial" w:cs="Arial"/>
          <w:spacing w:val="15"/>
          <w:vertAlign w:val="superscript"/>
          <w:lang w:bidi="ar"/>
        </w:rPr>
        <w:t>2</w:t>
      </w:r>
      <w:r>
        <w:rPr>
          <w:rFonts w:ascii="Arial" w:hAnsi="Arial" w:cs="Arial"/>
          <w:spacing w:val="15"/>
          <w:lang w:bidi="ar"/>
        </w:rPr>
        <w:t xml:space="preserve"> School of Basic Medicine and Clinical Pharmacy, China Pharmaceutical University, Nanjing, 211198, China</w:t>
      </w:r>
    </w:p>
    <w:p>
      <w:pPr>
        <w:pStyle w:val="2"/>
        <w:spacing w:line="480" w:lineRule="auto"/>
        <w:ind w:left="0"/>
        <w:jc w:val="both"/>
        <w:rPr>
          <w:rFonts w:ascii="Arial" w:hAnsi="Arial" w:cs="Arial"/>
          <w:spacing w:val="15"/>
          <w:lang w:bidi="ar"/>
        </w:rPr>
      </w:pPr>
      <w:r>
        <w:rPr>
          <w:rFonts w:ascii="Arial" w:hAnsi="Arial" w:cs="Arial"/>
          <w:spacing w:val="15"/>
          <w:lang w:bidi="ar"/>
        </w:rPr>
        <w:t xml:space="preserve">*Corresponding author at: Clinical Research Center, Beijing Children’s Hospital, Capital Medical University, National Center for Children’s Health, Beijing. </w:t>
      </w:r>
    </w:p>
    <w:p>
      <w:pPr>
        <w:pStyle w:val="2"/>
        <w:spacing w:line="480" w:lineRule="auto"/>
        <w:ind w:left="0"/>
        <w:jc w:val="both"/>
        <w:rPr>
          <w:rFonts w:ascii="Arial" w:hAnsi="Arial" w:cs="Arial"/>
          <w:spacing w:val="15"/>
          <w:lang w:bidi="ar"/>
        </w:rPr>
      </w:pPr>
      <w:r>
        <w:rPr>
          <w:rFonts w:ascii="Arial" w:hAnsi="Arial" w:cs="Arial"/>
          <w:spacing w:val="15"/>
          <w:lang w:bidi="ar"/>
        </w:rPr>
        <w:t>Tel:+86</w:t>
      </w:r>
      <w:r>
        <w:rPr>
          <w:rFonts w:hint="eastAsia" w:ascii="Arial" w:hAnsi="Arial" w:cs="Arial"/>
          <w:spacing w:val="15"/>
          <w:lang w:val="en-US" w:eastAsia="zh-CN" w:bidi="ar"/>
        </w:rPr>
        <w:t>-</w:t>
      </w:r>
      <w:r>
        <w:rPr>
          <w:rFonts w:hint="eastAsia" w:ascii="Arial" w:hAnsi="Arial" w:cs="Arial"/>
          <w:spacing w:val="15"/>
          <w:lang w:bidi="ar"/>
        </w:rPr>
        <w:t>010-59617018</w:t>
      </w:r>
      <w:r>
        <w:rPr>
          <w:rFonts w:ascii="Arial" w:hAnsi="Arial" w:cs="Arial"/>
          <w:spacing w:val="15"/>
          <w:lang w:bidi="ar"/>
        </w:rPr>
        <w:t>0.</w:t>
      </w:r>
    </w:p>
    <w:p>
      <w:pPr>
        <w:pStyle w:val="2"/>
        <w:spacing w:line="480" w:lineRule="auto"/>
        <w:ind w:left="0"/>
        <w:jc w:val="both"/>
        <w:rPr>
          <w:rFonts w:ascii="Arial" w:hAnsi="Arial" w:cs="Arial"/>
          <w:spacing w:val="15"/>
          <w:lang w:bidi="ar"/>
        </w:rPr>
      </w:pPr>
      <w:r>
        <w:rPr>
          <w:rFonts w:ascii="Arial" w:hAnsi="Arial" w:cs="Arial"/>
          <w:spacing w:val="15"/>
          <w:lang w:bidi="ar"/>
        </w:rPr>
        <w:t>E-mail addresses: libozhao2011@163.co</w:t>
      </w:r>
      <w:r>
        <w:rPr>
          <w:rFonts w:hint="eastAsia" w:ascii="Arial" w:hAnsi="Arial" w:cs="Arial"/>
          <w:spacing w:val="15"/>
          <w:lang w:val="en-US" w:eastAsia="zh-CN" w:bidi="ar"/>
        </w:rPr>
        <w:t>m</w:t>
      </w:r>
      <w:r>
        <w:rPr>
          <w:rFonts w:ascii="Arial" w:hAnsi="Arial" w:cs="Arial"/>
          <w:spacing w:val="15"/>
          <w:lang w:bidi="ar"/>
        </w:rPr>
        <w:t>.</w:t>
      </w:r>
    </w:p>
    <w:p>
      <w:pPr>
        <w:pStyle w:val="2"/>
        <w:numPr>
          <w:ilvl w:val="255"/>
          <w:numId w:val="0"/>
        </w:numPr>
        <w:spacing w:line="480" w:lineRule="auto"/>
        <w:jc w:val="both"/>
        <w:rPr>
          <w:rFonts w:ascii="Arial" w:hAnsi="Arial" w:cs="Arial"/>
          <w:spacing w:val="15"/>
          <w:lang w:bidi="ar"/>
        </w:rPr>
      </w:pPr>
      <w:r>
        <w:rPr>
          <w:rFonts w:ascii="Arial" w:hAnsi="Arial" w:cs="Arial"/>
          <w:spacing w:val="15"/>
          <w:lang w:bidi="ar"/>
        </w:rPr>
        <w:t>#These authors contributed equally to this work and should be considered as co-first authors.</w:t>
      </w:r>
    </w:p>
    <w:p>
      <w:pPr>
        <w:pStyle w:val="2"/>
        <w:numPr>
          <w:ilvl w:val="255"/>
          <w:numId w:val="0"/>
        </w:numPr>
        <w:spacing w:line="480" w:lineRule="auto"/>
        <w:jc w:val="both"/>
        <w:rPr>
          <w:rFonts w:ascii="Times New Roman" w:hAnsi="Times New Roman"/>
          <w:spacing w:val="15"/>
          <w:lang w:bidi="ar"/>
        </w:rPr>
      </w:pPr>
    </w:p>
    <w:p>
      <w:pPr>
        <w:pStyle w:val="2"/>
        <w:numPr>
          <w:ilvl w:val="255"/>
          <w:numId w:val="0"/>
        </w:numPr>
        <w:spacing w:line="480" w:lineRule="auto"/>
        <w:jc w:val="both"/>
        <w:rPr>
          <w:rFonts w:hint="eastAsia" w:ascii="Times New Roman" w:hAnsi="Times New Roman" w:eastAsia="宋体"/>
          <w:spacing w:val="15"/>
          <w:lang w:eastAsia="zh-CN" w:bidi="ar"/>
        </w:rPr>
      </w:pPr>
    </w:p>
    <w:p>
      <w:pPr>
        <w:pStyle w:val="2"/>
        <w:numPr>
          <w:ilvl w:val="255"/>
          <w:numId w:val="0"/>
        </w:numPr>
        <w:spacing w:line="480" w:lineRule="auto"/>
        <w:jc w:val="center"/>
        <w:rPr>
          <w:rFonts w:hint="eastAsia" w:ascii="Times New Roman" w:hAnsi="Times New Roman" w:eastAsia="宋体"/>
          <w:spacing w:val="15"/>
          <w:lang w:eastAsia="zh-CN" w:bidi="ar"/>
        </w:rPr>
      </w:pPr>
      <w:r>
        <w:rPr>
          <w:rFonts w:hint="eastAsia" w:ascii="Times New Roman" w:hAnsi="Times New Roman" w:eastAsia="宋体"/>
          <w:spacing w:val="15"/>
          <w:lang w:eastAsia="zh-CN" w:bidi="ar"/>
        </w:rPr>
        <w:drawing>
          <wp:inline distT="0" distB="0" distL="114300" distR="114300">
            <wp:extent cx="2879725" cy="2002790"/>
            <wp:effectExtent l="0" t="0" r="0" b="0"/>
            <wp:docPr id="2" name="图片 2" descr="Revised 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evised 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255"/>
          <w:numId w:val="0"/>
        </w:numPr>
        <w:spacing w:line="480" w:lineRule="auto"/>
        <w:jc w:val="both"/>
        <w:rPr>
          <w:rFonts w:hint="eastAsia" w:ascii="Times New Roman" w:hAnsi="Times New Roman" w:eastAsia="仿宋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1"/>
          <w:szCs w:val="24"/>
          <w:lang w:val="en-US" w:eastAsia="zh-CN" w:bidi="ar-SA"/>
        </w:rPr>
        <w:t>Figure S1: The drug release of 6-MP from nanomedicines and suspensions in PBS at pH 4.8.</w:t>
      </w:r>
    </w:p>
    <w:p>
      <w:pPr>
        <w:pStyle w:val="2"/>
        <w:numPr>
          <w:ilvl w:val="255"/>
          <w:numId w:val="0"/>
        </w:numPr>
        <w:spacing w:line="480" w:lineRule="auto"/>
        <w:jc w:val="both"/>
        <w:rPr>
          <w:rFonts w:hint="default" w:ascii="Times New Roman" w:hAnsi="Times New Roman" w:eastAsia="宋体" w:cs="Times New Roman"/>
          <w:spacing w:val="15"/>
          <w:lang w:eastAsia="zh-CN" w:bidi="ar"/>
        </w:rPr>
      </w:pPr>
    </w:p>
    <w:p>
      <w:pPr>
        <w:pStyle w:val="2"/>
        <w:numPr>
          <w:ilvl w:val="255"/>
          <w:numId w:val="0"/>
        </w:numPr>
        <w:spacing w:line="480" w:lineRule="auto"/>
        <w:jc w:val="both"/>
      </w:pPr>
      <w:r>
        <w:rPr>
          <w:rFonts w:hint="eastAsia" w:ascii="Times New Roman" w:hAnsi="Times New Roman" w:eastAsia="宋体"/>
          <w:spacing w:val="15"/>
          <w:lang w:eastAsia="zh-CN" w:bidi="ar"/>
        </w:rPr>
        <w:drawing>
          <wp:inline distT="0" distB="0" distL="114300" distR="114300">
            <wp:extent cx="4679950" cy="5119370"/>
            <wp:effectExtent l="0" t="0" r="6350" b="5080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51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bookmarkEnd w:id="2"/>
    </w:p>
    <w:p>
      <w:pPr>
        <w:keepNext w:val="0"/>
        <w:keepLines w:val="0"/>
        <w:pageBreakBefore w:val="0"/>
        <w:widowControl w:val="0"/>
        <w:tabs>
          <w:tab w:val="left" w:pos="30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仿宋" w:cs="Times New Roman"/>
        </w:rPr>
      </w:pPr>
      <w:bookmarkStart w:id="4" w:name="OLE_LINK1"/>
      <w:r>
        <w:rPr>
          <w:rFonts w:hint="eastAsia" w:ascii="Times New Roman" w:hAnsi="Times New Roman" w:eastAsia="仿宋" w:cs="Times New Roman"/>
        </w:rPr>
        <w:t>Fig</w:t>
      </w:r>
      <w:r>
        <w:rPr>
          <w:rFonts w:hint="eastAsia" w:ascii="Times New Roman" w:hAnsi="Times New Roman" w:eastAsia="仿宋" w:cs="Times New Roman"/>
          <w:lang w:val="en-US" w:eastAsia="zh-CN"/>
        </w:rPr>
        <w:t>ure</w:t>
      </w:r>
      <w:r>
        <w:rPr>
          <w:rFonts w:hint="eastAsia" w:ascii="Times New Roman" w:hAnsi="Times New Roman" w:eastAsia="仿宋" w:cs="Times New Roman"/>
        </w:rPr>
        <w:t xml:space="preserve"> S</w:t>
      </w:r>
      <w:r>
        <w:rPr>
          <w:rFonts w:hint="eastAsia" w:ascii="Times New Roman" w:hAnsi="Times New Roman" w:eastAsia="仿宋" w:cs="Times New Roman"/>
          <w:lang w:val="en-US" w:eastAsia="zh-CN"/>
        </w:rPr>
        <w:t>2:</w:t>
      </w:r>
      <w:r>
        <w:rPr>
          <w:rFonts w:ascii="Times New Roman" w:hAnsi="Times New Roman" w:eastAsia="仿宋" w:cs="Times New Roman"/>
        </w:rPr>
        <w:t xml:space="preserve"> The concentration of 6-MP, 6-MMP, 6-TG in heart</w:t>
      </w:r>
      <w:r>
        <w:rPr>
          <w:rFonts w:hint="eastAsia" w:ascii="Times New Roman" w:hAnsi="Times New Roman" w:eastAsia="仿宋" w:cs="Times New Roman"/>
        </w:rPr>
        <w:t xml:space="preserve"> </w:t>
      </w:r>
      <w:r>
        <w:rPr>
          <w:rFonts w:ascii="Times New Roman" w:hAnsi="Times New Roman" w:eastAsia="仿宋" w:cs="Times New Roman"/>
        </w:rPr>
        <w:t>(</w:t>
      </w:r>
      <w:r>
        <w:rPr>
          <w:rFonts w:hint="eastAsia" w:ascii="Times New Roman" w:hAnsi="Times New Roman" w:eastAsia="仿宋" w:cs="Times New Roman"/>
          <w:lang w:val="en-US" w:eastAsia="zh-CN"/>
        </w:rPr>
        <w:t>A</w:t>
      </w:r>
      <w:r>
        <w:rPr>
          <w:rFonts w:ascii="Times New Roman" w:hAnsi="Times New Roman" w:eastAsia="仿宋" w:cs="Times New Roman"/>
        </w:rPr>
        <w:t>-</w:t>
      </w:r>
      <w:r>
        <w:rPr>
          <w:rFonts w:hint="eastAsia" w:ascii="Times New Roman" w:hAnsi="Times New Roman" w:eastAsia="仿宋" w:cs="Times New Roman"/>
          <w:lang w:val="en-US" w:eastAsia="zh-CN"/>
        </w:rPr>
        <w:t>C</w:t>
      </w:r>
      <w:r>
        <w:rPr>
          <w:rFonts w:ascii="Times New Roman" w:hAnsi="Times New Roman" w:eastAsia="仿宋" w:cs="Times New Roman"/>
        </w:rPr>
        <w:t>),</w:t>
      </w:r>
      <w:r>
        <w:rPr>
          <w:rFonts w:hint="eastAsia" w:ascii="Times New Roman" w:hAnsi="Times New Roman" w:eastAsia="仿宋" w:cs="Times New Roman"/>
        </w:rPr>
        <w:t xml:space="preserve"> </w:t>
      </w:r>
      <w:r>
        <w:rPr>
          <w:rFonts w:ascii="Times New Roman" w:hAnsi="Times New Roman" w:eastAsia="仿宋" w:cs="Times New Roman"/>
        </w:rPr>
        <w:t>spleen</w:t>
      </w:r>
      <w:r>
        <w:rPr>
          <w:rFonts w:hint="eastAsia" w:ascii="Times New Roman" w:hAnsi="Times New Roman" w:eastAsia="仿宋" w:cs="Times New Roman"/>
        </w:rPr>
        <w:t xml:space="preserve"> </w:t>
      </w:r>
      <w:r>
        <w:rPr>
          <w:rFonts w:ascii="Times New Roman" w:hAnsi="Times New Roman" w:eastAsia="仿宋" w:cs="Times New Roman"/>
        </w:rPr>
        <w:t>(</w:t>
      </w:r>
      <w:r>
        <w:rPr>
          <w:rFonts w:hint="eastAsia" w:ascii="Times New Roman" w:hAnsi="Times New Roman" w:eastAsia="仿宋" w:cs="Times New Roman"/>
          <w:lang w:val="en-US" w:eastAsia="zh-CN"/>
        </w:rPr>
        <w:t>D</w:t>
      </w:r>
      <w:r>
        <w:rPr>
          <w:rFonts w:ascii="Times New Roman" w:hAnsi="Times New Roman" w:eastAsia="仿宋" w:cs="Times New Roman"/>
        </w:rPr>
        <w:t>-</w:t>
      </w:r>
      <w:r>
        <w:rPr>
          <w:rFonts w:hint="eastAsia" w:ascii="Times New Roman" w:hAnsi="Times New Roman" w:eastAsia="仿宋" w:cs="Times New Roman"/>
          <w:lang w:val="en-US" w:eastAsia="zh-CN"/>
        </w:rPr>
        <w:t>F</w:t>
      </w:r>
      <w:r>
        <w:rPr>
          <w:rFonts w:ascii="Times New Roman" w:hAnsi="Times New Roman" w:eastAsia="仿宋" w:cs="Times New Roman"/>
        </w:rPr>
        <w:t>),</w:t>
      </w:r>
      <w:r>
        <w:rPr>
          <w:rFonts w:hint="eastAsia" w:ascii="Times New Roman" w:hAnsi="Times New Roman" w:eastAsia="仿宋" w:cs="Times New Roman"/>
        </w:rPr>
        <w:t xml:space="preserve"> </w:t>
      </w:r>
      <w:r>
        <w:rPr>
          <w:rFonts w:ascii="Times New Roman" w:hAnsi="Times New Roman" w:eastAsia="仿宋" w:cs="Times New Roman"/>
        </w:rPr>
        <w:t>lung</w:t>
      </w:r>
      <w:r>
        <w:rPr>
          <w:rFonts w:hint="eastAsia" w:ascii="Times New Roman" w:hAnsi="Times New Roman" w:eastAsia="仿宋" w:cs="Times New Roman"/>
        </w:rPr>
        <w:t xml:space="preserve"> </w:t>
      </w:r>
      <w:r>
        <w:rPr>
          <w:rFonts w:ascii="Times New Roman" w:hAnsi="Times New Roman" w:eastAsia="仿宋" w:cs="Times New Roman"/>
        </w:rPr>
        <w:t>(</w:t>
      </w:r>
      <w:r>
        <w:rPr>
          <w:rFonts w:hint="eastAsia" w:ascii="Times New Roman" w:hAnsi="Times New Roman" w:eastAsia="仿宋" w:cs="Times New Roman"/>
          <w:lang w:val="en-US" w:eastAsia="zh-CN"/>
        </w:rPr>
        <w:t>G</w:t>
      </w:r>
      <w:r>
        <w:rPr>
          <w:rFonts w:ascii="Times New Roman" w:hAnsi="Times New Roman" w:eastAsia="仿宋" w:cs="Times New Roman"/>
        </w:rPr>
        <w:t>-</w:t>
      </w:r>
      <w:r>
        <w:rPr>
          <w:rFonts w:hint="eastAsia" w:ascii="Times New Roman" w:hAnsi="Times New Roman" w:eastAsia="仿宋" w:cs="Times New Roman"/>
          <w:lang w:val="en-US" w:eastAsia="zh-CN"/>
        </w:rPr>
        <w:t>I</w:t>
      </w:r>
      <w:r>
        <w:rPr>
          <w:rFonts w:ascii="Times New Roman" w:hAnsi="Times New Roman" w:eastAsia="仿宋" w:cs="Times New Roman"/>
        </w:rPr>
        <w:t>) and kidney (</w:t>
      </w:r>
      <w:r>
        <w:rPr>
          <w:rFonts w:hint="eastAsia" w:ascii="Times New Roman" w:hAnsi="Times New Roman" w:eastAsia="仿宋" w:cs="Times New Roman"/>
          <w:lang w:val="en-US" w:eastAsia="zh-CN"/>
        </w:rPr>
        <w:t>J</w:t>
      </w:r>
      <w:r>
        <w:rPr>
          <w:rFonts w:ascii="Times New Roman" w:hAnsi="Times New Roman" w:eastAsia="仿宋" w:cs="Times New Roman"/>
        </w:rPr>
        <w:t>-</w:t>
      </w:r>
      <w:r>
        <w:rPr>
          <w:rFonts w:hint="eastAsia" w:ascii="Times New Roman" w:hAnsi="Times New Roman" w:eastAsia="仿宋" w:cs="Times New Roman"/>
          <w:lang w:val="en-US" w:eastAsia="zh-CN"/>
        </w:rPr>
        <w:t>L</w:t>
      </w:r>
      <w:r>
        <w:rPr>
          <w:rFonts w:ascii="Times New Roman" w:hAnsi="Times New Roman" w:eastAsia="仿宋" w:cs="Times New Roman"/>
        </w:rPr>
        <w:t>)</w:t>
      </w:r>
      <w:r>
        <w:rPr>
          <w:rFonts w:hint="eastAsia" w:ascii="Times New Roman" w:hAnsi="Times New Roman" w:eastAsia="仿宋" w:cs="Times New Roman"/>
        </w:rPr>
        <w:t xml:space="preserve"> </w:t>
      </w:r>
      <w:r>
        <w:rPr>
          <w:rFonts w:ascii="Times New Roman" w:hAnsi="Times New Roman" w:eastAsia="仿宋" w:cs="Times New Roman"/>
        </w:rPr>
        <w:t>after treatment with 15.75</w:t>
      </w:r>
      <w:r>
        <w:rPr>
          <w:rFonts w:hint="eastAsia" w:ascii="Times New Roman" w:hAnsi="Times New Roman" w:eastAsia="仿宋" w:cs="Times New Roman"/>
        </w:rPr>
        <w:t xml:space="preserve"> </w:t>
      </w:r>
      <w:r>
        <w:rPr>
          <w:rFonts w:ascii="Times New Roman" w:hAnsi="Times New Roman" w:eastAsia="仿宋" w:cs="Times New Roman"/>
        </w:rPr>
        <w:t>mg/kg of</w:t>
      </w:r>
      <w:r>
        <w:rPr>
          <w:rFonts w:hint="eastAsia" w:ascii="Times New Roman" w:hAnsi="Times New Roman" w:eastAsia="仿宋" w:cs="Times New Roman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</w:rPr>
        <w:t xml:space="preserve">6-MPNs </w:t>
      </w:r>
      <w:r>
        <w:rPr>
          <w:rFonts w:hint="eastAsia" w:ascii="Times New Roman" w:hAnsi="Times New Roman" w:eastAsia="仿宋" w:cs="Times New Roman"/>
        </w:rPr>
        <w:t>or</w:t>
      </w:r>
      <w:r>
        <w:rPr>
          <w:rFonts w:ascii="Times New Roman" w:hAnsi="Times New Roman" w:eastAsia="仿宋" w:cs="Times New Roman"/>
        </w:rPr>
        <w:t xml:space="preserve"> 6-MP</w:t>
      </w:r>
      <w:r>
        <w:rPr>
          <w:rFonts w:hint="eastAsia" w:ascii="Times New Roman" w:hAnsi="Times New Roman" w:eastAsia="仿宋" w:cs="Times New Roman"/>
        </w:rPr>
        <w:t>C</w:t>
      </w:r>
      <w:r>
        <w:rPr>
          <w:rFonts w:ascii="Times New Roman" w:hAnsi="Times New Roman" w:eastAsia="仿宋" w:cs="Times New Roman"/>
        </w:rPr>
        <w:t>s</w:t>
      </w:r>
      <w:r>
        <w:rPr>
          <w:rFonts w:hint="eastAsia" w:ascii="Times New Roman" w:hAnsi="Times New Roman" w:eastAsia="仿宋" w:cs="Times New Roman"/>
        </w:rPr>
        <w:t xml:space="preserve"> in</w:t>
      </w:r>
      <w:r>
        <w:rPr>
          <w:rFonts w:ascii="Times New Roman" w:hAnsi="Times New Roman" w:eastAsia="仿宋" w:cs="Times New Roman"/>
        </w:rPr>
        <w:t xml:space="preserve"> </w:t>
      </w:r>
      <w:r>
        <w:rPr>
          <w:rFonts w:hint="eastAsia" w:ascii="Times New Roman" w:hAnsi="Times New Roman" w:eastAsia="仿宋" w:cs="Times New Roman"/>
        </w:rPr>
        <w:t>SD</w:t>
      </w:r>
      <w:r>
        <w:rPr>
          <w:rFonts w:ascii="Times New Roman" w:hAnsi="Times New Roman" w:eastAsia="仿宋" w:cs="Times New Roman"/>
        </w:rPr>
        <w:t xml:space="preserve"> rats</w:t>
      </w:r>
      <w:r>
        <w:rPr>
          <w:rFonts w:hint="eastAsia" w:ascii="Times New Roman" w:hAnsi="Times New Roman" w:eastAsia="仿宋" w:cs="Times New Roman"/>
        </w:rPr>
        <w:t xml:space="preserve"> </w:t>
      </w:r>
      <w:r>
        <w:rPr>
          <w:rFonts w:ascii="Times New Roman" w:hAnsi="Times New Roman" w:eastAsia="仿宋" w:cs="Times New Roman"/>
        </w:rPr>
        <w:t>(n</w:t>
      </w:r>
      <w:r>
        <w:rPr>
          <w:rFonts w:hint="eastAsia" w:ascii="Times New Roman" w:hAnsi="Times New Roman" w:eastAsia="仿宋" w:cs="Times New Roman"/>
        </w:rPr>
        <w:t xml:space="preserve"> </w:t>
      </w:r>
      <w:r>
        <w:rPr>
          <w:rFonts w:ascii="Times New Roman" w:hAnsi="Times New Roman" w:eastAsia="仿宋" w:cs="Times New Roman"/>
        </w:rPr>
        <w:t>=</w:t>
      </w:r>
      <w:r>
        <w:rPr>
          <w:rFonts w:hint="eastAsia" w:ascii="Times New Roman" w:hAnsi="Times New Roman" w:eastAsia="仿宋" w:cs="Times New Roman"/>
        </w:rPr>
        <w:t xml:space="preserve"> </w:t>
      </w:r>
      <w:r>
        <w:rPr>
          <w:rFonts w:ascii="Times New Roman" w:hAnsi="Times New Roman" w:eastAsia="仿宋" w:cs="Times New Roman"/>
        </w:rPr>
        <w:t>6).</w:t>
      </w:r>
      <w:bookmarkEnd w:id="4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4D"/>
    <w:rsid w:val="00855B4D"/>
    <w:rsid w:val="00D802B3"/>
    <w:rsid w:val="10807831"/>
    <w:rsid w:val="135E377F"/>
    <w:rsid w:val="137E24B3"/>
    <w:rsid w:val="16F37DE7"/>
    <w:rsid w:val="1AD542A8"/>
    <w:rsid w:val="208F4D2D"/>
    <w:rsid w:val="231B07F0"/>
    <w:rsid w:val="244901E8"/>
    <w:rsid w:val="24702A4C"/>
    <w:rsid w:val="35F60C1F"/>
    <w:rsid w:val="369234D7"/>
    <w:rsid w:val="3B585A75"/>
    <w:rsid w:val="434F2AB7"/>
    <w:rsid w:val="49901F3F"/>
    <w:rsid w:val="4D496E28"/>
    <w:rsid w:val="4E250442"/>
    <w:rsid w:val="5516101D"/>
    <w:rsid w:val="562649B6"/>
    <w:rsid w:val="5DB63EB6"/>
    <w:rsid w:val="635D211A"/>
    <w:rsid w:val="66D25DA8"/>
    <w:rsid w:val="6D2F3D0D"/>
    <w:rsid w:val="716E468B"/>
    <w:rsid w:val="73C65C0E"/>
    <w:rsid w:val="74C92BA4"/>
    <w:rsid w:val="758F1EB9"/>
    <w:rsid w:val="7DEA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00" w:afterAutospacing="1"/>
      <w:ind w:left="819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7">
    <w:name w:val="footnote reference"/>
    <w:basedOn w:val="6"/>
    <w:qFormat/>
    <w:uiPriority w:val="0"/>
    <w:rPr>
      <w:vertAlign w:val="superscript"/>
    </w:rPr>
  </w:style>
  <w:style w:type="character" w:customStyle="1" w:styleId="8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716</Characters>
  <Lines>5</Lines>
  <Paragraphs>1</Paragraphs>
  <TotalTime>0</TotalTime>
  <ScaleCrop>false</ScaleCrop>
  <LinksUpToDate>false</LinksUpToDate>
  <CharactersWithSpaces>840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Asusaa</dc:creator>
  <cp:lastModifiedBy>医院药学邹亚茹</cp:lastModifiedBy>
  <dcterms:modified xsi:type="dcterms:W3CDTF">2021-01-03T13:40:56Z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