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8C24" w14:textId="77777777" w:rsidR="008F1F8D" w:rsidRPr="008F1F8D" w:rsidRDefault="00A753F2" w:rsidP="008F1F8D">
      <w:pPr>
        <w:spacing w:line="480" w:lineRule="auto"/>
        <w:rPr>
          <w:rFonts w:ascii="Arial" w:hAnsi="Arial" w:cs="Arial"/>
          <w:b/>
          <w:noProof/>
          <w:u w:val="single"/>
          <w:lang w:val="en-US" w:eastAsia="de-DE"/>
        </w:rPr>
      </w:pPr>
      <w:r w:rsidRPr="008F1F8D">
        <w:rPr>
          <w:rFonts w:ascii="Arial" w:hAnsi="Arial" w:cs="Arial"/>
          <w:b/>
          <w:noProof/>
          <w:u w:val="single"/>
          <w:lang w:val="en-US" w:eastAsia="de-DE"/>
        </w:rPr>
        <w:t>Supplementary material</w:t>
      </w:r>
      <w:r w:rsidR="008F1F8D" w:rsidRPr="008F1F8D">
        <w:rPr>
          <w:rFonts w:ascii="Arial" w:hAnsi="Arial" w:cs="Arial"/>
          <w:b/>
          <w:noProof/>
          <w:u w:val="single"/>
          <w:lang w:val="en-US" w:eastAsia="de-DE"/>
        </w:rPr>
        <w:t>s</w:t>
      </w:r>
    </w:p>
    <w:p w14:paraId="69C1B9FD" w14:textId="77777777" w:rsidR="00A753F2" w:rsidRPr="003F3BD2" w:rsidRDefault="00A753F2">
      <w:pPr>
        <w:rPr>
          <w:rFonts w:ascii="Arial" w:hAnsi="Arial" w:cs="Arial"/>
          <w:lang w:val="en-US"/>
        </w:rPr>
      </w:pPr>
      <w:r w:rsidRPr="003F3BD2">
        <w:rPr>
          <w:rFonts w:ascii="Arial" w:hAnsi="Arial" w:cs="Arial"/>
          <w:b/>
          <w:lang w:val="en-US"/>
        </w:rPr>
        <w:t>Supplementary Table 1.</w:t>
      </w:r>
      <w:r w:rsidRPr="003F3BD2">
        <w:rPr>
          <w:rFonts w:ascii="Arial" w:hAnsi="Arial" w:cs="Arial"/>
          <w:lang w:val="en-US"/>
        </w:rPr>
        <w:t xml:space="preserve"> </w:t>
      </w:r>
      <w:r w:rsidR="00200564" w:rsidRPr="003F3BD2">
        <w:rPr>
          <w:rFonts w:ascii="Arial" w:eastAsia="Calibri" w:hAnsi="Arial" w:cs="Arial"/>
          <w:lang w:val="en-US"/>
        </w:rPr>
        <w:t xml:space="preserve">Baseline characteristics of study patients. </w:t>
      </w:r>
      <w:r w:rsidRPr="003F3BD2">
        <w:rPr>
          <w:rFonts w:ascii="Arial" w:hAnsi="Arial" w:cs="Arial"/>
          <w:highlight w:val="yellow"/>
          <w:lang w:val="en-US"/>
        </w:rPr>
        <w:t xml:space="preserve">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320"/>
        <w:gridCol w:w="2300"/>
        <w:gridCol w:w="2320"/>
      </w:tblGrid>
      <w:tr w:rsidR="003F3BD2" w:rsidRPr="003F3BD2" w14:paraId="36C66A21" w14:textId="77777777" w:rsidTr="00710EFA">
        <w:tc>
          <w:tcPr>
            <w:tcW w:w="2346" w:type="dxa"/>
          </w:tcPr>
          <w:p w14:paraId="48090B2E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2320" w:type="dxa"/>
          </w:tcPr>
          <w:p w14:paraId="1DFECF9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3F3BD2">
              <w:rPr>
                <w:rFonts w:ascii="Arial" w:eastAsia="Calibri" w:hAnsi="Arial" w:cs="Arial"/>
                <w:b/>
                <w:lang w:val="en-US"/>
              </w:rPr>
              <w:t>SR</w:t>
            </w:r>
          </w:p>
          <w:p w14:paraId="536F5CB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(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="006A254C" w:rsidRPr="003F3BD2">
              <w:rPr>
                <w:rFonts w:ascii="Arial" w:eastAsia="Calibri" w:hAnsi="Arial" w:cs="Arial"/>
                <w:i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=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10)</w:t>
            </w:r>
          </w:p>
        </w:tc>
        <w:tc>
          <w:tcPr>
            <w:tcW w:w="2300" w:type="dxa"/>
          </w:tcPr>
          <w:p w14:paraId="7245293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3F3BD2">
              <w:rPr>
                <w:rFonts w:ascii="Arial" w:eastAsia="Calibri" w:hAnsi="Arial" w:cs="Arial"/>
                <w:b/>
                <w:lang w:val="en-US"/>
              </w:rPr>
              <w:t>pAF</w:t>
            </w:r>
            <w:proofErr w:type="spellEnd"/>
          </w:p>
          <w:p w14:paraId="624B9838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(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="006A254C" w:rsidRPr="003F3BD2">
              <w:rPr>
                <w:rFonts w:ascii="Arial" w:eastAsia="Calibri" w:hAnsi="Arial" w:cs="Arial"/>
                <w:i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=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10)</w:t>
            </w:r>
          </w:p>
        </w:tc>
        <w:tc>
          <w:tcPr>
            <w:tcW w:w="2320" w:type="dxa"/>
          </w:tcPr>
          <w:p w14:paraId="091B89D1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n-US"/>
              </w:rPr>
            </w:pPr>
            <w:r w:rsidRPr="003F3BD2">
              <w:rPr>
                <w:rFonts w:ascii="Arial" w:eastAsia="Calibri" w:hAnsi="Arial" w:cs="Arial"/>
                <w:b/>
                <w:lang w:val="en-US"/>
              </w:rPr>
              <w:t>cAF</w:t>
            </w:r>
          </w:p>
          <w:p w14:paraId="0082D8DE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(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="006A254C" w:rsidRPr="003F3BD2">
              <w:rPr>
                <w:rFonts w:ascii="Arial" w:eastAsia="Calibri" w:hAnsi="Arial" w:cs="Arial"/>
                <w:i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=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10)</w:t>
            </w:r>
          </w:p>
        </w:tc>
      </w:tr>
      <w:tr w:rsidR="003F3BD2" w:rsidRPr="003F3BD2" w14:paraId="2A492A36" w14:textId="77777777" w:rsidTr="00710EFA">
        <w:tc>
          <w:tcPr>
            <w:tcW w:w="9286" w:type="dxa"/>
            <w:gridSpan w:val="4"/>
          </w:tcPr>
          <w:p w14:paraId="74E257A4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b/>
                <w:i/>
                <w:lang w:val="en-US"/>
              </w:rPr>
              <w:t>Demographics</w:t>
            </w:r>
          </w:p>
        </w:tc>
      </w:tr>
      <w:tr w:rsidR="003F3BD2" w:rsidRPr="003F3BD2" w14:paraId="224AE19C" w14:textId="77777777" w:rsidTr="00710EFA">
        <w:tc>
          <w:tcPr>
            <w:tcW w:w="2346" w:type="dxa"/>
          </w:tcPr>
          <w:p w14:paraId="53E5285E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Men,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  <w:vAlign w:val="bottom"/>
          </w:tcPr>
          <w:p w14:paraId="194A7452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  <w:tc>
          <w:tcPr>
            <w:tcW w:w="2300" w:type="dxa"/>
          </w:tcPr>
          <w:p w14:paraId="585D1CEB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6 (60)</w:t>
            </w:r>
          </w:p>
        </w:tc>
        <w:tc>
          <w:tcPr>
            <w:tcW w:w="2320" w:type="dxa"/>
            <w:vAlign w:val="bottom"/>
          </w:tcPr>
          <w:p w14:paraId="072B46E1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6 (60)</w:t>
            </w:r>
          </w:p>
        </w:tc>
      </w:tr>
      <w:tr w:rsidR="003F3BD2" w:rsidRPr="003F3BD2" w14:paraId="5B4AB671" w14:textId="77777777" w:rsidTr="00710EFA">
        <w:tc>
          <w:tcPr>
            <w:tcW w:w="2346" w:type="dxa"/>
          </w:tcPr>
          <w:p w14:paraId="2DBDD62B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Age, years</w:t>
            </w:r>
          </w:p>
        </w:tc>
        <w:tc>
          <w:tcPr>
            <w:tcW w:w="2320" w:type="dxa"/>
            <w:vAlign w:val="bottom"/>
          </w:tcPr>
          <w:p w14:paraId="66CE07CF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50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15</w:t>
            </w:r>
          </w:p>
        </w:tc>
        <w:tc>
          <w:tcPr>
            <w:tcW w:w="2300" w:type="dxa"/>
          </w:tcPr>
          <w:p w14:paraId="090E8863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52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12</w:t>
            </w:r>
          </w:p>
        </w:tc>
        <w:tc>
          <w:tcPr>
            <w:tcW w:w="2320" w:type="dxa"/>
            <w:vAlign w:val="bottom"/>
          </w:tcPr>
          <w:p w14:paraId="0D92FEEE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51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11</w:t>
            </w:r>
          </w:p>
        </w:tc>
      </w:tr>
      <w:tr w:rsidR="003F3BD2" w:rsidRPr="003F3BD2" w14:paraId="680B3093" w14:textId="77777777" w:rsidTr="00710EFA">
        <w:tc>
          <w:tcPr>
            <w:tcW w:w="2346" w:type="dxa"/>
          </w:tcPr>
          <w:p w14:paraId="5C45FFEA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Body mass index, kg/m²</w:t>
            </w:r>
          </w:p>
        </w:tc>
        <w:tc>
          <w:tcPr>
            <w:tcW w:w="2320" w:type="dxa"/>
            <w:vAlign w:val="bottom"/>
          </w:tcPr>
          <w:p w14:paraId="04779F4F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24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300" w:type="dxa"/>
          </w:tcPr>
          <w:p w14:paraId="7C27515E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</w:p>
          <w:p w14:paraId="0B6981C8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24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5</w:t>
            </w:r>
          </w:p>
        </w:tc>
        <w:tc>
          <w:tcPr>
            <w:tcW w:w="2320" w:type="dxa"/>
            <w:vAlign w:val="bottom"/>
          </w:tcPr>
          <w:p w14:paraId="69A4883B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24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5</w:t>
            </w:r>
          </w:p>
        </w:tc>
      </w:tr>
      <w:tr w:rsidR="003F3BD2" w:rsidRPr="003F3BD2" w14:paraId="68F8B6D4" w14:textId="77777777" w:rsidTr="00710EFA">
        <w:tc>
          <w:tcPr>
            <w:tcW w:w="9286" w:type="dxa"/>
            <w:gridSpan w:val="4"/>
          </w:tcPr>
          <w:p w14:paraId="10535BE2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b/>
                <w:i/>
                <w:lang w:val="en-US"/>
              </w:rPr>
              <w:t>Medical history</w:t>
            </w:r>
          </w:p>
        </w:tc>
      </w:tr>
      <w:tr w:rsidR="003F3BD2" w:rsidRPr="003F3BD2" w14:paraId="58B3CD1A" w14:textId="77777777" w:rsidTr="00710EFA">
        <w:tc>
          <w:tcPr>
            <w:tcW w:w="2346" w:type="dxa"/>
          </w:tcPr>
          <w:p w14:paraId="288AD908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CAD,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  <w:vAlign w:val="bottom"/>
          </w:tcPr>
          <w:p w14:paraId="71B4BE9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00" w:type="dxa"/>
          </w:tcPr>
          <w:p w14:paraId="3E010AB6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 (50)*</w:t>
            </w:r>
          </w:p>
        </w:tc>
        <w:tc>
          <w:tcPr>
            <w:tcW w:w="2320" w:type="dxa"/>
            <w:vAlign w:val="bottom"/>
          </w:tcPr>
          <w:p w14:paraId="4904D031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</w:tr>
      <w:tr w:rsidR="003F3BD2" w:rsidRPr="003F3BD2" w14:paraId="0490A686" w14:textId="77777777" w:rsidTr="00710EFA">
        <w:tc>
          <w:tcPr>
            <w:tcW w:w="2346" w:type="dxa"/>
          </w:tcPr>
          <w:p w14:paraId="04D04E78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AVD,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465EF3E9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 (20)</w:t>
            </w:r>
          </w:p>
        </w:tc>
        <w:tc>
          <w:tcPr>
            <w:tcW w:w="2300" w:type="dxa"/>
          </w:tcPr>
          <w:p w14:paraId="43C012D4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20" w:type="dxa"/>
          </w:tcPr>
          <w:p w14:paraId="3A9F190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</w:tr>
      <w:tr w:rsidR="003F3BD2" w:rsidRPr="003F3BD2" w14:paraId="023C950C" w14:textId="77777777" w:rsidTr="00710EFA">
        <w:tc>
          <w:tcPr>
            <w:tcW w:w="2346" w:type="dxa"/>
          </w:tcPr>
          <w:p w14:paraId="3C5108E5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MVD,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0BCF0519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9 (90)</w:t>
            </w:r>
          </w:p>
        </w:tc>
        <w:tc>
          <w:tcPr>
            <w:tcW w:w="2300" w:type="dxa"/>
          </w:tcPr>
          <w:p w14:paraId="200343A3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  <w:tc>
          <w:tcPr>
            <w:tcW w:w="2320" w:type="dxa"/>
          </w:tcPr>
          <w:p w14:paraId="3846767E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</w:tr>
      <w:tr w:rsidR="003F3BD2" w:rsidRPr="003F3BD2" w14:paraId="340E827E" w14:textId="77777777" w:rsidTr="00710EFA">
        <w:tc>
          <w:tcPr>
            <w:tcW w:w="2346" w:type="dxa"/>
          </w:tcPr>
          <w:p w14:paraId="692E9598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CAD + AVD,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3B2DD6D1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00" w:type="dxa"/>
          </w:tcPr>
          <w:p w14:paraId="6896DE4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  <w:tc>
          <w:tcPr>
            <w:tcW w:w="2320" w:type="dxa"/>
          </w:tcPr>
          <w:p w14:paraId="7EDB09A9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</w:tr>
      <w:tr w:rsidR="003F3BD2" w:rsidRPr="003F3BD2" w14:paraId="6A167D3F" w14:textId="77777777" w:rsidTr="00710EFA">
        <w:tc>
          <w:tcPr>
            <w:tcW w:w="2346" w:type="dxa"/>
          </w:tcPr>
          <w:p w14:paraId="2BB0FD68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ICM,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3FF64C42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00" w:type="dxa"/>
          </w:tcPr>
          <w:p w14:paraId="66D852C5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 (20)</w:t>
            </w:r>
          </w:p>
        </w:tc>
        <w:tc>
          <w:tcPr>
            <w:tcW w:w="2320" w:type="dxa"/>
          </w:tcPr>
          <w:p w14:paraId="13EC44C2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</w:tr>
      <w:tr w:rsidR="003F3BD2" w:rsidRPr="003F3BD2" w14:paraId="4D6ED59D" w14:textId="77777777" w:rsidTr="00710EFA">
        <w:tc>
          <w:tcPr>
            <w:tcW w:w="2346" w:type="dxa"/>
          </w:tcPr>
          <w:p w14:paraId="7BCFD19E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DCM,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6EA9A4A3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6 (60)</w:t>
            </w:r>
          </w:p>
        </w:tc>
        <w:tc>
          <w:tcPr>
            <w:tcW w:w="2300" w:type="dxa"/>
          </w:tcPr>
          <w:p w14:paraId="7D1E065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  <w:tc>
          <w:tcPr>
            <w:tcW w:w="2320" w:type="dxa"/>
          </w:tcPr>
          <w:p w14:paraId="03E6EF16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</w:tr>
      <w:tr w:rsidR="003F3BD2" w:rsidRPr="003F3BD2" w14:paraId="55DBE82B" w14:textId="77777777" w:rsidTr="00710EFA">
        <w:tc>
          <w:tcPr>
            <w:tcW w:w="2346" w:type="dxa"/>
          </w:tcPr>
          <w:p w14:paraId="3005D1D6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PPCM,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6A4FC48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00" w:type="dxa"/>
          </w:tcPr>
          <w:p w14:paraId="11324077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20" w:type="dxa"/>
          </w:tcPr>
          <w:p w14:paraId="4FDFC02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 (10)</w:t>
            </w:r>
          </w:p>
        </w:tc>
      </w:tr>
      <w:tr w:rsidR="003F3BD2" w:rsidRPr="003F3BD2" w14:paraId="5B18F418" w14:textId="77777777" w:rsidTr="00710EFA">
        <w:tc>
          <w:tcPr>
            <w:tcW w:w="2346" w:type="dxa"/>
          </w:tcPr>
          <w:p w14:paraId="70669C73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Amyloidosis,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2B8CD806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00" w:type="dxa"/>
          </w:tcPr>
          <w:p w14:paraId="5548158D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20" w:type="dxa"/>
          </w:tcPr>
          <w:p w14:paraId="496FA4F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 (20)</w:t>
            </w:r>
          </w:p>
        </w:tc>
      </w:tr>
      <w:tr w:rsidR="003F3BD2" w:rsidRPr="003F3BD2" w14:paraId="117B9831" w14:textId="77777777" w:rsidTr="00710EFA">
        <w:tc>
          <w:tcPr>
            <w:tcW w:w="2346" w:type="dxa"/>
          </w:tcPr>
          <w:p w14:paraId="67591E6C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Hypertension,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60F1100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00" w:type="dxa"/>
          </w:tcPr>
          <w:p w14:paraId="1B0144A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 (50)</w:t>
            </w:r>
          </w:p>
        </w:tc>
        <w:tc>
          <w:tcPr>
            <w:tcW w:w="2320" w:type="dxa"/>
          </w:tcPr>
          <w:p w14:paraId="1AB449B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</w:tr>
      <w:tr w:rsidR="003F3BD2" w:rsidRPr="003F3BD2" w14:paraId="798F1E6A" w14:textId="77777777" w:rsidTr="00710EFA">
        <w:tc>
          <w:tcPr>
            <w:tcW w:w="2346" w:type="dxa"/>
          </w:tcPr>
          <w:p w14:paraId="4D8A4C91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Diabetes,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 xml:space="preserve">n </w:t>
            </w:r>
            <w:r w:rsidRPr="003F3BD2">
              <w:rPr>
                <w:rFonts w:ascii="Arial" w:eastAsia="Calibri" w:hAnsi="Arial" w:cs="Arial"/>
                <w:lang w:val="en-US"/>
              </w:rPr>
              <w:t>(%)</w:t>
            </w:r>
          </w:p>
        </w:tc>
        <w:tc>
          <w:tcPr>
            <w:tcW w:w="2320" w:type="dxa"/>
          </w:tcPr>
          <w:p w14:paraId="4DA83C6E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00" w:type="dxa"/>
          </w:tcPr>
          <w:p w14:paraId="4A23151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 (50)</w:t>
            </w:r>
          </w:p>
        </w:tc>
        <w:tc>
          <w:tcPr>
            <w:tcW w:w="2320" w:type="dxa"/>
          </w:tcPr>
          <w:p w14:paraId="3EEBDD21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 (20)</w:t>
            </w:r>
          </w:p>
        </w:tc>
      </w:tr>
      <w:tr w:rsidR="003F3BD2" w:rsidRPr="003F3BD2" w14:paraId="33627A00" w14:textId="77777777" w:rsidTr="00710EFA">
        <w:tc>
          <w:tcPr>
            <w:tcW w:w="2346" w:type="dxa"/>
          </w:tcPr>
          <w:p w14:paraId="028ECA23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lastRenderedPageBreak/>
              <w:t xml:space="preserve">Hyperlipidemia,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3AED5D7B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  <w:tc>
          <w:tcPr>
            <w:tcW w:w="2300" w:type="dxa"/>
          </w:tcPr>
          <w:p w14:paraId="3F281D7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20" w:type="dxa"/>
          </w:tcPr>
          <w:p w14:paraId="00FE35C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</w:tr>
      <w:tr w:rsidR="003F3BD2" w:rsidRPr="003F3BD2" w14:paraId="65418484" w14:textId="77777777" w:rsidTr="00710EFA">
        <w:tc>
          <w:tcPr>
            <w:tcW w:w="9286" w:type="dxa"/>
            <w:gridSpan w:val="4"/>
          </w:tcPr>
          <w:p w14:paraId="63EF0FE4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b/>
                <w:i/>
                <w:lang w:val="en-US"/>
              </w:rPr>
              <w:t>Echocardiography</w:t>
            </w:r>
          </w:p>
        </w:tc>
      </w:tr>
      <w:tr w:rsidR="003F3BD2" w:rsidRPr="003F3BD2" w14:paraId="73E59073" w14:textId="77777777" w:rsidTr="00710EFA">
        <w:tc>
          <w:tcPr>
            <w:tcW w:w="2346" w:type="dxa"/>
          </w:tcPr>
          <w:p w14:paraId="1D85A6A7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LA size (mm)</w:t>
            </w:r>
          </w:p>
        </w:tc>
        <w:tc>
          <w:tcPr>
            <w:tcW w:w="2320" w:type="dxa"/>
            <w:vAlign w:val="bottom"/>
          </w:tcPr>
          <w:p w14:paraId="2B572152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47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300" w:type="dxa"/>
          </w:tcPr>
          <w:p w14:paraId="48A619A9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51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7</w:t>
            </w:r>
          </w:p>
        </w:tc>
        <w:tc>
          <w:tcPr>
            <w:tcW w:w="2320" w:type="dxa"/>
            <w:vAlign w:val="bottom"/>
          </w:tcPr>
          <w:p w14:paraId="27333E3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49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9</w:t>
            </w:r>
          </w:p>
        </w:tc>
      </w:tr>
      <w:tr w:rsidR="003F3BD2" w:rsidRPr="003F3BD2" w14:paraId="6BBD07F7" w14:textId="77777777" w:rsidTr="00710EFA">
        <w:tc>
          <w:tcPr>
            <w:tcW w:w="2346" w:type="dxa"/>
          </w:tcPr>
          <w:p w14:paraId="48E383E3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LVEF (%)</w:t>
            </w:r>
          </w:p>
        </w:tc>
        <w:tc>
          <w:tcPr>
            <w:tcW w:w="2320" w:type="dxa"/>
            <w:vAlign w:val="bottom"/>
          </w:tcPr>
          <w:p w14:paraId="5B477BE5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19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6</w:t>
            </w:r>
          </w:p>
        </w:tc>
        <w:tc>
          <w:tcPr>
            <w:tcW w:w="2300" w:type="dxa"/>
          </w:tcPr>
          <w:p w14:paraId="6068F7A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21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9</w:t>
            </w:r>
          </w:p>
        </w:tc>
        <w:tc>
          <w:tcPr>
            <w:tcW w:w="2320" w:type="dxa"/>
            <w:vAlign w:val="bottom"/>
          </w:tcPr>
          <w:p w14:paraId="35F0A37F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17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±</w:t>
            </w:r>
            <w:r w:rsidR="006A254C" w:rsidRPr="003F3BD2">
              <w:rPr>
                <w:rFonts w:ascii="Arial" w:eastAsia="Calibri" w:hAnsi="Arial" w:cs="Arial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lang w:val="en-US"/>
              </w:rPr>
              <w:t>9</w:t>
            </w:r>
          </w:p>
        </w:tc>
      </w:tr>
      <w:tr w:rsidR="003F3BD2" w:rsidRPr="003F3BD2" w14:paraId="44D3D60F" w14:textId="77777777" w:rsidTr="00710EFA">
        <w:tc>
          <w:tcPr>
            <w:tcW w:w="9286" w:type="dxa"/>
            <w:gridSpan w:val="4"/>
          </w:tcPr>
          <w:p w14:paraId="4DE77DD9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b/>
                <w:i/>
                <w:lang w:val="en-US"/>
              </w:rPr>
              <w:t>Medication</w:t>
            </w:r>
          </w:p>
        </w:tc>
      </w:tr>
      <w:tr w:rsidR="003F3BD2" w:rsidRPr="003F3BD2" w14:paraId="4BA84D46" w14:textId="77777777" w:rsidTr="00710EFA">
        <w:tc>
          <w:tcPr>
            <w:tcW w:w="2346" w:type="dxa"/>
          </w:tcPr>
          <w:p w14:paraId="0DC7CA54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Amiodarone,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44A9B9EE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00" w:type="dxa"/>
          </w:tcPr>
          <w:p w14:paraId="3E4EA8E4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  <w:tc>
          <w:tcPr>
            <w:tcW w:w="2320" w:type="dxa"/>
          </w:tcPr>
          <w:p w14:paraId="6AB20CF7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</w:tr>
      <w:tr w:rsidR="003F3BD2" w:rsidRPr="003F3BD2" w14:paraId="06AB35B7" w14:textId="77777777" w:rsidTr="00710EFA">
        <w:tc>
          <w:tcPr>
            <w:tcW w:w="2346" w:type="dxa"/>
          </w:tcPr>
          <w:p w14:paraId="12A965B4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Ivabradine,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07AF53C1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  <w:tc>
          <w:tcPr>
            <w:tcW w:w="2300" w:type="dxa"/>
          </w:tcPr>
          <w:p w14:paraId="6C2CD0C7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20" w:type="dxa"/>
          </w:tcPr>
          <w:p w14:paraId="0E524EF1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 (20)</w:t>
            </w:r>
          </w:p>
        </w:tc>
      </w:tr>
      <w:tr w:rsidR="003F3BD2" w:rsidRPr="003F3BD2" w14:paraId="64CBDE09" w14:textId="77777777" w:rsidTr="00710EFA">
        <w:tc>
          <w:tcPr>
            <w:tcW w:w="2346" w:type="dxa"/>
          </w:tcPr>
          <w:p w14:paraId="71386FDD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Digitalis,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1D286EF1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3 (30)</w:t>
            </w:r>
          </w:p>
        </w:tc>
        <w:tc>
          <w:tcPr>
            <w:tcW w:w="2300" w:type="dxa"/>
          </w:tcPr>
          <w:p w14:paraId="3334DE8E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5 (50)</w:t>
            </w:r>
          </w:p>
        </w:tc>
        <w:tc>
          <w:tcPr>
            <w:tcW w:w="2320" w:type="dxa"/>
          </w:tcPr>
          <w:p w14:paraId="0E4AC09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7 (70)</w:t>
            </w:r>
          </w:p>
        </w:tc>
      </w:tr>
      <w:tr w:rsidR="003F3BD2" w:rsidRPr="003F3BD2" w14:paraId="78B02DB9" w14:textId="77777777" w:rsidTr="00710EFA">
        <w:tc>
          <w:tcPr>
            <w:tcW w:w="2346" w:type="dxa"/>
          </w:tcPr>
          <w:p w14:paraId="7C11F667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ACE inhibitors,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5826C647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  <w:tc>
          <w:tcPr>
            <w:tcW w:w="2300" w:type="dxa"/>
          </w:tcPr>
          <w:p w14:paraId="62916B2E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6 (60)</w:t>
            </w:r>
          </w:p>
        </w:tc>
        <w:tc>
          <w:tcPr>
            <w:tcW w:w="2320" w:type="dxa"/>
          </w:tcPr>
          <w:p w14:paraId="7FC9B84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7 (70)</w:t>
            </w:r>
          </w:p>
        </w:tc>
      </w:tr>
      <w:tr w:rsidR="003F3BD2" w:rsidRPr="003F3BD2" w14:paraId="5AA419CD" w14:textId="77777777" w:rsidTr="00710EFA">
        <w:tc>
          <w:tcPr>
            <w:tcW w:w="2346" w:type="dxa"/>
          </w:tcPr>
          <w:p w14:paraId="19D704A0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AT1 blockers,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68D92FAF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 (10)</w:t>
            </w:r>
          </w:p>
        </w:tc>
        <w:tc>
          <w:tcPr>
            <w:tcW w:w="2300" w:type="dxa"/>
          </w:tcPr>
          <w:p w14:paraId="6F074A4D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2 (20)</w:t>
            </w:r>
          </w:p>
        </w:tc>
        <w:tc>
          <w:tcPr>
            <w:tcW w:w="2320" w:type="dxa"/>
          </w:tcPr>
          <w:p w14:paraId="05BA643D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 (10)</w:t>
            </w:r>
          </w:p>
        </w:tc>
      </w:tr>
      <w:tr w:rsidR="003F3BD2" w:rsidRPr="003F3BD2" w14:paraId="14219AEB" w14:textId="77777777" w:rsidTr="00710EFA">
        <w:tc>
          <w:tcPr>
            <w:tcW w:w="2346" w:type="dxa"/>
          </w:tcPr>
          <w:p w14:paraId="647EBCAA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3F3BD2">
              <w:rPr>
                <w:rFonts w:ascii="Arial" w:eastAsia="Calibri" w:hAnsi="Arial" w:cs="Arial"/>
                <w:lang w:val="en-US"/>
              </w:rPr>
              <w:t>Βeta</w:t>
            </w:r>
            <w:proofErr w:type="spellEnd"/>
            <w:r w:rsidRPr="003F3BD2">
              <w:rPr>
                <w:rFonts w:ascii="Arial" w:eastAsia="Calibri" w:hAnsi="Arial" w:cs="Arial"/>
                <w:lang w:val="en-US"/>
              </w:rPr>
              <w:t xml:space="preserve">-blockers,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6D18B4E0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9 (90)</w:t>
            </w:r>
          </w:p>
        </w:tc>
        <w:tc>
          <w:tcPr>
            <w:tcW w:w="2300" w:type="dxa"/>
          </w:tcPr>
          <w:p w14:paraId="67DFDD86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10 (100)</w:t>
            </w:r>
          </w:p>
        </w:tc>
        <w:tc>
          <w:tcPr>
            <w:tcW w:w="2320" w:type="dxa"/>
          </w:tcPr>
          <w:p w14:paraId="12424A1B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</w:tr>
      <w:tr w:rsidR="003F3BD2" w:rsidRPr="003F3BD2" w14:paraId="5199AA8A" w14:textId="77777777" w:rsidTr="00710EFA">
        <w:tc>
          <w:tcPr>
            <w:tcW w:w="2346" w:type="dxa"/>
          </w:tcPr>
          <w:p w14:paraId="6840EA2F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Diuretics,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1D64EB7C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9 (90)</w:t>
            </w:r>
          </w:p>
        </w:tc>
        <w:tc>
          <w:tcPr>
            <w:tcW w:w="2300" w:type="dxa"/>
          </w:tcPr>
          <w:p w14:paraId="43AAC8CA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10 (100)</w:t>
            </w:r>
          </w:p>
        </w:tc>
        <w:tc>
          <w:tcPr>
            <w:tcW w:w="2320" w:type="dxa"/>
          </w:tcPr>
          <w:p w14:paraId="09E5D7EF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10 (100)</w:t>
            </w:r>
          </w:p>
        </w:tc>
      </w:tr>
      <w:tr w:rsidR="003F3BD2" w:rsidRPr="003F3BD2" w14:paraId="78D22F41" w14:textId="77777777" w:rsidTr="00710EFA">
        <w:tc>
          <w:tcPr>
            <w:tcW w:w="2346" w:type="dxa"/>
          </w:tcPr>
          <w:p w14:paraId="0F304B40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Nitrates,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4AC384EE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00" w:type="dxa"/>
          </w:tcPr>
          <w:p w14:paraId="49CF7E85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  <w:tc>
          <w:tcPr>
            <w:tcW w:w="2320" w:type="dxa"/>
          </w:tcPr>
          <w:p w14:paraId="383588E9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0 (0)</w:t>
            </w:r>
          </w:p>
        </w:tc>
      </w:tr>
      <w:tr w:rsidR="003F3BD2" w:rsidRPr="003F3BD2" w14:paraId="42F62F8B" w14:textId="77777777" w:rsidTr="00710EFA">
        <w:tc>
          <w:tcPr>
            <w:tcW w:w="2346" w:type="dxa"/>
          </w:tcPr>
          <w:p w14:paraId="326BBDEF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 xml:space="preserve">Lipid-lowering drugs,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6A625443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6 (60)</w:t>
            </w:r>
          </w:p>
        </w:tc>
        <w:tc>
          <w:tcPr>
            <w:tcW w:w="2300" w:type="dxa"/>
          </w:tcPr>
          <w:p w14:paraId="59477165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  <w:tc>
          <w:tcPr>
            <w:tcW w:w="2320" w:type="dxa"/>
          </w:tcPr>
          <w:p w14:paraId="24D60E7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4 (40)</w:t>
            </w:r>
          </w:p>
        </w:tc>
      </w:tr>
      <w:tr w:rsidR="003F3BD2" w:rsidRPr="003F3BD2" w14:paraId="1806D481" w14:textId="77777777" w:rsidTr="00710EFA">
        <w:tc>
          <w:tcPr>
            <w:tcW w:w="2346" w:type="dxa"/>
          </w:tcPr>
          <w:p w14:paraId="798ABD70" w14:textId="77777777" w:rsidR="00200564" w:rsidRPr="003F3BD2" w:rsidRDefault="00200564" w:rsidP="00200564">
            <w:pPr>
              <w:spacing w:line="480" w:lineRule="auto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OAC,</w:t>
            </w:r>
            <w:r w:rsidRPr="003F3BD2">
              <w:rPr>
                <w:rFonts w:ascii="Arial" w:eastAsia="Calibri" w:hAnsi="Arial" w:cs="Arial"/>
                <w:vertAlign w:val="superscript"/>
                <w:lang w:val="en-US"/>
              </w:rPr>
              <w:t xml:space="preserve"> </w:t>
            </w:r>
            <w:r w:rsidRPr="003F3BD2">
              <w:rPr>
                <w:rFonts w:ascii="Arial" w:eastAsia="Calibri" w:hAnsi="Arial" w:cs="Arial"/>
                <w:i/>
                <w:lang w:val="en-US"/>
              </w:rPr>
              <w:t>n</w:t>
            </w:r>
            <w:r w:rsidRPr="003F3BD2">
              <w:rPr>
                <w:rFonts w:ascii="Arial" w:eastAsia="Calibri" w:hAnsi="Arial" w:cs="Arial"/>
                <w:lang w:val="en-US"/>
              </w:rPr>
              <w:t xml:space="preserve"> (%)</w:t>
            </w:r>
          </w:p>
        </w:tc>
        <w:tc>
          <w:tcPr>
            <w:tcW w:w="2320" w:type="dxa"/>
          </w:tcPr>
          <w:p w14:paraId="5A9258A3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8 (80)</w:t>
            </w:r>
          </w:p>
        </w:tc>
        <w:tc>
          <w:tcPr>
            <w:tcW w:w="2300" w:type="dxa"/>
          </w:tcPr>
          <w:p w14:paraId="3B5F553C" w14:textId="77777777" w:rsidR="00200564" w:rsidRPr="003F3BD2" w:rsidRDefault="00200564" w:rsidP="00200564">
            <w:pPr>
              <w:spacing w:before="100" w:beforeAutospacing="1" w:after="100" w:afterAutospacing="1"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7 (70)</w:t>
            </w:r>
          </w:p>
        </w:tc>
        <w:tc>
          <w:tcPr>
            <w:tcW w:w="2320" w:type="dxa"/>
          </w:tcPr>
          <w:p w14:paraId="5355A77A" w14:textId="77777777" w:rsidR="00200564" w:rsidRPr="003F3BD2" w:rsidRDefault="00200564" w:rsidP="00200564">
            <w:pPr>
              <w:spacing w:line="48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F3BD2">
              <w:rPr>
                <w:rFonts w:ascii="Arial" w:eastAsia="Calibri" w:hAnsi="Arial" w:cs="Arial"/>
                <w:lang w:val="en-US"/>
              </w:rPr>
              <w:t>6 (60)</w:t>
            </w:r>
          </w:p>
        </w:tc>
      </w:tr>
    </w:tbl>
    <w:p w14:paraId="591322E4" w14:textId="77777777" w:rsidR="00200564" w:rsidRPr="003F3BD2" w:rsidRDefault="00200564" w:rsidP="00200564">
      <w:pPr>
        <w:spacing w:line="480" w:lineRule="auto"/>
        <w:rPr>
          <w:rFonts w:ascii="Arial" w:eastAsia="Calibri" w:hAnsi="Arial" w:cs="Arial"/>
          <w:b/>
          <w:lang w:val="en-US"/>
        </w:rPr>
      </w:pPr>
      <w:r w:rsidRPr="003F3BD2">
        <w:rPr>
          <w:rFonts w:ascii="Arial" w:eastAsia="Calibri" w:hAnsi="Arial" w:cs="Arial"/>
          <w:b/>
          <w:lang w:val="en-US"/>
        </w:rPr>
        <w:t xml:space="preserve"> </w:t>
      </w:r>
    </w:p>
    <w:p w14:paraId="4E2E705A" w14:textId="77777777" w:rsidR="00200564" w:rsidRPr="003F3BD2" w:rsidRDefault="00200564" w:rsidP="00356AFB">
      <w:pPr>
        <w:spacing w:line="480" w:lineRule="auto"/>
        <w:jc w:val="both"/>
        <w:rPr>
          <w:rFonts w:ascii="Arial" w:eastAsia="Calibri" w:hAnsi="Arial" w:cs="Arial"/>
          <w:lang w:val="en-US"/>
        </w:rPr>
      </w:pPr>
      <w:bookmarkStart w:id="0" w:name="_Hlk65255472"/>
      <w:r w:rsidRPr="003F3BD2">
        <w:rPr>
          <w:rFonts w:ascii="Arial" w:eastAsia="Calibri" w:hAnsi="Arial" w:cs="Arial"/>
          <w:lang w:val="en-US"/>
        </w:rPr>
        <w:t xml:space="preserve">Please note that patient characteristics </w:t>
      </w:r>
      <w:r w:rsidR="003F4574" w:rsidRPr="003F3BD2">
        <w:rPr>
          <w:rFonts w:ascii="Arial" w:eastAsia="Calibri" w:hAnsi="Arial" w:cs="Arial"/>
          <w:lang w:val="en-US"/>
        </w:rPr>
        <w:t>have been published previously</w:t>
      </w:r>
      <w:r w:rsidRPr="003F3BD2">
        <w:rPr>
          <w:rFonts w:ascii="Arial" w:eastAsia="Calibri" w:hAnsi="Arial" w:cs="Arial"/>
          <w:lang w:val="en-US"/>
        </w:rPr>
        <w:t>.</w:t>
      </w:r>
      <w:r w:rsidR="00946849" w:rsidRPr="003F3BD2">
        <w:rPr>
          <w:rFonts w:ascii="Arial" w:eastAsia="Calibri" w:hAnsi="Arial" w:cs="Arial"/>
          <w:vertAlign w:val="superscript"/>
          <w:lang w:val="en-US"/>
        </w:rPr>
        <w:t>1</w:t>
      </w:r>
      <w:r w:rsidR="004F3C7C" w:rsidRPr="003F3BD2">
        <w:rPr>
          <w:rFonts w:ascii="Arial" w:eastAsia="Calibri" w:hAnsi="Arial" w:cs="Arial"/>
          <w:vertAlign w:val="superscript"/>
          <w:lang w:val="en-US"/>
        </w:rPr>
        <w:t>-</w:t>
      </w:r>
      <w:r w:rsidR="00B151E5" w:rsidRPr="003F3BD2">
        <w:rPr>
          <w:rFonts w:ascii="Arial" w:eastAsia="Calibri" w:hAnsi="Arial" w:cs="Arial"/>
          <w:vertAlign w:val="superscript"/>
          <w:lang w:val="en-US"/>
        </w:rPr>
        <w:t>4</w:t>
      </w:r>
      <w:r w:rsidRPr="003F3BD2">
        <w:rPr>
          <w:rFonts w:ascii="Arial" w:eastAsia="Calibri" w:hAnsi="Arial" w:cs="Arial"/>
          <w:lang w:val="en-US"/>
        </w:rPr>
        <w:t xml:space="preserve"> </w:t>
      </w:r>
      <w:bookmarkEnd w:id="0"/>
      <w:r w:rsidRPr="003F3BD2">
        <w:rPr>
          <w:rFonts w:ascii="Arial" w:eastAsia="Calibri" w:hAnsi="Arial" w:cs="Arial"/>
          <w:lang w:val="en-US"/>
        </w:rPr>
        <w:t>ACE indicates angiotensin converting enzyme; AT, angiotensin receptor; AVD, aortic valve disease; CAD, coronary artery disease</w:t>
      </w:r>
      <w:r w:rsidR="002B3F67" w:rsidRPr="003F3BD2">
        <w:rPr>
          <w:rFonts w:ascii="Arial" w:eastAsia="Calibri" w:hAnsi="Arial" w:cs="Arial"/>
          <w:lang w:val="en-US"/>
        </w:rPr>
        <w:t xml:space="preserve"> (</w:t>
      </w:r>
      <w:r w:rsidR="00D84401" w:rsidRPr="003F3BD2">
        <w:rPr>
          <w:rFonts w:ascii="Arial" w:eastAsia="Calibri" w:hAnsi="Arial" w:cs="Arial"/>
          <w:lang w:val="en-US"/>
        </w:rPr>
        <w:t>non-obstructive</w:t>
      </w:r>
      <w:r w:rsidR="002B3F67" w:rsidRPr="003F3BD2">
        <w:rPr>
          <w:rFonts w:ascii="Arial" w:eastAsia="Calibri" w:hAnsi="Arial" w:cs="Arial"/>
          <w:lang w:val="en-US"/>
        </w:rPr>
        <w:t xml:space="preserve"> concomitant CAD, not explaining severe LVEF reduction)</w:t>
      </w:r>
      <w:r w:rsidRPr="003F3BD2">
        <w:rPr>
          <w:rFonts w:ascii="Arial" w:eastAsia="Calibri" w:hAnsi="Arial" w:cs="Arial"/>
          <w:lang w:val="en-US"/>
        </w:rPr>
        <w:t>; cAF, chronic atrial fibrillation; DCM, dilated cardiomyopathy; ICM, ischemic cardiomyopathy</w:t>
      </w:r>
      <w:r w:rsidR="002B3F67" w:rsidRPr="003F3BD2">
        <w:rPr>
          <w:rFonts w:ascii="Arial" w:eastAsia="Calibri" w:hAnsi="Arial" w:cs="Arial"/>
          <w:lang w:val="en-US"/>
        </w:rPr>
        <w:t xml:space="preserve"> (including severe CAD)</w:t>
      </w:r>
      <w:r w:rsidRPr="003F3BD2">
        <w:rPr>
          <w:rFonts w:ascii="Arial" w:eastAsia="Calibri" w:hAnsi="Arial" w:cs="Arial"/>
          <w:lang w:val="en-US"/>
        </w:rPr>
        <w:t xml:space="preserve">; LA, left atrial; LVEF, left ventricular ejection fraction; MVD, mitral valve disease; OAC, oral anticoagulation; </w:t>
      </w:r>
      <w:proofErr w:type="spellStart"/>
      <w:r w:rsidRPr="003F3BD2">
        <w:rPr>
          <w:rFonts w:ascii="Arial" w:eastAsia="Calibri" w:hAnsi="Arial" w:cs="Arial"/>
          <w:lang w:val="en-US"/>
        </w:rPr>
        <w:t>pAF</w:t>
      </w:r>
      <w:proofErr w:type="spellEnd"/>
      <w:r w:rsidRPr="003F3BD2">
        <w:rPr>
          <w:rFonts w:ascii="Arial" w:eastAsia="Calibri" w:hAnsi="Arial" w:cs="Arial"/>
          <w:lang w:val="en-US"/>
        </w:rPr>
        <w:t xml:space="preserve">, paroxysmal atrial fibrillation; PPCM, peripartum cardiomyopathy; SR, sinus rhythm. Statistical comparisons between </w:t>
      </w:r>
      <w:proofErr w:type="spellStart"/>
      <w:r w:rsidRPr="003F3BD2">
        <w:rPr>
          <w:rFonts w:ascii="Arial" w:eastAsia="Calibri" w:hAnsi="Arial" w:cs="Arial"/>
          <w:lang w:val="en-US"/>
        </w:rPr>
        <w:t>pAF</w:t>
      </w:r>
      <w:proofErr w:type="spellEnd"/>
      <w:r w:rsidRPr="003F3BD2">
        <w:rPr>
          <w:rFonts w:ascii="Arial" w:eastAsia="Calibri" w:hAnsi="Arial" w:cs="Arial"/>
          <w:lang w:val="en-US"/>
        </w:rPr>
        <w:t xml:space="preserve"> / </w:t>
      </w:r>
      <w:proofErr w:type="spellStart"/>
      <w:r w:rsidRPr="003F3BD2">
        <w:rPr>
          <w:rFonts w:ascii="Arial" w:eastAsia="Calibri" w:hAnsi="Arial" w:cs="Arial"/>
          <w:lang w:val="en-US"/>
        </w:rPr>
        <w:t>cAF</w:t>
      </w:r>
      <w:proofErr w:type="spellEnd"/>
      <w:r w:rsidRPr="003F3BD2">
        <w:rPr>
          <w:rFonts w:ascii="Arial" w:eastAsia="Calibri" w:hAnsi="Arial" w:cs="Arial"/>
          <w:lang w:val="en-US"/>
        </w:rPr>
        <w:t xml:space="preserve"> </w:t>
      </w:r>
      <w:r w:rsidRPr="003F3BD2">
        <w:rPr>
          <w:rFonts w:ascii="Arial" w:eastAsia="Calibri" w:hAnsi="Arial" w:cs="Arial"/>
          <w:i/>
          <w:lang w:val="en-US"/>
        </w:rPr>
        <w:t xml:space="preserve">versus </w:t>
      </w:r>
      <w:r w:rsidRPr="003F3BD2">
        <w:rPr>
          <w:rFonts w:ascii="Arial" w:eastAsia="Calibri" w:hAnsi="Arial" w:cs="Arial"/>
          <w:lang w:val="en-US"/>
        </w:rPr>
        <w:t>SR groups were performed using ANOVA followed by Bonferroni correction for continuous variables and chi-square tests for categorical variables; *</w:t>
      </w:r>
      <w:r w:rsidRPr="003F3BD2">
        <w:rPr>
          <w:rFonts w:ascii="Arial" w:eastAsia="Calibri" w:hAnsi="Arial" w:cs="Arial"/>
          <w:i/>
          <w:lang w:val="en-US"/>
        </w:rPr>
        <w:t>P</w:t>
      </w:r>
      <w:r w:rsidRPr="003F3BD2">
        <w:rPr>
          <w:rFonts w:ascii="Arial" w:eastAsia="Calibri" w:hAnsi="Arial" w:cs="Arial"/>
          <w:lang w:val="en-US"/>
        </w:rPr>
        <w:t xml:space="preserve">&lt;0.05 </w:t>
      </w:r>
      <w:r w:rsidRPr="003F3BD2">
        <w:rPr>
          <w:rFonts w:ascii="Arial" w:eastAsia="Calibri" w:hAnsi="Arial" w:cs="Arial"/>
          <w:i/>
          <w:lang w:val="en-US"/>
        </w:rPr>
        <w:t xml:space="preserve">versus </w:t>
      </w:r>
      <w:r w:rsidRPr="003F3BD2">
        <w:rPr>
          <w:rFonts w:ascii="Arial" w:eastAsia="Calibri" w:hAnsi="Arial" w:cs="Arial"/>
          <w:lang w:val="en-US"/>
        </w:rPr>
        <w:t xml:space="preserve">SR. </w:t>
      </w:r>
    </w:p>
    <w:p w14:paraId="6698F945" w14:textId="77777777" w:rsidR="00020205" w:rsidRPr="003F3BD2" w:rsidRDefault="00020205" w:rsidP="00020205">
      <w:pPr>
        <w:spacing w:line="480" w:lineRule="auto"/>
        <w:jc w:val="both"/>
        <w:rPr>
          <w:rStyle w:val="normaltextrun"/>
          <w:rFonts w:ascii="Arial" w:eastAsia="Times New Roman" w:hAnsi="Arial" w:cs="Arial"/>
          <w:lang w:val="en-US" w:eastAsia="de-DE"/>
        </w:rPr>
      </w:pPr>
    </w:p>
    <w:p w14:paraId="159FBE56" w14:textId="77777777" w:rsidR="003E5184" w:rsidRPr="003F3BD2" w:rsidRDefault="003E5184" w:rsidP="00020205">
      <w:pPr>
        <w:pageBreakBefore/>
        <w:spacing w:line="480" w:lineRule="auto"/>
        <w:jc w:val="both"/>
        <w:rPr>
          <w:rFonts w:ascii="Arial" w:hAnsi="Arial" w:cs="Arial"/>
          <w:shd w:val="clear" w:color="auto" w:fill="FFFFFF"/>
          <w:lang w:val="en-US"/>
        </w:rPr>
      </w:pPr>
      <w:r w:rsidRPr="003F3BD2">
        <w:rPr>
          <w:rFonts w:ascii="Arial" w:hAnsi="Arial" w:cs="Arial"/>
          <w:b/>
          <w:shd w:val="clear" w:color="auto" w:fill="FFFFFF"/>
          <w:lang w:val="en-US"/>
        </w:rPr>
        <w:t xml:space="preserve">Supplementary Table 2. </w:t>
      </w:r>
      <w:r w:rsidRPr="003F3BD2">
        <w:rPr>
          <w:rFonts w:ascii="Arial" w:hAnsi="Arial" w:cs="Arial"/>
          <w:shd w:val="clear" w:color="auto" w:fill="FFFFFF"/>
          <w:lang w:val="en-US"/>
        </w:rPr>
        <w:t xml:space="preserve">Short Tandem Repeat (STR) profiling of HL-1 cells.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1873"/>
        <w:gridCol w:w="1858"/>
        <w:gridCol w:w="1843"/>
        <w:gridCol w:w="1837"/>
      </w:tblGrid>
      <w:tr w:rsidR="003F3BD2" w:rsidRPr="003F3BD2" w14:paraId="653D5B8B" w14:textId="77777777" w:rsidTr="003E5184">
        <w:tc>
          <w:tcPr>
            <w:tcW w:w="1649" w:type="dxa"/>
          </w:tcPr>
          <w:p w14:paraId="2C559CCB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b/>
                <w:sz w:val="24"/>
                <w:szCs w:val="24"/>
                <w:lang w:val="en-US"/>
              </w:rPr>
              <w:t>Locus</w:t>
            </w:r>
          </w:p>
        </w:tc>
        <w:tc>
          <w:tcPr>
            <w:tcW w:w="3731" w:type="dxa"/>
            <w:gridSpan w:val="2"/>
          </w:tcPr>
          <w:p w14:paraId="6B6CF062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HL-1 cells used in this study, obtained from Dr. </w:t>
            </w:r>
            <w:proofErr w:type="spellStart"/>
            <w:r w:rsidRPr="003F3BD2">
              <w:rPr>
                <w:rFonts w:ascii="Arial" w:hAnsi="Arial" w:cs="Arial"/>
                <w:b/>
                <w:sz w:val="24"/>
                <w:szCs w:val="24"/>
                <w:lang w:val="en-US"/>
              </w:rPr>
              <w:t>Claycomb</w:t>
            </w:r>
            <w:proofErr w:type="spellEnd"/>
            <w:r w:rsidRPr="003F3BD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(ID: musa0873)</w:t>
            </w:r>
          </w:p>
        </w:tc>
        <w:tc>
          <w:tcPr>
            <w:tcW w:w="3680" w:type="dxa"/>
            <w:gridSpan w:val="2"/>
          </w:tcPr>
          <w:p w14:paraId="4D4EDB3C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b/>
                <w:sz w:val="24"/>
                <w:szCs w:val="24"/>
                <w:lang w:val="en-US"/>
              </w:rPr>
              <w:t>HL-1 cells commercially available at Sigma-Aldrich (ID: musa0874)</w:t>
            </w:r>
          </w:p>
        </w:tc>
      </w:tr>
      <w:tr w:rsidR="003F3BD2" w:rsidRPr="003F3BD2" w14:paraId="0432B783" w14:textId="77777777" w:rsidTr="003E5184">
        <w:tc>
          <w:tcPr>
            <w:tcW w:w="1649" w:type="dxa"/>
          </w:tcPr>
          <w:p w14:paraId="7DEDE00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18-3</w:t>
            </w:r>
          </w:p>
        </w:tc>
        <w:tc>
          <w:tcPr>
            <w:tcW w:w="1873" w:type="dxa"/>
          </w:tcPr>
          <w:p w14:paraId="29B8420A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58" w:type="dxa"/>
          </w:tcPr>
          <w:p w14:paraId="1CCA36DA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4A70C09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37" w:type="dxa"/>
          </w:tcPr>
          <w:p w14:paraId="678569A4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7E70DF89" w14:textId="77777777" w:rsidTr="003E5184">
        <w:tc>
          <w:tcPr>
            <w:tcW w:w="1649" w:type="dxa"/>
          </w:tcPr>
          <w:p w14:paraId="28B6C48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4-2</w:t>
            </w:r>
          </w:p>
        </w:tc>
        <w:tc>
          <w:tcPr>
            <w:tcW w:w="1873" w:type="dxa"/>
          </w:tcPr>
          <w:p w14:paraId="069E41C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20.3</w:t>
            </w:r>
          </w:p>
        </w:tc>
        <w:tc>
          <w:tcPr>
            <w:tcW w:w="1858" w:type="dxa"/>
          </w:tcPr>
          <w:p w14:paraId="004DC410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26754B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20.3</w:t>
            </w:r>
          </w:p>
        </w:tc>
        <w:tc>
          <w:tcPr>
            <w:tcW w:w="1837" w:type="dxa"/>
          </w:tcPr>
          <w:p w14:paraId="112974C2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711382D7" w14:textId="77777777" w:rsidTr="003E5184">
        <w:tc>
          <w:tcPr>
            <w:tcW w:w="1649" w:type="dxa"/>
          </w:tcPr>
          <w:p w14:paraId="4B3C794A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6-7</w:t>
            </w:r>
          </w:p>
        </w:tc>
        <w:tc>
          <w:tcPr>
            <w:tcW w:w="1873" w:type="dxa"/>
          </w:tcPr>
          <w:p w14:paraId="6A05E2B9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858" w:type="dxa"/>
          </w:tcPr>
          <w:p w14:paraId="7ED7C10C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43" w:type="dxa"/>
          </w:tcPr>
          <w:p w14:paraId="3615F48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837" w:type="dxa"/>
          </w:tcPr>
          <w:p w14:paraId="0351B82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</w:tr>
      <w:tr w:rsidR="003F3BD2" w:rsidRPr="003F3BD2" w14:paraId="34E129AD" w14:textId="77777777" w:rsidTr="003E5184">
        <w:tc>
          <w:tcPr>
            <w:tcW w:w="1649" w:type="dxa"/>
          </w:tcPr>
          <w:p w14:paraId="148F72EA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19-2</w:t>
            </w:r>
          </w:p>
        </w:tc>
        <w:tc>
          <w:tcPr>
            <w:tcW w:w="1873" w:type="dxa"/>
          </w:tcPr>
          <w:p w14:paraId="5E38285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8" w:type="dxa"/>
          </w:tcPr>
          <w:p w14:paraId="2B706753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238AD34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837" w:type="dxa"/>
          </w:tcPr>
          <w:p w14:paraId="2359536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04FE6D24" w14:textId="77777777" w:rsidTr="003E5184">
        <w:tc>
          <w:tcPr>
            <w:tcW w:w="1649" w:type="dxa"/>
          </w:tcPr>
          <w:p w14:paraId="3D089F79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1-2</w:t>
            </w:r>
          </w:p>
        </w:tc>
        <w:tc>
          <w:tcPr>
            <w:tcW w:w="1873" w:type="dxa"/>
          </w:tcPr>
          <w:p w14:paraId="0EDAC5B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858" w:type="dxa"/>
          </w:tcPr>
          <w:p w14:paraId="79DEDDE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5F304FC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1837" w:type="dxa"/>
          </w:tcPr>
          <w:p w14:paraId="0713285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112F9A27" w14:textId="77777777" w:rsidTr="003E5184">
        <w:tc>
          <w:tcPr>
            <w:tcW w:w="1649" w:type="dxa"/>
          </w:tcPr>
          <w:p w14:paraId="2FADBD0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7-1</w:t>
            </w:r>
          </w:p>
        </w:tc>
        <w:tc>
          <w:tcPr>
            <w:tcW w:w="1873" w:type="dxa"/>
          </w:tcPr>
          <w:p w14:paraId="37393279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26.2</w:t>
            </w:r>
          </w:p>
        </w:tc>
        <w:tc>
          <w:tcPr>
            <w:tcW w:w="1858" w:type="dxa"/>
          </w:tcPr>
          <w:p w14:paraId="285214A4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FEE926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26.2</w:t>
            </w:r>
          </w:p>
        </w:tc>
        <w:tc>
          <w:tcPr>
            <w:tcW w:w="1837" w:type="dxa"/>
          </w:tcPr>
          <w:p w14:paraId="2E731D1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75D4E05C" w14:textId="77777777" w:rsidTr="003E5184">
        <w:tc>
          <w:tcPr>
            <w:tcW w:w="1649" w:type="dxa"/>
          </w:tcPr>
          <w:p w14:paraId="6A3996B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1-1</w:t>
            </w:r>
          </w:p>
        </w:tc>
        <w:tc>
          <w:tcPr>
            <w:tcW w:w="1873" w:type="dxa"/>
          </w:tcPr>
          <w:p w14:paraId="3E58E94A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58" w:type="dxa"/>
          </w:tcPr>
          <w:p w14:paraId="73FA95CB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F518BB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37" w:type="dxa"/>
          </w:tcPr>
          <w:p w14:paraId="266B1A18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38C52CBC" w14:textId="77777777" w:rsidTr="003E5184">
        <w:tc>
          <w:tcPr>
            <w:tcW w:w="1649" w:type="dxa"/>
          </w:tcPr>
          <w:p w14:paraId="02B01AD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3-2</w:t>
            </w:r>
          </w:p>
        </w:tc>
        <w:tc>
          <w:tcPr>
            <w:tcW w:w="1873" w:type="dxa"/>
          </w:tcPr>
          <w:p w14:paraId="39036A6D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858" w:type="dxa"/>
          </w:tcPr>
          <w:p w14:paraId="53169EC8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5D63E9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837" w:type="dxa"/>
          </w:tcPr>
          <w:p w14:paraId="272B075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33FB29FF" w14:textId="77777777" w:rsidTr="003E5184">
        <w:tc>
          <w:tcPr>
            <w:tcW w:w="1649" w:type="dxa"/>
          </w:tcPr>
          <w:p w14:paraId="7F51EE80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8-1</w:t>
            </w:r>
          </w:p>
        </w:tc>
        <w:tc>
          <w:tcPr>
            <w:tcW w:w="1873" w:type="dxa"/>
          </w:tcPr>
          <w:p w14:paraId="0537AC4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58" w:type="dxa"/>
          </w:tcPr>
          <w:p w14:paraId="43D8B200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B318928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37" w:type="dxa"/>
          </w:tcPr>
          <w:p w14:paraId="6667B798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3B039271" w14:textId="77777777" w:rsidTr="003E5184">
        <w:tc>
          <w:tcPr>
            <w:tcW w:w="1649" w:type="dxa"/>
          </w:tcPr>
          <w:p w14:paraId="4586E51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2-1</w:t>
            </w:r>
          </w:p>
        </w:tc>
        <w:tc>
          <w:tcPr>
            <w:tcW w:w="1873" w:type="dxa"/>
          </w:tcPr>
          <w:p w14:paraId="630E9750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58" w:type="dxa"/>
          </w:tcPr>
          <w:p w14:paraId="41CFC59C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ADCBA93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37" w:type="dxa"/>
          </w:tcPr>
          <w:p w14:paraId="60EE8F7D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7A256B80" w14:textId="77777777" w:rsidTr="003E5184">
        <w:tc>
          <w:tcPr>
            <w:tcW w:w="1649" w:type="dxa"/>
          </w:tcPr>
          <w:p w14:paraId="1315BF5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15-3</w:t>
            </w:r>
          </w:p>
        </w:tc>
        <w:tc>
          <w:tcPr>
            <w:tcW w:w="1873" w:type="dxa"/>
          </w:tcPr>
          <w:p w14:paraId="445A084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21.3</w:t>
            </w:r>
          </w:p>
        </w:tc>
        <w:tc>
          <w:tcPr>
            <w:tcW w:w="1858" w:type="dxa"/>
          </w:tcPr>
          <w:p w14:paraId="4CFB806D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22.3</w:t>
            </w:r>
          </w:p>
        </w:tc>
        <w:tc>
          <w:tcPr>
            <w:tcW w:w="1843" w:type="dxa"/>
          </w:tcPr>
          <w:p w14:paraId="677AB52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21.3</w:t>
            </w:r>
          </w:p>
        </w:tc>
        <w:tc>
          <w:tcPr>
            <w:tcW w:w="1837" w:type="dxa"/>
          </w:tcPr>
          <w:p w14:paraId="6983A38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22.3</w:t>
            </w:r>
          </w:p>
        </w:tc>
      </w:tr>
      <w:tr w:rsidR="003F3BD2" w:rsidRPr="003F3BD2" w14:paraId="4FC0B25E" w14:textId="77777777" w:rsidTr="003E5184">
        <w:tc>
          <w:tcPr>
            <w:tcW w:w="1649" w:type="dxa"/>
          </w:tcPr>
          <w:p w14:paraId="0899F834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6-4</w:t>
            </w:r>
          </w:p>
        </w:tc>
        <w:tc>
          <w:tcPr>
            <w:tcW w:w="1873" w:type="dxa"/>
          </w:tcPr>
          <w:p w14:paraId="15D3892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858" w:type="dxa"/>
          </w:tcPr>
          <w:p w14:paraId="6F427C94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4B235EB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837" w:type="dxa"/>
          </w:tcPr>
          <w:p w14:paraId="23CB77D3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79B9AD3B" w14:textId="77777777" w:rsidTr="003E5184">
        <w:tc>
          <w:tcPr>
            <w:tcW w:w="1649" w:type="dxa"/>
          </w:tcPr>
          <w:p w14:paraId="2E879C63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11-2</w:t>
            </w:r>
          </w:p>
        </w:tc>
        <w:tc>
          <w:tcPr>
            <w:tcW w:w="1873" w:type="dxa"/>
          </w:tcPr>
          <w:p w14:paraId="23874C72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58" w:type="dxa"/>
          </w:tcPr>
          <w:p w14:paraId="188C7A0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031EC0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37" w:type="dxa"/>
          </w:tcPr>
          <w:p w14:paraId="7638BD0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62EB9340" w14:textId="77777777" w:rsidTr="003E5184">
        <w:tc>
          <w:tcPr>
            <w:tcW w:w="1649" w:type="dxa"/>
          </w:tcPr>
          <w:p w14:paraId="6337A70B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17-2</w:t>
            </w:r>
          </w:p>
        </w:tc>
        <w:tc>
          <w:tcPr>
            <w:tcW w:w="1873" w:type="dxa"/>
          </w:tcPr>
          <w:p w14:paraId="69103F83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858" w:type="dxa"/>
          </w:tcPr>
          <w:p w14:paraId="2F6181B9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843" w:type="dxa"/>
          </w:tcPr>
          <w:p w14:paraId="4ABA56B8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1837" w:type="dxa"/>
          </w:tcPr>
          <w:p w14:paraId="699DB9B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2A027F73" w14:textId="77777777" w:rsidTr="003E5184">
        <w:tc>
          <w:tcPr>
            <w:tcW w:w="1649" w:type="dxa"/>
          </w:tcPr>
          <w:p w14:paraId="027CE74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12-1</w:t>
            </w:r>
          </w:p>
        </w:tc>
        <w:tc>
          <w:tcPr>
            <w:tcW w:w="1873" w:type="dxa"/>
          </w:tcPr>
          <w:p w14:paraId="0CC241C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58" w:type="dxa"/>
          </w:tcPr>
          <w:p w14:paraId="136229B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7E81C3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37" w:type="dxa"/>
          </w:tcPr>
          <w:p w14:paraId="5E8EDEB4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321A02FF" w14:textId="77777777" w:rsidTr="003E5184">
        <w:tc>
          <w:tcPr>
            <w:tcW w:w="1649" w:type="dxa"/>
          </w:tcPr>
          <w:p w14:paraId="3CE0335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5-5</w:t>
            </w:r>
          </w:p>
        </w:tc>
        <w:tc>
          <w:tcPr>
            <w:tcW w:w="1873" w:type="dxa"/>
          </w:tcPr>
          <w:p w14:paraId="001FA021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58" w:type="dxa"/>
          </w:tcPr>
          <w:p w14:paraId="584EB29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843" w:type="dxa"/>
          </w:tcPr>
          <w:p w14:paraId="5E25D87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37" w:type="dxa"/>
          </w:tcPr>
          <w:p w14:paraId="6CEF443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3F3BD2" w:rsidRPr="003F3BD2" w14:paraId="2594D137" w14:textId="77777777" w:rsidTr="003E5184">
        <w:tc>
          <w:tcPr>
            <w:tcW w:w="1649" w:type="dxa"/>
          </w:tcPr>
          <w:p w14:paraId="2AF1CFD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X-1</w:t>
            </w:r>
          </w:p>
        </w:tc>
        <w:tc>
          <w:tcPr>
            <w:tcW w:w="1873" w:type="dxa"/>
          </w:tcPr>
          <w:p w14:paraId="19C072A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1858" w:type="dxa"/>
          </w:tcPr>
          <w:p w14:paraId="06FC60CB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1843" w:type="dxa"/>
          </w:tcPr>
          <w:p w14:paraId="1B1A0E96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1837" w:type="dxa"/>
          </w:tcPr>
          <w:p w14:paraId="51AE44D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0CF72392" w14:textId="77777777" w:rsidTr="003E5184">
        <w:tc>
          <w:tcPr>
            <w:tcW w:w="1649" w:type="dxa"/>
          </w:tcPr>
          <w:p w14:paraId="592AF948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13-1</w:t>
            </w:r>
          </w:p>
        </w:tc>
        <w:tc>
          <w:tcPr>
            <w:tcW w:w="1873" w:type="dxa"/>
          </w:tcPr>
          <w:p w14:paraId="60AA11E0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58" w:type="dxa"/>
          </w:tcPr>
          <w:p w14:paraId="777CAC9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4F6247B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1837" w:type="dxa"/>
          </w:tcPr>
          <w:p w14:paraId="71E22D77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3BD2" w:rsidRPr="003F3BD2" w14:paraId="2B184227" w14:textId="77777777" w:rsidTr="003E5184">
        <w:tc>
          <w:tcPr>
            <w:tcW w:w="7223" w:type="dxa"/>
            <w:gridSpan w:val="4"/>
          </w:tcPr>
          <w:p w14:paraId="001C5CE7" w14:textId="77777777" w:rsidR="003E5184" w:rsidRPr="003F3BD2" w:rsidRDefault="003E5184" w:rsidP="003E5184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Number of shared alleles between samples:</w:t>
            </w:r>
          </w:p>
        </w:tc>
        <w:tc>
          <w:tcPr>
            <w:tcW w:w="1837" w:type="dxa"/>
          </w:tcPr>
          <w:p w14:paraId="5B24BA9F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</w:tr>
      <w:tr w:rsidR="003F3BD2" w:rsidRPr="003F3BD2" w14:paraId="6836DB82" w14:textId="77777777" w:rsidTr="003E5184">
        <w:tc>
          <w:tcPr>
            <w:tcW w:w="7223" w:type="dxa"/>
            <w:gridSpan w:val="4"/>
          </w:tcPr>
          <w:p w14:paraId="5CAE929B" w14:textId="77777777" w:rsidR="003E5184" w:rsidRPr="003F3BD2" w:rsidRDefault="003E5184" w:rsidP="003E5184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Total number of alleles in HL-1 cells used in this study:</w:t>
            </w:r>
          </w:p>
        </w:tc>
        <w:tc>
          <w:tcPr>
            <w:tcW w:w="1837" w:type="dxa"/>
          </w:tcPr>
          <w:p w14:paraId="303B263E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</w:tr>
      <w:tr w:rsidR="003F3BD2" w:rsidRPr="003F3BD2" w14:paraId="7D541192" w14:textId="77777777" w:rsidTr="003E5184">
        <w:tc>
          <w:tcPr>
            <w:tcW w:w="7223" w:type="dxa"/>
            <w:gridSpan w:val="4"/>
          </w:tcPr>
          <w:p w14:paraId="1B8FF2E7" w14:textId="77777777" w:rsidR="003E5184" w:rsidRPr="003F3BD2" w:rsidRDefault="003E5184" w:rsidP="003E5184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Total number of alleles in HL-1 cells obtained from Sigma-Aldrich:</w:t>
            </w:r>
          </w:p>
        </w:tc>
        <w:tc>
          <w:tcPr>
            <w:tcW w:w="1837" w:type="dxa"/>
          </w:tcPr>
          <w:p w14:paraId="7C66583D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</w:tr>
      <w:tr w:rsidR="003F3BD2" w:rsidRPr="003F3BD2" w14:paraId="4EFD9DFB" w14:textId="77777777" w:rsidTr="003E5184">
        <w:tc>
          <w:tcPr>
            <w:tcW w:w="7223" w:type="dxa"/>
            <w:gridSpan w:val="4"/>
          </w:tcPr>
          <w:p w14:paraId="1D330028" w14:textId="77777777" w:rsidR="003E5184" w:rsidRPr="003F3BD2" w:rsidRDefault="003E5184" w:rsidP="003E5184">
            <w:pPr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Percent match</w:t>
            </w:r>
            <w:r w:rsidRPr="003F3BD2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1</w:t>
            </w: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 xml:space="preserve"> between samples:</w:t>
            </w:r>
          </w:p>
        </w:tc>
        <w:tc>
          <w:tcPr>
            <w:tcW w:w="1837" w:type="dxa"/>
          </w:tcPr>
          <w:p w14:paraId="4899CA95" w14:textId="77777777" w:rsidR="003E5184" w:rsidRPr="003F3BD2" w:rsidRDefault="003E5184" w:rsidP="003E5184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3BD2">
              <w:rPr>
                <w:rFonts w:ascii="Arial" w:hAnsi="Arial" w:cs="Arial"/>
                <w:sz w:val="24"/>
                <w:szCs w:val="24"/>
                <w:lang w:val="en-US"/>
              </w:rPr>
              <w:t>91</w:t>
            </w:r>
          </w:p>
        </w:tc>
      </w:tr>
    </w:tbl>
    <w:p w14:paraId="72A27694" w14:textId="77777777" w:rsidR="003E5184" w:rsidRPr="003F3BD2" w:rsidRDefault="003E5184" w:rsidP="003E5184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F3BD2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3F3BD2">
        <w:rPr>
          <w:rFonts w:ascii="Arial" w:hAnsi="Arial" w:cs="Arial"/>
          <w:sz w:val="24"/>
          <w:szCs w:val="24"/>
          <w:lang w:val="en-US"/>
        </w:rPr>
        <w:t xml:space="preserve">Cell lines with ≥80% match </w:t>
      </w:r>
      <w:proofErr w:type="gramStart"/>
      <w:r w:rsidRPr="003F3BD2">
        <w:rPr>
          <w:rFonts w:ascii="Arial" w:hAnsi="Arial" w:cs="Arial"/>
          <w:sz w:val="24"/>
          <w:szCs w:val="24"/>
          <w:lang w:val="en-US"/>
        </w:rPr>
        <w:t>are</w:t>
      </w:r>
      <w:proofErr w:type="gramEnd"/>
      <w:r w:rsidRPr="003F3BD2">
        <w:rPr>
          <w:rFonts w:ascii="Arial" w:hAnsi="Arial" w:cs="Arial"/>
          <w:sz w:val="24"/>
          <w:szCs w:val="24"/>
          <w:lang w:val="en-US"/>
        </w:rPr>
        <w:t xml:space="preserve"> considered to be related. </w:t>
      </w:r>
    </w:p>
    <w:p w14:paraId="5DAC0825" w14:textId="77777777" w:rsidR="003E5184" w:rsidRPr="003F3BD2" w:rsidRDefault="003E5184" w:rsidP="003E5184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BC1615D" w14:textId="77777777" w:rsidR="003E5184" w:rsidRPr="003F3BD2" w:rsidRDefault="003E5184" w:rsidP="003E5184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4C0F22B" w14:textId="77777777" w:rsidR="003E5184" w:rsidRPr="003F3BD2" w:rsidRDefault="003E5184" w:rsidP="003E5184">
      <w:pPr>
        <w:spacing w:line="480" w:lineRule="auto"/>
        <w:jc w:val="both"/>
        <w:rPr>
          <w:rFonts w:ascii="Arial" w:hAnsi="Arial" w:cs="Arial"/>
          <w:b/>
          <w:shd w:val="clear" w:color="auto" w:fill="FFFFFF"/>
          <w:lang w:val="en-US"/>
        </w:rPr>
      </w:pPr>
    </w:p>
    <w:p w14:paraId="69173D1A" w14:textId="77777777" w:rsidR="00020205" w:rsidRPr="003F3BD2" w:rsidRDefault="00020205" w:rsidP="00020205">
      <w:pPr>
        <w:pageBreakBefore/>
        <w:spacing w:line="480" w:lineRule="auto"/>
        <w:jc w:val="both"/>
        <w:rPr>
          <w:rFonts w:ascii="Arial" w:hAnsi="Arial" w:cs="Arial"/>
          <w:shd w:val="clear" w:color="auto" w:fill="FFFFFF"/>
          <w:lang w:val="en-US"/>
        </w:rPr>
      </w:pPr>
      <w:r w:rsidRPr="003F3BD2">
        <w:rPr>
          <w:rFonts w:ascii="Arial" w:hAnsi="Arial" w:cs="Arial"/>
          <w:b/>
          <w:shd w:val="clear" w:color="auto" w:fill="FFFFFF"/>
          <w:lang w:val="en-US"/>
        </w:rPr>
        <w:t xml:space="preserve">Supplementary Table </w:t>
      </w:r>
      <w:r w:rsidR="003E5184" w:rsidRPr="003F3BD2">
        <w:rPr>
          <w:rFonts w:ascii="Arial" w:hAnsi="Arial" w:cs="Arial"/>
          <w:b/>
          <w:shd w:val="clear" w:color="auto" w:fill="FFFFFF"/>
          <w:lang w:val="en-US"/>
        </w:rPr>
        <w:t>3</w:t>
      </w:r>
      <w:r w:rsidRPr="003F3BD2">
        <w:rPr>
          <w:rFonts w:ascii="Arial" w:hAnsi="Arial" w:cs="Arial"/>
          <w:b/>
          <w:shd w:val="clear" w:color="auto" w:fill="FFFFFF"/>
          <w:lang w:val="en-US"/>
        </w:rPr>
        <w:t>.</w:t>
      </w:r>
      <w:r w:rsidRPr="003F3BD2">
        <w:rPr>
          <w:rFonts w:ascii="Arial" w:hAnsi="Arial" w:cs="Arial"/>
          <w:shd w:val="clear" w:color="auto" w:fill="FFFFFF"/>
          <w:lang w:val="en-US"/>
        </w:rPr>
        <w:t xml:space="preserve"> TaqMan primers used for real-time quantitative polymerase chain reactions.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0"/>
        <w:gridCol w:w="2277"/>
        <w:gridCol w:w="2272"/>
        <w:gridCol w:w="2283"/>
      </w:tblGrid>
      <w:tr w:rsidR="003F3BD2" w:rsidRPr="003F3BD2" w14:paraId="580DC3C7" w14:textId="77777777" w:rsidTr="00710EFA">
        <w:tc>
          <w:tcPr>
            <w:tcW w:w="2195" w:type="dxa"/>
          </w:tcPr>
          <w:p w14:paraId="3B8FF459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shd w:val="clear" w:color="auto" w:fill="FFFFFF"/>
                <w:lang w:val="en-US"/>
              </w:rPr>
            </w:pPr>
            <w:bookmarkStart w:id="1" w:name="_Hlk14823550"/>
            <w:r w:rsidRPr="003F3BD2">
              <w:rPr>
                <w:rFonts w:ascii="Arial" w:hAnsi="Arial" w:cs="Arial"/>
                <w:b/>
                <w:shd w:val="clear" w:color="auto" w:fill="FFFFFF"/>
                <w:lang w:val="en-US"/>
              </w:rPr>
              <w:t>Target gene</w:t>
            </w:r>
          </w:p>
        </w:tc>
        <w:tc>
          <w:tcPr>
            <w:tcW w:w="2303" w:type="dxa"/>
          </w:tcPr>
          <w:p w14:paraId="1C9DD55F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shd w:val="clear" w:color="auto" w:fill="FFFFFF"/>
                <w:lang w:val="en-US"/>
              </w:rPr>
              <w:t>Human</w:t>
            </w:r>
          </w:p>
        </w:tc>
        <w:tc>
          <w:tcPr>
            <w:tcW w:w="2303" w:type="dxa"/>
          </w:tcPr>
          <w:p w14:paraId="6E0F6B96" w14:textId="77777777" w:rsidR="00020205" w:rsidRPr="003F3BD2" w:rsidRDefault="00020205" w:rsidP="00020205">
            <w:pPr>
              <w:spacing w:line="480" w:lineRule="auto"/>
              <w:rPr>
                <w:rFonts w:ascii="Arial" w:hAnsi="Arial" w:cs="Arial"/>
                <w:b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shd w:val="clear" w:color="auto" w:fill="FFFFFF"/>
                <w:lang w:val="en-US"/>
              </w:rPr>
              <w:t>Pig</w:t>
            </w:r>
          </w:p>
        </w:tc>
        <w:tc>
          <w:tcPr>
            <w:tcW w:w="2303" w:type="dxa"/>
          </w:tcPr>
          <w:p w14:paraId="609F3DAB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shd w:val="clear" w:color="auto" w:fill="FFFFFF"/>
                <w:lang w:val="en-US"/>
              </w:rPr>
              <w:t>Mouse</w:t>
            </w:r>
          </w:p>
        </w:tc>
      </w:tr>
      <w:tr w:rsidR="003F3BD2" w:rsidRPr="003F3BD2" w14:paraId="7DD2F3C4" w14:textId="77777777" w:rsidTr="00710EFA">
        <w:tc>
          <w:tcPr>
            <w:tcW w:w="2195" w:type="dxa"/>
          </w:tcPr>
          <w:p w14:paraId="231C9065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  <w:t>KCNN1</w:t>
            </w:r>
          </w:p>
        </w:tc>
        <w:tc>
          <w:tcPr>
            <w:tcW w:w="2303" w:type="dxa"/>
          </w:tcPr>
          <w:p w14:paraId="19DC4A23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Hs01109326_m1</w:t>
            </w:r>
          </w:p>
        </w:tc>
        <w:tc>
          <w:tcPr>
            <w:tcW w:w="2303" w:type="dxa"/>
          </w:tcPr>
          <w:p w14:paraId="3314D338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AJLJI7X*</w:t>
            </w:r>
          </w:p>
        </w:tc>
        <w:tc>
          <w:tcPr>
            <w:tcW w:w="2303" w:type="dxa"/>
          </w:tcPr>
          <w:p w14:paraId="40F7CF27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Mm01349167_m1</w:t>
            </w:r>
          </w:p>
        </w:tc>
      </w:tr>
      <w:tr w:rsidR="003F3BD2" w:rsidRPr="003F3BD2" w14:paraId="1D213CB5" w14:textId="77777777" w:rsidTr="00710EFA">
        <w:tc>
          <w:tcPr>
            <w:tcW w:w="2195" w:type="dxa"/>
          </w:tcPr>
          <w:p w14:paraId="20DE95EC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  <w:t>KCNN2</w:t>
            </w:r>
          </w:p>
        </w:tc>
        <w:tc>
          <w:tcPr>
            <w:tcW w:w="2303" w:type="dxa"/>
          </w:tcPr>
          <w:p w14:paraId="162A51FC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Hs01030641_m1</w:t>
            </w:r>
          </w:p>
        </w:tc>
        <w:tc>
          <w:tcPr>
            <w:tcW w:w="2303" w:type="dxa"/>
          </w:tcPr>
          <w:p w14:paraId="7097DC74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AJMSHD5*</w:t>
            </w:r>
          </w:p>
        </w:tc>
        <w:tc>
          <w:tcPr>
            <w:tcW w:w="2303" w:type="dxa"/>
          </w:tcPr>
          <w:p w14:paraId="0CF138EB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Mm00446514_m1</w:t>
            </w:r>
          </w:p>
        </w:tc>
      </w:tr>
      <w:tr w:rsidR="003F3BD2" w:rsidRPr="003F3BD2" w14:paraId="19FAC593" w14:textId="77777777" w:rsidTr="00710EFA">
        <w:tc>
          <w:tcPr>
            <w:tcW w:w="2195" w:type="dxa"/>
          </w:tcPr>
          <w:p w14:paraId="1F229B1C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  <w:t>KCNN3</w:t>
            </w:r>
          </w:p>
        </w:tc>
        <w:tc>
          <w:tcPr>
            <w:tcW w:w="2303" w:type="dxa"/>
          </w:tcPr>
          <w:p w14:paraId="0DA55339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Hs01546821_m1</w:t>
            </w:r>
          </w:p>
        </w:tc>
        <w:tc>
          <w:tcPr>
            <w:tcW w:w="2303" w:type="dxa"/>
          </w:tcPr>
          <w:p w14:paraId="1A766137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Ss03393243_u1</w:t>
            </w:r>
          </w:p>
        </w:tc>
        <w:tc>
          <w:tcPr>
            <w:tcW w:w="2303" w:type="dxa"/>
          </w:tcPr>
          <w:p w14:paraId="4A7C349A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Mm00446516_m1</w:t>
            </w:r>
          </w:p>
        </w:tc>
      </w:tr>
      <w:tr w:rsidR="003F3BD2" w:rsidRPr="003F3BD2" w14:paraId="23212E57" w14:textId="77777777" w:rsidTr="00710EFA">
        <w:tc>
          <w:tcPr>
            <w:tcW w:w="2195" w:type="dxa"/>
          </w:tcPr>
          <w:p w14:paraId="447A52C6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  <w:t>GAPDH</w:t>
            </w:r>
          </w:p>
        </w:tc>
        <w:tc>
          <w:tcPr>
            <w:tcW w:w="2303" w:type="dxa"/>
          </w:tcPr>
          <w:p w14:paraId="23C63C84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Hs02786624_g1</w:t>
            </w:r>
          </w:p>
        </w:tc>
        <w:tc>
          <w:tcPr>
            <w:tcW w:w="2303" w:type="dxa"/>
          </w:tcPr>
          <w:p w14:paraId="070C4B7B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Ss03375629_u1</w:t>
            </w:r>
          </w:p>
        </w:tc>
        <w:tc>
          <w:tcPr>
            <w:tcW w:w="2303" w:type="dxa"/>
          </w:tcPr>
          <w:p w14:paraId="7DB851A5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Mm99999915_g1</w:t>
            </w:r>
          </w:p>
        </w:tc>
      </w:tr>
      <w:tr w:rsidR="003F3BD2" w:rsidRPr="003F3BD2" w14:paraId="68EC4CA5" w14:textId="77777777" w:rsidTr="00710EFA">
        <w:tc>
          <w:tcPr>
            <w:tcW w:w="2195" w:type="dxa"/>
          </w:tcPr>
          <w:p w14:paraId="4AFB7BC6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b/>
                <w:i/>
                <w:shd w:val="clear" w:color="auto" w:fill="FFFFFF"/>
                <w:lang w:val="en-US"/>
              </w:rPr>
              <w:t>Rpl32</w:t>
            </w:r>
          </w:p>
        </w:tc>
        <w:tc>
          <w:tcPr>
            <w:tcW w:w="2303" w:type="dxa"/>
          </w:tcPr>
          <w:p w14:paraId="2CC82F4D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---</w:t>
            </w:r>
          </w:p>
        </w:tc>
        <w:tc>
          <w:tcPr>
            <w:tcW w:w="2303" w:type="dxa"/>
          </w:tcPr>
          <w:p w14:paraId="16CB64AF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---</w:t>
            </w:r>
          </w:p>
        </w:tc>
        <w:tc>
          <w:tcPr>
            <w:tcW w:w="2303" w:type="dxa"/>
          </w:tcPr>
          <w:p w14:paraId="13E23A89" w14:textId="77777777" w:rsidR="00020205" w:rsidRPr="003F3BD2" w:rsidRDefault="00020205" w:rsidP="00710EFA">
            <w:pPr>
              <w:spacing w:line="480" w:lineRule="auto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3F3BD2">
              <w:rPr>
                <w:rFonts w:ascii="Arial" w:hAnsi="Arial" w:cs="Arial"/>
                <w:shd w:val="clear" w:color="auto" w:fill="FFFFFF"/>
                <w:lang w:val="en-US"/>
              </w:rPr>
              <w:t>Mm02528467_g1</w:t>
            </w:r>
          </w:p>
        </w:tc>
      </w:tr>
    </w:tbl>
    <w:bookmarkEnd w:id="1"/>
    <w:p w14:paraId="4C453C98" w14:textId="77777777" w:rsidR="00020205" w:rsidRPr="003F3BD2" w:rsidRDefault="00020205" w:rsidP="00020205">
      <w:pPr>
        <w:spacing w:before="120" w:after="0" w:line="480" w:lineRule="auto"/>
        <w:jc w:val="both"/>
        <w:rPr>
          <w:rFonts w:ascii="Arial" w:eastAsia="Times New Roman" w:hAnsi="Arial" w:cs="Arial"/>
          <w:lang w:val="en-US"/>
        </w:rPr>
      </w:pPr>
      <w:r w:rsidRPr="003F3BD2">
        <w:rPr>
          <w:rFonts w:ascii="Arial" w:eastAsia="Times New Roman" w:hAnsi="Arial" w:cs="Arial"/>
          <w:lang w:val="en-US"/>
        </w:rPr>
        <w:t>Custom-designed TaqMan assays are indicated by an asterisk.</w:t>
      </w:r>
    </w:p>
    <w:p w14:paraId="17326737" w14:textId="77777777" w:rsidR="00020205" w:rsidRPr="003F3BD2" w:rsidRDefault="00020205" w:rsidP="00200564">
      <w:pPr>
        <w:spacing w:before="120" w:after="0" w:line="480" w:lineRule="auto"/>
        <w:ind w:left="720" w:hanging="720"/>
        <w:jc w:val="both"/>
        <w:rPr>
          <w:rFonts w:ascii="Arial" w:eastAsia="Times New Roman" w:hAnsi="Arial" w:cs="Arial"/>
          <w:lang w:val="en-US"/>
        </w:rPr>
      </w:pPr>
    </w:p>
    <w:p w14:paraId="03AE7436" w14:textId="77777777" w:rsidR="00020205" w:rsidRPr="003F3BD2" w:rsidRDefault="00020205" w:rsidP="00200564">
      <w:pPr>
        <w:spacing w:before="120" w:after="0" w:line="480" w:lineRule="auto"/>
        <w:ind w:left="720" w:hanging="720"/>
        <w:jc w:val="both"/>
        <w:rPr>
          <w:rFonts w:ascii="Arial" w:eastAsia="Times New Roman" w:hAnsi="Arial" w:cs="Arial"/>
          <w:lang w:val="en-US"/>
        </w:rPr>
      </w:pPr>
    </w:p>
    <w:p w14:paraId="56ACFD2E" w14:textId="77777777" w:rsidR="00200564" w:rsidRPr="003F3BD2" w:rsidRDefault="00332C01" w:rsidP="00200564">
      <w:pPr>
        <w:pageBreakBefore/>
        <w:spacing w:line="480" w:lineRule="auto"/>
        <w:jc w:val="both"/>
        <w:rPr>
          <w:rFonts w:ascii="Arial" w:eastAsia="Calibri" w:hAnsi="Arial" w:cs="Times New Roman"/>
          <w:b/>
          <w:sz w:val="24"/>
          <w:szCs w:val="24"/>
          <w:lang w:val="en-US"/>
        </w:rPr>
      </w:pPr>
      <w:r w:rsidRPr="003F3BD2">
        <w:rPr>
          <w:rFonts w:ascii="Arial" w:eastAsia="Calibri" w:hAnsi="Arial" w:cs="Times New Roman"/>
          <w:b/>
          <w:sz w:val="24"/>
          <w:szCs w:val="24"/>
          <w:lang w:val="en-US"/>
        </w:rPr>
        <w:t>Supplementary Reference</w:t>
      </w:r>
    </w:p>
    <w:p w14:paraId="4579A514" w14:textId="77777777" w:rsidR="00DA2D8B" w:rsidRPr="003F3BD2" w:rsidRDefault="004315CA" w:rsidP="00B151E5">
      <w:pPr>
        <w:pStyle w:val="ListParagraph"/>
        <w:numPr>
          <w:ilvl w:val="0"/>
          <w:numId w:val="2"/>
        </w:numPr>
        <w:tabs>
          <w:tab w:val="left" w:pos="0"/>
        </w:tabs>
        <w:spacing w:line="480" w:lineRule="auto"/>
        <w:jc w:val="both"/>
        <w:rPr>
          <w:rStyle w:val="normaltextrun"/>
          <w:rFonts w:ascii="Arial" w:hAnsi="Arial" w:cs="Arial"/>
          <w:lang w:val="en-US"/>
        </w:rPr>
      </w:pPr>
      <w:r w:rsidRPr="003F3BD2">
        <w:rPr>
          <w:rStyle w:val="normaltextrun"/>
          <w:rFonts w:ascii="Arial" w:eastAsia="Times New Roman" w:hAnsi="Arial" w:cs="Arial"/>
          <w:lang w:eastAsia="de-DE"/>
        </w:rPr>
        <w:t xml:space="preserve">Lugenbiel P, Wenz F, Syren P, Geschwill P, Govorov K, Seyler C </w:t>
      </w:r>
      <w:r w:rsidR="004F3C7C" w:rsidRPr="003F3BD2">
        <w:rPr>
          <w:rStyle w:val="normaltextrun"/>
          <w:rFonts w:ascii="Arial" w:eastAsia="Times New Roman" w:hAnsi="Arial" w:cs="Arial"/>
          <w:lang w:eastAsia="de-DE"/>
        </w:rPr>
        <w:t>et al.</w:t>
      </w:r>
      <w:r w:rsidR="007F720D" w:rsidRPr="003F3BD2">
        <w:rPr>
          <w:rStyle w:val="normaltextrun"/>
          <w:rFonts w:ascii="Arial" w:eastAsia="Times New Roman" w:hAnsi="Arial" w:cs="Arial"/>
          <w:lang w:eastAsia="de-DE"/>
        </w:rPr>
        <w:t xml:space="preserve"> 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>TREK-1 (K</w:t>
      </w:r>
      <w:r w:rsidRPr="003F3BD2">
        <w:rPr>
          <w:rStyle w:val="normaltextrun"/>
          <w:rFonts w:ascii="Arial" w:eastAsia="Times New Roman" w:hAnsi="Arial" w:cs="Arial"/>
          <w:vertAlign w:val="subscript"/>
          <w:lang w:val="en-US" w:eastAsia="de-DE"/>
        </w:rPr>
        <w:t>2P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>2.1) K</w:t>
      </w:r>
      <w:r w:rsidRPr="003F3BD2">
        <w:rPr>
          <w:rStyle w:val="normaltextrun"/>
          <w:rFonts w:ascii="Arial" w:eastAsia="Times New Roman" w:hAnsi="Arial" w:cs="Arial"/>
          <w:vertAlign w:val="superscript"/>
          <w:lang w:val="en-US" w:eastAsia="de-DE"/>
        </w:rPr>
        <w:t>+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 xml:space="preserve"> channels are suppressed in patients with atrial fibrillation and heart failure and provide therapeutic targets for rhythm control. </w:t>
      </w:r>
      <w:r w:rsidRPr="003F3BD2">
        <w:rPr>
          <w:rStyle w:val="normaltextrun"/>
          <w:rFonts w:ascii="Arial" w:eastAsia="Times New Roman" w:hAnsi="Arial" w:cs="Arial"/>
          <w:i/>
          <w:lang w:val="en-US" w:eastAsia="de-DE"/>
        </w:rPr>
        <w:t xml:space="preserve">Basic Res </w:t>
      </w:r>
      <w:proofErr w:type="spellStart"/>
      <w:r w:rsidRPr="003F3BD2">
        <w:rPr>
          <w:rStyle w:val="normaltextrun"/>
          <w:rFonts w:ascii="Arial" w:eastAsia="Times New Roman" w:hAnsi="Arial" w:cs="Arial"/>
          <w:i/>
          <w:lang w:val="en-US" w:eastAsia="de-DE"/>
        </w:rPr>
        <w:t>Cardiol</w:t>
      </w:r>
      <w:proofErr w:type="spellEnd"/>
      <w:r w:rsidR="004F3C7C" w:rsidRPr="003F3BD2">
        <w:rPr>
          <w:rStyle w:val="normaltextrun"/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="004F3C7C" w:rsidRPr="003F3BD2">
        <w:rPr>
          <w:rStyle w:val="normaltextrun"/>
          <w:rFonts w:ascii="Arial" w:eastAsia="Times New Roman" w:hAnsi="Arial" w:cs="Arial"/>
          <w:lang w:val="en-US" w:eastAsia="de-DE"/>
        </w:rPr>
        <w:t>2017;</w:t>
      </w:r>
      <w:r w:rsidRPr="003F3BD2">
        <w:rPr>
          <w:rStyle w:val="normaltextrun"/>
          <w:rFonts w:ascii="Arial" w:eastAsia="Times New Roman" w:hAnsi="Arial" w:cs="Arial"/>
          <w:b/>
          <w:lang w:val="en-US" w:eastAsia="de-DE"/>
        </w:rPr>
        <w:t>112</w:t>
      </w:r>
      <w:r w:rsidR="007F720D" w:rsidRPr="003F3BD2">
        <w:rPr>
          <w:rStyle w:val="normaltextrun"/>
          <w:rFonts w:ascii="Arial" w:eastAsia="Times New Roman" w:hAnsi="Arial" w:cs="Arial"/>
          <w:b/>
          <w:lang w:val="en-US" w:eastAsia="de-DE"/>
        </w:rPr>
        <w:t>:</w:t>
      </w:r>
      <w:r w:rsidR="007F720D" w:rsidRPr="003F3BD2">
        <w:rPr>
          <w:rStyle w:val="normaltextrun"/>
          <w:rFonts w:ascii="Arial" w:eastAsia="Times New Roman" w:hAnsi="Arial" w:cs="Arial"/>
          <w:lang w:val="en-US" w:eastAsia="de-DE"/>
        </w:rPr>
        <w:t>8</w:t>
      </w:r>
      <w:bookmarkStart w:id="2" w:name="_Hlk64720462"/>
      <w:proofErr w:type="gramEnd"/>
      <w:r w:rsidR="00DA2D8B" w:rsidRPr="003F3BD2">
        <w:rPr>
          <w:rStyle w:val="normaltextrun"/>
          <w:rFonts w:ascii="Arial" w:eastAsia="Times New Roman" w:hAnsi="Arial" w:cs="Arial"/>
          <w:lang w:val="en-US" w:eastAsia="de-DE"/>
        </w:rPr>
        <w:t>.</w:t>
      </w:r>
    </w:p>
    <w:p w14:paraId="66BEC229" w14:textId="77777777" w:rsidR="004F3C7C" w:rsidRPr="003F3BD2" w:rsidRDefault="004F3C7C" w:rsidP="00B151E5">
      <w:pPr>
        <w:pStyle w:val="ListParagraph"/>
        <w:numPr>
          <w:ilvl w:val="0"/>
          <w:numId w:val="2"/>
        </w:numPr>
        <w:tabs>
          <w:tab w:val="left" w:pos="0"/>
        </w:tabs>
        <w:spacing w:line="480" w:lineRule="auto"/>
        <w:jc w:val="both"/>
        <w:rPr>
          <w:rFonts w:ascii="Arial" w:hAnsi="Arial" w:cs="Arial"/>
          <w:lang w:val="en-US"/>
        </w:rPr>
      </w:pPr>
      <w:r w:rsidRPr="003F3BD2">
        <w:rPr>
          <w:rFonts w:ascii="Arial" w:hAnsi="Arial" w:cs="Arial"/>
        </w:rPr>
        <w:t xml:space="preserve">Rahm AK, Wieder T, Gramlich D, Müller ME, Wunsch MN, El Tahry FA et al. </w:t>
      </w:r>
      <w:r w:rsidRPr="003F3BD2">
        <w:rPr>
          <w:rFonts w:ascii="Arial" w:hAnsi="Arial" w:cs="Arial"/>
          <w:lang w:val="en-US"/>
        </w:rPr>
        <w:t>HDAC2-dependent remodeling of K</w:t>
      </w:r>
      <w:r w:rsidRPr="003F3BD2">
        <w:rPr>
          <w:rFonts w:ascii="Arial" w:hAnsi="Arial" w:cs="Arial"/>
          <w:vertAlign w:val="subscript"/>
          <w:lang w:val="en-US"/>
        </w:rPr>
        <w:t>Ca</w:t>
      </w:r>
      <w:r w:rsidRPr="003F3BD2">
        <w:rPr>
          <w:rFonts w:ascii="Arial" w:hAnsi="Arial" w:cs="Arial"/>
          <w:lang w:val="en-US"/>
        </w:rPr>
        <w:t>2.2 (KCNN2) and K</w:t>
      </w:r>
      <w:r w:rsidRPr="003F3BD2">
        <w:rPr>
          <w:rFonts w:ascii="Arial" w:hAnsi="Arial" w:cs="Arial"/>
          <w:vertAlign w:val="subscript"/>
          <w:lang w:val="en-US"/>
        </w:rPr>
        <w:t>Ca</w:t>
      </w:r>
      <w:r w:rsidRPr="003F3BD2">
        <w:rPr>
          <w:rFonts w:ascii="Arial" w:hAnsi="Arial" w:cs="Arial"/>
          <w:lang w:val="en-US"/>
        </w:rPr>
        <w:t>2.3 (KCNN3) K</w:t>
      </w:r>
      <w:r w:rsidRPr="003F3BD2">
        <w:rPr>
          <w:rFonts w:ascii="Arial" w:hAnsi="Arial" w:cs="Arial"/>
          <w:vertAlign w:val="superscript"/>
          <w:lang w:val="en-US"/>
        </w:rPr>
        <w:t>+</w:t>
      </w:r>
      <w:r w:rsidRPr="003F3BD2">
        <w:rPr>
          <w:rFonts w:ascii="Arial" w:hAnsi="Arial" w:cs="Arial"/>
          <w:lang w:val="en-US"/>
        </w:rPr>
        <w:t xml:space="preserve"> channels in atrial fibrillation with concomitant heart failure. </w:t>
      </w:r>
      <w:r w:rsidRPr="003F3BD2">
        <w:rPr>
          <w:rFonts w:ascii="Arial" w:hAnsi="Arial" w:cs="Arial"/>
          <w:i/>
          <w:lang w:val="en-US"/>
        </w:rPr>
        <w:t>Life Sci</w:t>
      </w:r>
      <w:r w:rsidRPr="003F3BD2">
        <w:rPr>
          <w:rFonts w:ascii="Arial" w:hAnsi="Arial" w:cs="Arial"/>
          <w:lang w:val="en-US"/>
        </w:rPr>
        <w:t xml:space="preserve"> </w:t>
      </w:r>
      <w:proofErr w:type="gramStart"/>
      <w:r w:rsidRPr="003F3BD2">
        <w:rPr>
          <w:rFonts w:ascii="Arial" w:hAnsi="Arial" w:cs="Arial"/>
          <w:lang w:val="en-US"/>
        </w:rPr>
        <w:t>2021;</w:t>
      </w:r>
      <w:r w:rsidRPr="003F3BD2">
        <w:rPr>
          <w:rFonts w:ascii="Arial" w:hAnsi="Arial" w:cs="Arial"/>
          <w:b/>
          <w:lang w:val="en-US"/>
        </w:rPr>
        <w:t>266:</w:t>
      </w:r>
      <w:r w:rsidRPr="003F3BD2">
        <w:rPr>
          <w:rFonts w:ascii="Arial" w:hAnsi="Arial" w:cs="Arial"/>
          <w:lang w:val="en-US"/>
        </w:rPr>
        <w:t>118892</w:t>
      </w:r>
      <w:proofErr w:type="gramEnd"/>
      <w:r w:rsidRPr="003F3BD2">
        <w:rPr>
          <w:rFonts w:ascii="Arial" w:hAnsi="Arial" w:cs="Arial"/>
          <w:lang w:val="en-US"/>
        </w:rPr>
        <w:t xml:space="preserve">. </w:t>
      </w:r>
      <w:bookmarkEnd w:id="2"/>
    </w:p>
    <w:p w14:paraId="3F2B8D30" w14:textId="77777777" w:rsidR="00B151E5" w:rsidRPr="003F3BD2" w:rsidRDefault="004F3C7C" w:rsidP="00B151E5">
      <w:pPr>
        <w:pStyle w:val="ListParagraph"/>
        <w:numPr>
          <w:ilvl w:val="0"/>
          <w:numId w:val="2"/>
        </w:numPr>
        <w:spacing w:line="480" w:lineRule="auto"/>
        <w:jc w:val="both"/>
        <w:rPr>
          <w:rStyle w:val="normaltextrun"/>
          <w:rFonts w:ascii="Arial" w:eastAsia="Times New Roman" w:hAnsi="Arial" w:cs="Arial"/>
          <w:lang w:val="en-US" w:eastAsia="de-DE"/>
        </w:rPr>
      </w:pPr>
      <w:r w:rsidRPr="003F3BD2">
        <w:rPr>
          <w:rFonts w:ascii="Arial" w:eastAsia="Times New Roman" w:hAnsi="Arial" w:cs="Arial"/>
          <w:lang w:eastAsia="de-DE"/>
        </w:rPr>
        <w:t xml:space="preserve">Lugenbiel P, Govorov K, Syren P, Rahm AK, Wieder T, Wunsch M et al. </w:t>
      </w:r>
      <w:r w:rsidRPr="003F3BD2">
        <w:rPr>
          <w:rFonts w:ascii="Arial" w:eastAsia="Times New Roman" w:hAnsi="Arial" w:cs="Arial"/>
          <w:lang w:val="en-US" w:eastAsia="de-DE"/>
        </w:rPr>
        <w:t xml:space="preserve">Epigenetic regulation of cardiac electrophysiology in atrial fibrillation: HDAC2 determines action potential duration and suppresses NRSF in cardiomyocytes. </w:t>
      </w:r>
      <w:r w:rsidRPr="003F3BD2">
        <w:rPr>
          <w:rFonts w:ascii="Arial" w:eastAsia="Times New Roman" w:hAnsi="Arial" w:cs="Arial"/>
          <w:i/>
          <w:lang w:eastAsia="de-DE"/>
        </w:rPr>
        <w:t>Basi</w:t>
      </w:r>
      <w:r w:rsidR="009066ED" w:rsidRPr="003F3BD2">
        <w:rPr>
          <w:rFonts w:ascii="Arial" w:eastAsia="Times New Roman" w:hAnsi="Arial" w:cs="Arial"/>
          <w:i/>
          <w:lang w:eastAsia="de-DE"/>
        </w:rPr>
        <w:t>c</w:t>
      </w:r>
      <w:r w:rsidRPr="003F3BD2">
        <w:rPr>
          <w:rFonts w:ascii="Arial" w:eastAsia="Times New Roman" w:hAnsi="Arial" w:cs="Arial"/>
          <w:i/>
          <w:lang w:eastAsia="de-DE"/>
        </w:rPr>
        <w:t xml:space="preserve"> Res Cardiol</w:t>
      </w:r>
      <w:r w:rsidRPr="003F3BD2">
        <w:rPr>
          <w:rFonts w:ascii="Arial" w:eastAsia="Times New Roman" w:hAnsi="Arial" w:cs="Arial"/>
          <w:lang w:eastAsia="de-DE"/>
        </w:rPr>
        <w:t xml:space="preserve"> </w:t>
      </w:r>
      <w:r w:rsidR="00DA2D8B" w:rsidRPr="003F3BD2">
        <w:rPr>
          <w:rFonts w:ascii="Arial" w:eastAsia="Times New Roman" w:hAnsi="Arial" w:cs="Arial"/>
          <w:lang w:eastAsia="de-DE"/>
        </w:rPr>
        <w:t>2021;</w:t>
      </w:r>
      <w:r w:rsidR="00DA2D8B" w:rsidRPr="003F3BD2">
        <w:rPr>
          <w:rFonts w:ascii="Arial" w:eastAsia="Times New Roman" w:hAnsi="Arial" w:cs="Arial"/>
          <w:b/>
          <w:lang w:eastAsia="de-DE"/>
        </w:rPr>
        <w:t>116:</w:t>
      </w:r>
      <w:r w:rsidR="00DA2D8B" w:rsidRPr="003F3BD2">
        <w:rPr>
          <w:rFonts w:ascii="Arial" w:eastAsia="Times New Roman" w:hAnsi="Arial" w:cs="Arial"/>
          <w:lang w:eastAsia="de-DE"/>
        </w:rPr>
        <w:t>13.</w:t>
      </w:r>
      <w:r w:rsidR="00B151E5" w:rsidRPr="003F3BD2">
        <w:rPr>
          <w:rStyle w:val="normaltextrun"/>
          <w:rFonts w:ascii="Arial" w:hAnsi="Arial" w:cs="Arial"/>
        </w:rPr>
        <w:t xml:space="preserve"> </w:t>
      </w:r>
    </w:p>
    <w:p w14:paraId="04D452AB" w14:textId="77777777" w:rsidR="004F3C7C" w:rsidRPr="003F3BD2" w:rsidRDefault="00B151E5" w:rsidP="00B151E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lang w:val="en-US" w:eastAsia="de-DE"/>
        </w:rPr>
      </w:pPr>
      <w:r w:rsidRPr="003F3BD2">
        <w:rPr>
          <w:rStyle w:val="normaltextrun"/>
          <w:rFonts w:ascii="Arial" w:eastAsia="Times New Roman" w:hAnsi="Arial" w:cs="Arial"/>
          <w:lang w:eastAsia="de-DE"/>
        </w:rPr>
        <w:t xml:space="preserve">Rahm AK, Wieder T, Gramlich D, Müller ME, Wunsch MN, El Tahry FA et al. 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>Differential regulation of K</w:t>
      </w:r>
      <w:r w:rsidRPr="003F3BD2">
        <w:rPr>
          <w:rStyle w:val="normaltextrun"/>
          <w:rFonts w:ascii="Arial" w:eastAsia="Times New Roman" w:hAnsi="Arial" w:cs="Arial"/>
          <w:vertAlign w:val="subscript"/>
          <w:lang w:val="en-US" w:eastAsia="de-DE"/>
        </w:rPr>
        <w:t>Ca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>2.1 (KCNN1) K</w:t>
      </w:r>
      <w:r w:rsidRPr="003F3BD2">
        <w:rPr>
          <w:rStyle w:val="normaltextrun"/>
          <w:rFonts w:ascii="Arial" w:eastAsia="Times New Roman" w:hAnsi="Arial" w:cs="Arial"/>
          <w:vertAlign w:val="superscript"/>
          <w:lang w:val="en-US" w:eastAsia="de-DE"/>
        </w:rPr>
        <w:t>+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 xml:space="preserve"> channel expression by histone deacetylases in atrial fibrillation with concomitant heart failure. </w:t>
      </w:r>
      <w:r w:rsidRPr="003F3BD2">
        <w:rPr>
          <w:rStyle w:val="normaltextrun"/>
          <w:rFonts w:ascii="Arial" w:eastAsia="Times New Roman" w:hAnsi="Arial" w:cs="Arial"/>
          <w:i/>
          <w:lang w:val="en-US" w:eastAsia="de-DE"/>
        </w:rPr>
        <w:t>Physiol Rep</w:t>
      </w:r>
      <w:r w:rsidRPr="003F3BD2">
        <w:rPr>
          <w:rStyle w:val="normaltextrun"/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3F3BD2">
        <w:rPr>
          <w:rStyle w:val="normaltextrun"/>
          <w:rFonts w:ascii="Arial" w:eastAsia="Times New Roman" w:hAnsi="Arial" w:cs="Arial"/>
          <w:lang w:val="en-US" w:eastAsia="de-DE"/>
        </w:rPr>
        <w:t>2021;</w:t>
      </w:r>
      <w:r w:rsidR="001C7972" w:rsidRPr="003F3BD2">
        <w:rPr>
          <w:rStyle w:val="normaltextrun"/>
          <w:rFonts w:ascii="Arial" w:eastAsia="Times New Roman" w:hAnsi="Arial" w:cs="Arial"/>
          <w:lang w:val="en-US" w:eastAsia="de-DE"/>
        </w:rPr>
        <w:t>DOI</w:t>
      </w:r>
      <w:proofErr w:type="gramEnd"/>
      <w:r w:rsidR="001C7972" w:rsidRPr="003F3BD2">
        <w:rPr>
          <w:rStyle w:val="normaltextrun"/>
          <w:rFonts w:ascii="Arial" w:eastAsia="Times New Roman" w:hAnsi="Arial" w:cs="Arial"/>
          <w:lang w:val="en-US" w:eastAsia="de-DE"/>
        </w:rPr>
        <w:t>: 10.14814/phy2.14835.</w:t>
      </w:r>
    </w:p>
    <w:p w14:paraId="607410A2" w14:textId="77777777" w:rsidR="00A753F2" w:rsidRPr="003F3BD2" w:rsidRDefault="00A753F2">
      <w:pPr>
        <w:rPr>
          <w:rFonts w:ascii="Arial" w:hAnsi="Arial" w:cs="Arial"/>
          <w:lang w:val="en-US"/>
        </w:rPr>
      </w:pPr>
    </w:p>
    <w:p w14:paraId="5FAEFEA0" w14:textId="77777777" w:rsidR="00A753F2" w:rsidRPr="003F3BD2" w:rsidRDefault="00A753F2">
      <w:pPr>
        <w:rPr>
          <w:rFonts w:ascii="Arial" w:hAnsi="Arial" w:cs="Arial"/>
          <w:lang w:val="en-US"/>
        </w:rPr>
      </w:pPr>
    </w:p>
    <w:p w14:paraId="576B2FEB" w14:textId="77777777" w:rsidR="00A753F2" w:rsidRPr="003F3BD2" w:rsidRDefault="00A753F2">
      <w:pPr>
        <w:rPr>
          <w:rFonts w:ascii="Arial" w:hAnsi="Arial" w:cs="Arial"/>
          <w:lang w:val="en-US"/>
        </w:rPr>
      </w:pPr>
    </w:p>
    <w:p w14:paraId="461A2483" w14:textId="77777777" w:rsidR="00A753F2" w:rsidRPr="003F3BD2" w:rsidRDefault="00A753F2">
      <w:pPr>
        <w:rPr>
          <w:rFonts w:ascii="Arial" w:hAnsi="Arial" w:cs="Arial"/>
          <w:lang w:val="en-US"/>
        </w:rPr>
      </w:pPr>
    </w:p>
    <w:p w14:paraId="73F77CC5" w14:textId="77777777" w:rsidR="00A753F2" w:rsidRPr="003F3BD2" w:rsidRDefault="00A753F2">
      <w:pPr>
        <w:rPr>
          <w:rFonts w:ascii="Arial" w:hAnsi="Arial" w:cs="Arial"/>
          <w:lang w:val="en-US"/>
        </w:rPr>
      </w:pPr>
    </w:p>
    <w:sectPr w:rsidR="00A753F2" w:rsidRPr="003F3BD2" w:rsidSect="00200564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9660" w14:textId="77777777" w:rsidR="008E7069" w:rsidRDefault="008E7069" w:rsidP="00A753F2">
      <w:pPr>
        <w:spacing w:after="0" w:line="240" w:lineRule="auto"/>
      </w:pPr>
      <w:r>
        <w:separator/>
      </w:r>
    </w:p>
  </w:endnote>
  <w:endnote w:type="continuationSeparator" w:id="0">
    <w:p w14:paraId="7898D552" w14:textId="77777777" w:rsidR="008E7069" w:rsidRDefault="008E7069" w:rsidP="00A7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038921"/>
      <w:docPartObj>
        <w:docPartGallery w:val="Page Numbers (Bottom of Page)"/>
        <w:docPartUnique/>
      </w:docPartObj>
    </w:sdtPr>
    <w:sdtEndPr/>
    <w:sdtContent>
      <w:p w14:paraId="7EB6299F" w14:textId="77777777" w:rsidR="00A753F2" w:rsidRDefault="00A753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849">
          <w:rPr>
            <w:noProof/>
          </w:rPr>
          <w:t>3</w:t>
        </w:r>
        <w:r>
          <w:fldChar w:fldCharType="end"/>
        </w:r>
      </w:p>
    </w:sdtContent>
  </w:sdt>
  <w:p w14:paraId="2D67C122" w14:textId="77777777" w:rsidR="00A753F2" w:rsidRDefault="00A75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E59B" w14:textId="77777777" w:rsidR="008E7069" w:rsidRDefault="008E7069" w:rsidP="00A753F2">
      <w:pPr>
        <w:spacing w:after="0" w:line="240" w:lineRule="auto"/>
      </w:pPr>
      <w:r>
        <w:separator/>
      </w:r>
    </w:p>
  </w:footnote>
  <w:footnote w:type="continuationSeparator" w:id="0">
    <w:p w14:paraId="11BE099E" w14:textId="77777777" w:rsidR="008E7069" w:rsidRDefault="008E7069" w:rsidP="00A75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FF9"/>
    <w:multiLevelType w:val="hybridMultilevel"/>
    <w:tmpl w:val="53B00C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D3E53"/>
    <w:multiLevelType w:val="hybridMultilevel"/>
    <w:tmpl w:val="B1361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D4036"/>
    <w:multiLevelType w:val="hybridMultilevel"/>
    <w:tmpl w:val="3CC84B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36"/>
    <w:rsid w:val="000169E5"/>
    <w:rsid w:val="00020205"/>
    <w:rsid w:val="000376D6"/>
    <w:rsid w:val="000F1503"/>
    <w:rsid w:val="000F1BEB"/>
    <w:rsid w:val="001119BC"/>
    <w:rsid w:val="00122C54"/>
    <w:rsid w:val="001C7972"/>
    <w:rsid w:val="00200564"/>
    <w:rsid w:val="002359D3"/>
    <w:rsid w:val="00292F4E"/>
    <w:rsid w:val="002B3F67"/>
    <w:rsid w:val="00332C01"/>
    <w:rsid w:val="00356AFB"/>
    <w:rsid w:val="003809BD"/>
    <w:rsid w:val="003E2820"/>
    <w:rsid w:val="003E5184"/>
    <w:rsid w:val="003F3BD2"/>
    <w:rsid w:val="003F4574"/>
    <w:rsid w:val="004315CA"/>
    <w:rsid w:val="00431DA0"/>
    <w:rsid w:val="004B5783"/>
    <w:rsid w:val="004D5DE0"/>
    <w:rsid w:val="004E7ED2"/>
    <w:rsid w:val="004F3C7C"/>
    <w:rsid w:val="005A5D82"/>
    <w:rsid w:val="005B5F38"/>
    <w:rsid w:val="00680D1E"/>
    <w:rsid w:val="00694314"/>
    <w:rsid w:val="006A254C"/>
    <w:rsid w:val="006F2CCC"/>
    <w:rsid w:val="006F392E"/>
    <w:rsid w:val="00752EB9"/>
    <w:rsid w:val="007A4A97"/>
    <w:rsid w:val="007F720D"/>
    <w:rsid w:val="00886177"/>
    <w:rsid w:val="008C060A"/>
    <w:rsid w:val="008E7069"/>
    <w:rsid w:val="008F1F8D"/>
    <w:rsid w:val="00901663"/>
    <w:rsid w:val="009066ED"/>
    <w:rsid w:val="009246C1"/>
    <w:rsid w:val="00946849"/>
    <w:rsid w:val="00986C19"/>
    <w:rsid w:val="009F39E7"/>
    <w:rsid w:val="009F55A2"/>
    <w:rsid w:val="00A22E13"/>
    <w:rsid w:val="00A753F2"/>
    <w:rsid w:val="00AB1536"/>
    <w:rsid w:val="00B151E5"/>
    <w:rsid w:val="00B65751"/>
    <w:rsid w:val="00C53BE5"/>
    <w:rsid w:val="00D24073"/>
    <w:rsid w:val="00D84401"/>
    <w:rsid w:val="00DA2D8B"/>
    <w:rsid w:val="00DD3F7F"/>
    <w:rsid w:val="00DE2096"/>
    <w:rsid w:val="00E462F9"/>
    <w:rsid w:val="00E612E4"/>
    <w:rsid w:val="00EF7AAC"/>
    <w:rsid w:val="00F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72F6"/>
  <w15:docId w15:val="{2B3BDFA2-AE46-472C-BF14-5FFBB230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F2"/>
  </w:style>
  <w:style w:type="paragraph" w:styleId="Footer">
    <w:name w:val="footer"/>
    <w:basedOn w:val="Normal"/>
    <w:link w:val="FooterChar"/>
    <w:uiPriority w:val="99"/>
    <w:unhideWhenUsed/>
    <w:rsid w:val="00A7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F2"/>
  </w:style>
  <w:style w:type="paragraph" w:styleId="BalloonText">
    <w:name w:val="Balloon Text"/>
    <w:basedOn w:val="Normal"/>
    <w:link w:val="BalloonTextChar"/>
    <w:uiPriority w:val="99"/>
    <w:semiHidden/>
    <w:unhideWhenUsed/>
    <w:rsid w:val="00A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F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200564"/>
  </w:style>
  <w:style w:type="paragraph" w:customStyle="1" w:styleId="CitaviBibliographyEntry">
    <w:name w:val="Citavi Bibliography Entry"/>
    <w:basedOn w:val="Normal"/>
    <w:link w:val="CitaviBibliographyEntryZchn"/>
    <w:rsid w:val="00200564"/>
    <w:pPr>
      <w:tabs>
        <w:tab w:val="left" w:pos="397"/>
      </w:tabs>
      <w:spacing w:after="0" w:line="259" w:lineRule="auto"/>
      <w:ind w:left="397" w:hanging="397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itaviBibliographyEntryZchn">
    <w:name w:val="Citavi Bibliography Entry Zchn"/>
    <w:basedOn w:val="DefaultParagraphFont"/>
    <w:link w:val="CitaviBibliographyEntry"/>
    <w:rsid w:val="0020056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leGrid">
    <w:name w:val="Table Grid"/>
    <w:basedOn w:val="TableNormal"/>
    <w:unhideWhenUsed/>
    <w:rsid w:val="0002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Dierk</dc:creator>
  <cp:lastModifiedBy>Mel Phimester</cp:lastModifiedBy>
  <cp:revision>2</cp:revision>
  <dcterms:created xsi:type="dcterms:W3CDTF">2021-04-22T02:58:00Z</dcterms:created>
  <dcterms:modified xsi:type="dcterms:W3CDTF">2021-04-22T02:58:00Z</dcterms:modified>
</cp:coreProperties>
</file>