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91398" w14:textId="032FF001" w:rsidR="00D32DBC" w:rsidRPr="00D61E2E" w:rsidRDefault="00D32DBC" w:rsidP="00D32DBC">
      <w:pPr>
        <w:rPr>
          <w:rFonts w:ascii="Arial" w:hAnsi="Arial" w:cs="Arial"/>
          <w:sz w:val="20"/>
          <w:szCs w:val="20"/>
        </w:rPr>
      </w:pPr>
      <w:r w:rsidRPr="00D61E2E">
        <w:rPr>
          <w:rFonts w:ascii="Arial" w:hAnsi="Arial" w:cs="Arial"/>
          <w:b/>
          <w:sz w:val="20"/>
          <w:szCs w:val="20"/>
        </w:rPr>
        <w:t xml:space="preserve">Supplementary </w:t>
      </w:r>
      <w:r w:rsidRPr="00D61E2E">
        <w:rPr>
          <w:rFonts w:ascii="Arial" w:hAnsi="Arial" w:cs="Arial"/>
          <w:b/>
          <w:bCs/>
          <w:sz w:val="20"/>
          <w:szCs w:val="20"/>
        </w:rPr>
        <w:t>Table S1.</w:t>
      </w:r>
      <w:r w:rsidRPr="00D61E2E">
        <w:rPr>
          <w:rFonts w:ascii="Arial" w:hAnsi="Arial" w:cs="Arial"/>
          <w:sz w:val="20"/>
          <w:szCs w:val="20"/>
        </w:rPr>
        <w:t xml:space="preserve"> The optimal </w:t>
      </w:r>
      <w:r w:rsidR="00D61E2E" w:rsidRPr="009A2426">
        <w:rPr>
          <w:rFonts w:ascii="Arial" w:hAnsi="Arial" w:cs="Arial"/>
          <w:sz w:val="20"/>
          <w:szCs w:val="20"/>
        </w:rPr>
        <w:t>cutoff values of hematological factors for overall survival by Receiver operating characteristic (ROC) curve analysis.</w:t>
      </w:r>
    </w:p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none" w:sz="0" w:space="0" w:color="auto"/>
          <w:bottom w:val="single" w:sz="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721"/>
      </w:tblGrid>
      <w:tr w:rsidR="00D32DBC" w:rsidRPr="00D61E2E" w14:paraId="064CCB45" w14:textId="77777777" w:rsidTr="00D32DBC">
        <w:trPr>
          <w:jc w:val="center"/>
        </w:trPr>
        <w:tc>
          <w:tcPr>
            <w:tcW w:w="2868" w:type="dxa"/>
            <w:tcBorders>
              <w:top w:val="single" w:sz="8" w:space="0" w:color="000000" w:themeColor="text1"/>
              <w:bottom w:val="single" w:sz="6" w:space="0" w:color="000000" w:themeColor="text1"/>
            </w:tcBorders>
          </w:tcPr>
          <w:p w14:paraId="03519CE4" w14:textId="77777777" w:rsidR="00D32DBC" w:rsidRPr="00D61E2E" w:rsidRDefault="00D32DBC" w:rsidP="004602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E2E">
              <w:rPr>
                <w:rFonts w:ascii="Arial" w:hAnsi="Arial" w:cs="Arial"/>
                <w:b/>
                <w:bCs/>
                <w:sz w:val="20"/>
                <w:szCs w:val="20"/>
              </w:rPr>
              <w:t>covariates</w:t>
            </w:r>
          </w:p>
        </w:tc>
        <w:tc>
          <w:tcPr>
            <w:tcW w:w="2721" w:type="dxa"/>
            <w:tcBorders>
              <w:top w:val="single" w:sz="8" w:space="0" w:color="000000" w:themeColor="text1"/>
              <w:bottom w:val="single" w:sz="6" w:space="0" w:color="000000" w:themeColor="text1"/>
            </w:tcBorders>
          </w:tcPr>
          <w:p w14:paraId="6CFC952B" w14:textId="77777777" w:rsidR="00D32DBC" w:rsidRPr="00D61E2E" w:rsidRDefault="00D32DBC" w:rsidP="004602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E2E">
              <w:rPr>
                <w:rFonts w:ascii="Arial" w:hAnsi="Arial" w:cs="Arial"/>
                <w:b/>
                <w:bCs/>
                <w:sz w:val="20"/>
                <w:szCs w:val="20"/>
              </w:rPr>
              <w:t>cutoff values</w:t>
            </w:r>
          </w:p>
        </w:tc>
      </w:tr>
      <w:tr w:rsidR="00D32DBC" w:rsidRPr="00D61E2E" w14:paraId="2D0506B1" w14:textId="77777777" w:rsidTr="00D32DBC">
        <w:trPr>
          <w:jc w:val="center"/>
        </w:trPr>
        <w:tc>
          <w:tcPr>
            <w:tcW w:w="2868" w:type="dxa"/>
            <w:tcBorders>
              <w:top w:val="single" w:sz="6" w:space="0" w:color="000000" w:themeColor="text1"/>
            </w:tcBorders>
          </w:tcPr>
          <w:p w14:paraId="4B1EC4D2" w14:textId="02A2F0E9" w:rsidR="00D32DBC" w:rsidRPr="00D61E2E" w:rsidRDefault="00D32DBC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E2E">
              <w:rPr>
                <w:rFonts w:ascii="Arial" w:hAnsi="Arial" w:cs="Arial"/>
                <w:sz w:val="20"/>
                <w:szCs w:val="20"/>
              </w:rPr>
              <w:t>NLR</w:t>
            </w:r>
          </w:p>
        </w:tc>
        <w:tc>
          <w:tcPr>
            <w:tcW w:w="2721" w:type="dxa"/>
            <w:tcBorders>
              <w:top w:val="single" w:sz="6" w:space="0" w:color="000000" w:themeColor="text1"/>
            </w:tcBorders>
          </w:tcPr>
          <w:p w14:paraId="76719350" w14:textId="519C55A9" w:rsidR="00D32DBC" w:rsidRPr="00D61E2E" w:rsidRDefault="00D32DBC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E2E">
              <w:rPr>
                <w:rFonts w:ascii="Arial" w:hAnsi="Arial" w:cs="Arial"/>
                <w:sz w:val="20"/>
                <w:szCs w:val="20"/>
              </w:rPr>
              <w:t>1.706</w:t>
            </w:r>
          </w:p>
        </w:tc>
      </w:tr>
      <w:tr w:rsidR="00D32DBC" w:rsidRPr="00D61E2E" w14:paraId="23DB0B98" w14:textId="77777777" w:rsidTr="00D32DBC">
        <w:trPr>
          <w:jc w:val="center"/>
        </w:trPr>
        <w:tc>
          <w:tcPr>
            <w:tcW w:w="2868" w:type="dxa"/>
          </w:tcPr>
          <w:p w14:paraId="34DE85C0" w14:textId="10BDF41A" w:rsidR="00D32DBC" w:rsidRPr="00D61E2E" w:rsidRDefault="00D32DBC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E2E">
              <w:rPr>
                <w:rFonts w:ascii="Arial" w:hAnsi="Arial" w:cs="Arial"/>
                <w:sz w:val="20"/>
                <w:szCs w:val="20"/>
              </w:rPr>
              <w:t>PLR</w:t>
            </w:r>
          </w:p>
        </w:tc>
        <w:tc>
          <w:tcPr>
            <w:tcW w:w="2721" w:type="dxa"/>
          </w:tcPr>
          <w:p w14:paraId="57BDDB3C" w14:textId="6F752D30" w:rsidR="00D32DBC" w:rsidRPr="00D61E2E" w:rsidRDefault="00D32DBC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E2E">
              <w:rPr>
                <w:rFonts w:ascii="Arial" w:hAnsi="Arial" w:cs="Arial"/>
                <w:sz w:val="20"/>
                <w:szCs w:val="20"/>
              </w:rPr>
              <w:t>87.857</w:t>
            </w:r>
          </w:p>
        </w:tc>
      </w:tr>
      <w:tr w:rsidR="00D32DBC" w:rsidRPr="00D61E2E" w14:paraId="5D334AF8" w14:textId="77777777" w:rsidTr="00D32DBC">
        <w:trPr>
          <w:jc w:val="center"/>
        </w:trPr>
        <w:tc>
          <w:tcPr>
            <w:tcW w:w="2868" w:type="dxa"/>
          </w:tcPr>
          <w:p w14:paraId="25589CC3" w14:textId="19EEA187" w:rsidR="00D32DBC" w:rsidRPr="00D61E2E" w:rsidRDefault="00D32DBC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E2E">
              <w:rPr>
                <w:rFonts w:ascii="Arial" w:hAnsi="Arial" w:cs="Arial"/>
                <w:sz w:val="20"/>
                <w:szCs w:val="20"/>
              </w:rPr>
              <w:t>LMR</w:t>
            </w:r>
          </w:p>
        </w:tc>
        <w:tc>
          <w:tcPr>
            <w:tcW w:w="2721" w:type="dxa"/>
          </w:tcPr>
          <w:p w14:paraId="5382B6CF" w14:textId="0DE4059D" w:rsidR="00D32DBC" w:rsidRPr="00D61E2E" w:rsidRDefault="005E29A4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3.067</w:t>
            </w:r>
          </w:p>
        </w:tc>
      </w:tr>
      <w:tr w:rsidR="00D32DBC" w:rsidRPr="00D61E2E" w14:paraId="4B683705" w14:textId="77777777" w:rsidTr="00D32DBC">
        <w:trPr>
          <w:jc w:val="center"/>
        </w:trPr>
        <w:tc>
          <w:tcPr>
            <w:tcW w:w="2868" w:type="dxa"/>
          </w:tcPr>
          <w:p w14:paraId="13CFFFB6" w14:textId="5217A687" w:rsidR="00D32DBC" w:rsidRPr="00D61E2E" w:rsidRDefault="00D32DBC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E2E">
              <w:rPr>
                <w:rFonts w:ascii="Arial" w:hAnsi="Arial" w:cs="Arial"/>
                <w:sz w:val="20"/>
                <w:szCs w:val="20"/>
              </w:rPr>
              <w:t>PNI</w:t>
            </w:r>
          </w:p>
        </w:tc>
        <w:tc>
          <w:tcPr>
            <w:tcW w:w="2721" w:type="dxa"/>
          </w:tcPr>
          <w:p w14:paraId="2D91A702" w14:textId="44C6635F" w:rsidR="00D32DBC" w:rsidRPr="00D61E2E" w:rsidRDefault="005E29A4" w:rsidP="0046028B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6.5</w:t>
            </w:r>
          </w:p>
        </w:tc>
      </w:tr>
      <w:tr w:rsidR="00D32DBC" w:rsidRPr="00D61E2E" w14:paraId="3D88E84D" w14:textId="77777777" w:rsidTr="00D32DBC">
        <w:trPr>
          <w:jc w:val="center"/>
        </w:trPr>
        <w:tc>
          <w:tcPr>
            <w:tcW w:w="2868" w:type="dxa"/>
          </w:tcPr>
          <w:p w14:paraId="781396C0" w14:textId="614B9B3B" w:rsidR="00D32DBC" w:rsidRPr="00D61E2E" w:rsidRDefault="00D32DBC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E2E">
              <w:rPr>
                <w:rFonts w:ascii="Arial" w:hAnsi="Arial" w:cs="Arial"/>
                <w:sz w:val="20"/>
                <w:szCs w:val="20"/>
              </w:rPr>
              <w:t>AGR</w:t>
            </w:r>
          </w:p>
        </w:tc>
        <w:tc>
          <w:tcPr>
            <w:tcW w:w="2721" w:type="dxa"/>
          </w:tcPr>
          <w:p w14:paraId="228B3F16" w14:textId="2FC8EEE8" w:rsidR="00D32DBC" w:rsidRPr="00D61E2E" w:rsidRDefault="005E29A4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1.908</w:t>
            </w:r>
          </w:p>
        </w:tc>
      </w:tr>
      <w:tr w:rsidR="00D32DBC" w:rsidRPr="00D61E2E" w14:paraId="40EEA6D9" w14:textId="77777777" w:rsidTr="00D32DBC">
        <w:trPr>
          <w:jc w:val="center"/>
        </w:trPr>
        <w:tc>
          <w:tcPr>
            <w:tcW w:w="2868" w:type="dxa"/>
          </w:tcPr>
          <w:p w14:paraId="4844A5F8" w14:textId="7966157B" w:rsidR="00D32DBC" w:rsidRPr="00D61E2E" w:rsidRDefault="00D32DBC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E2E">
              <w:rPr>
                <w:rFonts w:ascii="Arial" w:hAnsi="Arial" w:cs="Arial"/>
                <w:sz w:val="20"/>
                <w:szCs w:val="20"/>
              </w:rPr>
              <w:t>RDW</w:t>
            </w:r>
          </w:p>
        </w:tc>
        <w:tc>
          <w:tcPr>
            <w:tcW w:w="2721" w:type="dxa"/>
          </w:tcPr>
          <w:p w14:paraId="0C9FE653" w14:textId="2E4C5D40" w:rsidR="00D32DBC" w:rsidRPr="00D61E2E" w:rsidRDefault="005E29A4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</w:tr>
      <w:tr w:rsidR="00D32DBC" w:rsidRPr="00D61E2E" w14:paraId="586965DF" w14:textId="77777777" w:rsidTr="00D32DBC">
        <w:trPr>
          <w:jc w:val="center"/>
        </w:trPr>
        <w:tc>
          <w:tcPr>
            <w:tcW w:w="2868" w:type="dxa"/>
          </w:tcPr>
          <w:p w14:paraId="1E83A4E2" w14:textId="3A9995CF" w:rsidR="00D32DBC" w:rsidRPr="00D61E2E" w:rsidRDefault="00D32DBC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E2E">
              <w:rPr>
                <w:rFonts w:ascii="Arial" w:hAnsi="Arial" w:cs="Arial"/>
                <w:sz w:val="20"/>
                <w:szCs w:val="20"/>
              </w:rPr>
              <w:t>GLC</w:t>
            </w:r>
          </w:p>
        </w:tc>
        <w:tc>
          <w:tcPr>
            <w:tcW w:w="2721" w:type="dxa"/>
          </w:tcPr>
          <w:p w14:paraId="3B59219B" w14:textId="29300C30" w:rsidR="00D32DBC" w:rsidRPr="00D61E2E" w:rsidRDefault="005E29A4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</w:t>
            </w:r>
          </w:p>
        </w:tc>
      </w:tr>
      <w:tr w:rsidR="00D32DBC" w:rsidRPr="00D61E2E" w14:paraId="60A82B96" w14:textId="77777777" w:rsidTr="00D32DBC">
        <w:trPr>
          <w:jc w:val="center"/>
        </w:trPr>
        <w:tc>
          <w:tcPr>
            <w:tcW w:w="2868" w:type="dxa"/>
          </w:tcPr>
          <w:p w14:paraId="5E75FCBE" w14:textId="694146F2" w:rsidR="00D32DBC" w:rsidRPr="00D61E2E" w:rsidRDefault="00D32DBC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E2E">
              <w:rPr>
                <w:rFonts w:ascii="Arial" w:hAnsi="Arial" w:cs="Arial"/>
                <w:sz w:val="20"/>
                <w:szCs w:val="20"/>
              </w:rPr>
              <w:t>LDH</w:t>
            </w:r>
          </w:p>
        </w:tc>
        <w:tc>
          <w:tcPr>
            <w:tcW w:w="2721" w:type="dxa"/>
          </w:tcPr>
          <w:p w14:paraId="6F6DF1F7" w14:textId="77A2EEFD" w:rsidR="00D32DBC" w:rsidRPr="00D61E2E" w:rsidRDefault="005E29A4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</w:tr>
      <w:tr w:rsidR="00D32DBC" w:rsidRPr="00D61E2E" w14:paraId="57BE9A95" w14:textId="77777777" w:rsidTr="00D32DBC">
        <w:trPr>
          <w:jc w:val="center"/>
        </w:trPr>
        <w:tc>
          <w:tcPr>
            <w:tcW w:w="2868" w:type="dxa"/>
          </w:tcPr>
          <w:p w14:paraId="2E9D017E" w14:textId="1B0A6B00" w:rsidR="00D32DBC" w:rsidRPr="00D61E2E" w:rsidRDefault="00D32DBC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E2E">
              <w:rPr>
                <w:rFonts w:ascii="Arial" w:hAnsi="Arial" w:cs="Arial"/>
                <w:sz w:val="20"/>
                <w:szCs w:val="20"/>
              </w:rPr>
              <w:t>FIB</w:t>
            </w:r>
          </w:p>
        </w:tc>
        <w:tc>
          <w:tcPr>
            <w:tcW w:w="2721" w:type="dxa"/>
          </w:tcPr>
          <w:p w14:paraId="584F1D1B" w14:textId="4C17C910" w:rsidR="00D32DBC" w:rsidRPr="00D61E2E" w:rsidRDefault="005E29A4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</w:t>
            </w:r>
          </w:p>
        </w:tc>
      </w:tr>
      <w:tr w:rsidR="00D32DBC" w:rsidRPr="00D61E2E" w14:paraId="5146590C" w14:textId="77777777" w:rsidTr="00D32DBC">
        <w:trPr>
          <w:jc w:val="center"/>
        </w:trPr>
        <w:tc>
          <w:tcPr>
            <w:tcW w:w="2868" w:type="dxa"/>
          </w:tcPr>
          <w:p w14:paraId="463D2AE8" w14:textId="73885650" w:rsidR="00D32DBC" w:rsidRPr="00D61E2E" w:rsidRDefault="00D32DBC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E2E">
              <w:rPr>
                <w:rFonts w:ascii="Arial" w:hAnsi="Arial" w:cs="Arial"/>
                <w:sz w:val="20"/>
                <w:szCs w:val="20"/>
              </w:rPr>
              <w:t>DD</w:t>
            </w:r>
          </w:p>
        </w:tc>
        <w:tc>
          <w:tcPr>
            <w:tcW w:w="2721" w:type="dxa"/>
          </w:tcPr>
          <w:p w14:paraId="33A3EBE3" w14:textId="398A6F17" w:rsidR="00D32DBC" w:rsidRPr="00D61E2E" w:rsidRDefault="005E29A4" w:rsidP="0046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0.183</w:t>
            </w:r>
          </w:p>
        </w:tc>
      </w:tr>
    </w:tbl>
    <w:p w14:paraId="63D69C1B" w14:textId="3325B2AA" w:rsidR="00D61E2E" w:rsidRPr="009A2426" w:rsidRDefault="00D61E2E" w:rsidP="00D61E2E">
      <w:pPr>
        <w:rPr>
          <w:rFonts w:ascii="Arial" w:hAnsi="Arial" w:cs="Arial"/>
          <w:sz w:val="20"/>
          <w:szCs w:val="20"/>
        </w:rPr>
      </w:pPr>
      <w:r w:rsidRPr="009A2426">
        <w:rPr>
          <w:rFonts w:ascii="Arial" w:hAnsi="Arial" w:cs="Arial"/>
          <w:b/>
          <w:sz w:val="20"/>
          <w:szCs w:val="20"/>
        </w:rPr>
        <w:t>Abbreviations:</w:t>
      </w:r>
      <w:r w:rsidRPr="009A2426">
        <w:rPr>
          <w:rFonts w:ascii="Arial" w:hAnsi="Arial" w:cs="Arial"/>
          <w:sz w:val="20"/>
          <w:szCs w:val="20"/>
        </w:rPr>
        <w:t xml:space="preserve"> NLR, the neutrophil-to-lymphocyte ratio; PLR, the platelet-to-lymphocyte ratio; LMR, </w:t>
      </w:r>
      <w:r w:rsidR="00A44EE8" w:rsidRPr="00A44EE8">
        <w:rPr>
          <w:rFonts w:ascii="Arial" w:hAnsi="Arial" w:cs="Arial"/>
          <w:sz w:val="20"/>
          <w:szCs w:val="20"/>
        </w:rPr>
        <w:t>the lymphocyte -to- monocyte ratio</w:t>
      </w:r>
      <w:r w:rsidRPr="009A2426">
        <w:rPr>
          <w:rFonts w:ascii="Arial" w:hAnsi="Arial" w:cs="Arial"/>
          <w:sz w:val="20"/>
          <w:szCs w:val="20"/>
        </w:rPr>
        <w:t>; PNI, the prognostic nutrition index; AGR, albumin-to-globulin ratio; RDW, red blood cell distribution width; GLC, glucose; LDH, lactate dehydrogenase; FIB, fibrinogen; DD, D-dimer.</w:t>
      </w:r>
    </w:p>
    <w:p w14:paraId="70E55144" w14:textId="77777777" w:rsidR="006B4213" w:rsidRDefault="006B4213"/>
    <w:sectPr w:rsidR="006B4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FD465" w14:textId="77777777" w:rsidR="003D6649" w:rsidRDefault="003D6649" w:rsidP="00D32DBC">
      <w:pPr>
        <w:spacing w:before="0" w:after="0"/>
      </w:pPr>
      <w:r>
        <w:separator/>
      </w:r>
    </w:p>
  </w:endnote>
  <w:endnote w:type="continuationSeparator" w:id="0">
    <w:p w14:paraId="69C5A50D" w14:textId="77777777" w:rsidR="003D6649" w:rsidRDefault="003D6649" w:rsidP="00D32D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F355D" w14:textId="77777777" w:rsidR="003D6649" w:rsidRDefault="003D6649" w:rsidP="00D32DBC">
      <w:pPr>
        <w:spacing w:before="0" w:after="0"/>
      </w:pPr>
      <w:r>
        <w:separator/>
      </w:r>
    </w:p>
  </w:footnote>
  <w:footnote w:type="continuationSeparator" w:id="0">
    <w:p w14:paraId="515E4140" w14:textId="77777777" w:rsidR="003D6649" w:rsidRDefault="003D6649" w:rsidP="00D32DB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13"/>
    <w:rsid w:val="003D6649"/>
    <w:rsid w:val="005E29A4"/>
    <w:rsid w:val="006B4213"/>
    <w:rsid w:val="007836BF"/>
    <w:rsid w:val="008C5ADD"/>
    <w:rsid w:val="00A44EE8"/>
    <w:rsid w:val="00D04BCE"/>
    <w:rsid w:val="00D32DBC"/>
    <w:rsid w:val="00D6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F88539"/>
  <w15:chartTrackingRefBased/>
  <w15:docId w15:val="{1952147D-4B4E-433C-931C-39C1F4E9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DBC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DB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hAnsiTheme="minorHAns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32DB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2DBC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hAnsiTheme="minorHAns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32DBC"/>
    <w:rPr>
      <w:sz w:val="18"/>
      <w:szCs w:val="18"/>
    </w:rPr>
  </w:style>
  <w:style w:type="table" w:styleId="TableGrid">
    <w:name w:val="Table Grid"/>
    <w:basedOn w:val="TableNormal"/>
    <w:uiPriority w:val="39"/>
    <w:rsid w:val="00D32DBC"/>
    <w:rPr>
      <w:rFonts w:asciiTheme="majorHAnsi" w:hAnsiTheme="maj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c</dc:creator>
  <cp:keywords/>
  <dc:description/>
  <cp:lastModifiedBy>Boon Lee</cp:lastModifiedBy>
  <cp:revision>2</cp:revision>
  <dcterms:created xsi:type="dcterms:W3CDTF">2021-02-01T23:24:00Z</dcterms:created>
  <dcterms:modified xsi:type="dcterms:W3CDTF">2021-02-01T23:24:00Z</dcterms:modified>
</cp:coreProperties>
</file>