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D20" w14:textId="77777777" w:rsidR="00953667" w:rsidRDefault="00257373">
      <w:pPr>
        <w:pStyle w:val="BATitle"/>
        <w:spacing w:before="360"/>
        <w:rPr>
          <w:rFonts w:eastAsia="SimSun"/>
          <w:b/>
          <w:bCs/>
          <w:sz w:val="32"/>
          <w:szCs w:val="32"/>
        </w:rPr>
      </w:pPr>
      <w:r>
        <w:rPr>
          <w:rFonts w:eastAsia="SimSun"/>
          <w:b/>
          <w:bCs/>
          <w:sz w:val="32"/>
          <w:szCs w:val="32"/>
        </w:rPr>
        <w:t>Supporting Information</w:t>
      </w:r>
    </w:p>
    <w:p w14:paraId="697A4C22" w14:textId="77777777" w:rsidR="00953667" w:rsidRDefault="00257373">
      <w:pPr>
        <w:pStyle w:val="BATitle"/>
        <w:spacing w:before="360"/>
        <w:rPr>
          <w:rFonts w:ascii="Arial" w:hAnsi="Arial" w:cs="Arial"/>
          <w:b/>
          <w:bCs/>
          <w:sz w:val="32"/>
          <w:szCs w:val="32"/>
          <w:lang w:eastAsia="zh-CN"/>
        </w:rPr>
      </w:pPr>
      <w:bookmarkStart w:id="0" w:name="OLE_LINK6"/>
      <w:r>
        <w:rPr>
          <w:rFonts w:ascii="Arial" w:hAnsi="Arial" w:cs="Arial"/>
          <w:b/>
          <w:bCs/>
          <w:sz w:val="32"/>
          <w:szCs w:val="32"/>
          <w:lang w:eastAsia="zh-CN"/>
        </w:rPr>
        <w:t>tLyP-1 Peptide Functionalized Human H Chain Ferritin for Targeted Delivery of Paclitaxel</w:t>
      </w:r>
    </w:p>
    <w:bookmarkEnd w:id="0"/>
    <w:p w14:paraId="0C4DA24A" w14:textId="77777777" w:rsidR="00953667" w:rsidRDefault="00953667"/>
    <w:p w14:paraId="19579CB8" w14:textId="77777777" w:rsidR="00953667" w:rsidRDefault="00257373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Protein sequences of </w:t>
      </w:r>
      <w:r>
        <w:rPr>
          <w:rFonts w:ascii="Times New Roman" w:eastAsia="SimSun" w:hAnsi="Times New Roman" w:cs="Times New Roman"/>
          <w:b/>
          <w:sz w:val="24"/>
          <w:szCs w:val="24"/>
        </w:rPr>
        <w:t>tLyP-1-HFtn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and M</w:t>
      </w:r>
      <w:r>
        <w:rPr>
          <w:rFonts w:ascii="Times New Roman" w:eastAsia="SimSun" w:hAnsi="Times New Roman" w:cs="Times New Roman"/>
          <w:b/>
          <w:sz w:val="24"/>
          <w:szCs w:val="24"/>
        </w:rPr>
        <w:t>-tLyP-1-HFtn</w:t>
      </w:r>
    </w:p>
    <w:p w14:paraId="5123FC49" w14:textId="77777777" w:rsidR="00953667" w:rsidRDefault="00257373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tLyP-1-HFtn</w:t>
      </w:r>
    </w:p>
    <w:p w14:paraId="6C925442" w14:textId="77777777" w:rsidR="00953667" w:rsidRDefault="00257373">
      <w:pPr>
        <w:rPr>
          <w:rFonts w:ascii="Helvetica" w:eastAsia="Helvetica" w:hAnsi="Helvetica"/>
          <w:color w:val="4BACC6"/>
          <w:szCs w:val="21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u w:val="single"/>
        </w:rPr>
        <w:t>CGNKRTR</w:t>
      </w:r>
      <w:r>
        <w:rPr>
          <w:rFonts w:ascii="Times New Roman" w:eastAsia="SimSun" w:hAnsi="Times New Roman" w:cs="Times New Roman"/>
          <w:sz w:val="24"/>
          <w:szCs w:val="24"/>
        </w:rPr>
        <w:t>GGGGS</w:t>
      </w:r>
      <w:r>
        <w:rPr>
          <w:rFonts w:ascii="Helvetica" w:eastAsia="Helvetica" w:hAnsi="Helvetica"/>
          <w:color w:val="0070C0"/>
          <w:szCs w:val="21"/>
        </w:rPr>
        <w:t>MTTASTSQVRQNYHQDSEAAINRQINLELYASYVYLSMSYYFDRDDVALKNFAKYFLHQSHEEREHAEKLMKLQNQRGGRIFLQDIKKPDCDDWESGLNAMECALHLEKNVNQSLLELHKLATDKNDPHLCDFIETHYLNEQVKAIKELGDHVTNLRKMGAPESGLAEYLFDKHTLGDSDNES</w:t>
      </w:r>
    </w:p>
    <w:p w14:paraId="44B75CB7" w14:textId="77777777" w:rsidR="00953667" w:rsidRDefault="00953667">
      <w:pPr>
        <w:rPr>
          <w:rFonts w:ascii="Helvetica" w:eastAsia="Helvetica" w:hAnsi="Helvetica"/>
          <w:color w:val="4BACC6"/>
          <w:szCs w:val="21"/>
        </w:rPr>
      </w:pPr>
    </w:p>
    <w:p w14:paraId="496CB252" w14:textId="77777777" w:rsidR="00953667" w:rsidRDefault="00257373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M</w:t>
      </w:r>
      <w:r>
        <w:rPr>
          <w:rFonts w:ascii="Times New Roman" w:eastAsia="SimSun" w:hAnsi="Times New Roman" w:cs="Times New Roman"/>
          <w:b/>
          <w:sz w:val="24"/>
          <w:szCs w:val="24"/>
        </w:rPr>
        <w:t>-tLyP-1-HFtn</w:t>
      </w:r>
    </w:p>
    <w:p w14:paraId="6A01C575" w14:textId="77777777" w:rsidR="00953667" w:rsidRDefault="00257373">
      <w:pPr>
        <w:rPr>
          <w:rFonts w:ascii="Helvetica" w:eastAsia="Helvetica" w:hAnsi="Helvetica"/>
          <w:color w:val="0070C0"/>
          <w:szCs w:val="21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u w:val="single"/>
        </w:rPr>
        <w:t>CGN</w:t>
      </w:r>
      <w:r>
        <w:rPr>
          <w:rFonts w:ascii="Times New Roman" w:eastAsia="SimSun" w:hAnsi="Times New Roman" w:cs="Times New Roman"/>
          <w:color w:val="FF0000"/>
          <w:sz w:val="24"/>
          <w:szCs w:val="24"/>
          <w:u w:val="single"/>
        </w:rPr>
        <w:t>A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u w:val="single"/>
        </w:rPr>
        <w:t>RT</w:t>
      </w:r>
      <w:r>
        <w:rPr>
          <w:rFonts w:ascii="Times New Roman" w:eastAsia="SimSun" w:hAnsi="Times New Roman" w:cs="Times New Roman"/>
          <w:color w:val="FF0000"/>
          <w:sz w:val="24"/>
          <w:szCs w:val="24"/>
          <w:u w:val="single"/>
        </w:rPr>
        <w:t>A</w:t>
      </w:r>
      <w:r>
        <w:rPr>
          <w:rFonts w:ascii="Times New Roman" w:eastAsia="SimSun" w:hAnsi="Times New Roman" w:cs="Times New Roman"/>
          <w:sz w:val="24"/>
          <w:szCs w:val="24"/>
        </w:rPr>
        <w:t>GGGGS</w:t>
      </w:r>
      <w:r>
        <w:rPr>
          <w:rFonts w:ascii="Helvetica" w:eastAsia="Helvetica" w:hAnsi="Helvetica"/>
          <w:color w:val="0070C0"/>
          <w:szCs w:val="21"/>
        </w:rPr>
        <w:t>MTTASTSQVRQNYHQDSEAAINRQINLELYASYVYLSMSYYFDRDDVALKNFAKYFLHQSHEEREHAEKLMKLQNQRGGRIFLQDIKKPDCDDWESGLNAMECALHLEKNVNQSLLELHKLATDKNDPHLCDFIETHYLNEQVKAIKELGDHVTNLRKMGAPESGLAEYLFDKHTLGDSDNES</w:t>
      </w:r>
    </w:p>
    <w:p w14:paraId="61011941" w14:textId="77777777" w:rsidR="00953667" w:rsidRDefault="00953667">
      <w:pPr>
        <w:jc w:val="center"/>
        <w:rPr>
          <w:b/>
        </w:rPr>
      </w:pPr>
    </w:p>
    <w:p w14:paraId="0232C735" w14:textId="77777777" w:rsidR="00953667" w:rsidRDefault="00257373">
      <w:pPr>
        <w:jc w:val="center"/>
        <w:rPr>
          <w:b/>
        </w:rPr>
      </w:pPr>
      <w:r>
        <w:rPr>
          <w:rFonts w:hint="eastAsia"/>
          <w:b/>
          <w:noProof/>
        </w:rPr>
        <w:drawing>
          <wp:inline distT="0" distB="0" distL="114300" distR="114300" wp14:anchorId="6F8F983A" wp14:editId="72CFE034">
            <wp:extent cx="2988310" cy="1987550"/>
            <wp:effectExtent l="0" t="0" r="2540" b="1270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0E1A4" w14:textId="77777777" w:rsidR="00953667" w:rsidRDefault="00953667">
      <w:pPr>
        <w:jc w:val="center"/>
        <w:rPr>
          <w:b/>
        </w:rPr>
      </w:pPr>
    </w:p>
    <w:p w14:paraId="2FAD42EC" w14:textId="77777777" w:rsidR="00953667" w:rsidRDefault="00257373">
      <w:pPr>
        <w:jc w:val="center"/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 wp14:anchorId="2BD923E7" wp14:editId="444315E2">
            <wp:extent cx="2988310" cy="20161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</w:rPr>
        <w:drawing>
          <wp:inline distT="0" distB="0" distL="0" distR="0" wp14:anchorId="5CAB4515" wp14:editId="3186297F">
            <wp:extent cx="2988310" cy="21253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2955" w14:textId="77777777" w:rsidR="00953667" w:rsidRDefault="00953667">
      <w:pPr>
        <w:rPr>
          <w:b/>
        </w:rPr>
      </w:pPr>
    </w:p>
    <w:p w14:paraId="3957744D" w14:textId="77777777" w:rsidR="00953667" w:rsidRDefault="00257373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AdvOT2e364b11" w:hAnsi="AdvOT2e364b11" w:cs="AdvOT2e364b11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Electrophoretic monitoring of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HFtn</w:t>
      </w:r>
      <w:proofErr w:type="spellEnd"/>
      <w:r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</w:rPr>
        <w:t>tLyP-1-HFtn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 M</w:t>
      </w:r>
      <w:r>
        <w:rPr>
          <w:rFonts w:ascii="Times New Roman" w:eastAsia="SimSun" w:hAnsi="Times New Roman" w:cs="Times New Roman"/>
          <w:sz w:val="24"/>
          <w:szCs w:val="24"/>
        </w:rPr>
        <w:t>-tLyP-1-HFtn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protein purification. Lane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Marker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Lane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Before induction. Lane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After induction. Lane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Soluble fraction. Lane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Insoluble fraction. Lane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Flow through. Lane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: Wash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Lane </w:t>
      </w:r>
      <w:r>
        <w:rPr>
          <w:rFonts w:ascii="Times New Roman" w:hAnsi="Times New Roman" w:cs="Times New Roman"/>
          <w:kern w:val="0"/>
          <w:sz w:val="24"/>
          <w:szCs w:val="24"/>
        </w:rPr>
        <w:t>7: Wash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Lane 8: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Purified </w:t>
      </w:r>
      <w:r>
        <w:rPr>
          <w:rFonts w:ascii="Times New Roman" w:hAnsi="Times New Roman" w:cs="Times New Roman"/>
          <w:kern w:val="0"/>
          <w:sz w:val="24"/>
          <w:szCs w:val="24"/>
        </w:rPr>
        <w:t>protein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158051" w14:textId="77777777" w:rsidR="00953667" w:rsidRDefault="00953667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2E8952B" w14:textId="77777777" w:rsidR="00953667" w:rsidRDefault="0025737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able S1. </w:t>
      </w:r>
      <w:r>
        <w:rPr>
          <w:rFonts w:ascii="Times New Roman" w:hAnsi="Times New Roman" w:cs="Times New Roman"/>
          <w:sz w:val="24"/>
          <w:szCs w:val="24"/>
        </w:rPr>
        <w:t>Characteristics of various PTX-loaded NPs (n=3)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1718"/>
        <w:gridCol w:w="1732"/>
        <w:gridCol w:w="1385"/>
      </w:tblGrid>
      <w:tr w:rsidR="00953667" w14:paraId="677CEAD9" w14:textId="77777777">
        <w:trPr>
          <w:jc w:val="center"/>
        </w:trPr>
        <w:tc>
          <w:tcPr>
            <w:tcW w:w="2304" w:type="dxa"/>
            <w:tcBorders>
              <w:left w:val="nil"/>
              <w:right w:val="nil"/>
            </w:tcBorders>
          </w:tcPr>
          <w:p w14:paraId="1FAF6246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Formulations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2659CE21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Mean diameter (nm)</w:t>
            </w:r>
          </w:p>
        </w:tc>
        <w:tc>
          <w:tcPr>
            <w:tcW w:w="1732" w:type="dxa"/>
            <w:tcBorders>
              <w:left w:val="nil"/>
              <w:right w:val="nil"/>
            </w:tcBorders>
          </w:tcPr>
          <w:p w14:paraId="5E459264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Encapsulation efficiency (%)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 w14:paraId="2E0DEE54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Loading capacity (%)</w:t>
            </w:r>
          </w:p>
        </w:tc>
      </w:tr>
      <w:tr w:rsidR="00953667" w14:paraId="09F9B9A4" w14:textId="77777777">
        <w:trPr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E4A7AF9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OLE_LINK3" w:colFirst="1" w:colLast="3"/>
            <w:bookmarkStart w:id="2" w:name="OLE_LINK2" w:colFirst="2" w:colLast="2"/>
            <w:proofErr w:type="spellStart"/>
            <w:r>
              <w:rPr>
                <w:rFonts w:ascii="Times New Roman" w:hAnsi="Times New Roman" w:cs="Times New Roman"/>
                <w:szCs w:val="21"/>
              </w:rPr>
              <w:t>HF</w:t>
            </w:r>
            <w:r>
              <w:rPr>
                <w:rFonts w:ascii="Times New Roman" w:hAnsi="Times New Roman" w:cs="Times New Roman" w:hint="eastAsia"/>
                <w:szCs w:val="21"/>
              </w:rPr>
              <w:t>tn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-PTX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4A5C6AC3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12.0</w:t>
            </w:r>
            <w:bookmarkStart w:id="3" w:name="OLE_LINK39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 xml:space="preserve"> 0.50</w:t>
            </w:r>
            <w:bookmarkEnd w:id="3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56789F8B" w14:textId="77777777" w:rsidR="00953667" w:rsidRDefault="00257373">
            <w:pPr>
              <w:jc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18.4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 0.3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C8D7621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 xml:space="preserve"> 0.42</w:t>
            </w:r>
            <w:r>
              <w:rPr>
                <w:rFonts w:ascii="Times New Roman" w:eastAsia="Microsoft YaHei" w:hAnsi="Times New Roman" w:cs="Times New Roman"/>
                <w:szCs w:val="21"/>
              </w:rPr>
              <w:t xml:space="preserve"> </w:t>
            </w:r>
          </w:p>
        </w:tc>
      </w:tr>
      <w:tr w:rsidR="00953667" w14:paraId="6DD8B244" w14:textId="77777777">
        <w:trPr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C53808D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L</w:t>
            </w:r>
            <w:r>
              <w:rPr>
                <w:rFonts w:ascii="Times New Roman" w:hAnsi="Times New Roman" w:cs="Times New Roman" w:hint="eastAsia"/>
                <w:szCs w:val="21"/>
              </w:rPr>
              <w:t>y</w:t>
            </w:r>
            <w:r>
              <w:rPr>
                <w:rFonts w:ascii="Times New Roman" w:hAnsi="Times New Roman" w:cs="Times New Roman"/>
                <w:szCs w:val="21"/>
              </w:rPr>
              <w:t>P-1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HF</w:t>
            </w:r>
            <w:r>
              <w:rPr>
                <w:rFonts w:ascii="Times New Roman" w:hAnsi="Times New Roman" w:cs="Times New Roman" w:hint="eastAsia"/>
                <w:szCs w:val="21"/>
              </w:rPr>
              <w:t>tn</w:t>
            </w:r>
            <w:r>
              <w:rPr>
                <w:rFonts w:ascii="Times New Roman" w:hAnsi="Times New Roman" w:cs="Times New Roman"/>
                <w:szCs w:val="21"/>
              </w:rPr>
              <w:t>-PTX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3A776F00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 xml:space="preserve"> 0.25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2EA1B4F" w14:textId="77777777" w:rsidR="00953667" w:rsidRDefault="00257373">
            <w:pPr>
              <w:jc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19.0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 0.5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A26640A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2.9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 xml:space="preserve"> 0.22</w:t>
            </w:r>
          </w:p>
        </w:tc>
      </w:tr>
      <w:tr w:rsidR="00953667" w14:paraId="6FC0C470" w14:textId="77777777">
        <w:trPr>
          <w:jc w:val="center"/>
        </w:trPr>
        <w:tc>
          <w:tcPr>
            <w:tcW w:w="2304" w:type="dxa"/>
            <w:tcBorders>
              <w:top w:val="nil"/>
              <w:left w:val="nil"/>
              <w:right w:val="nil"/>
            </w:tcBorders>
          </w:tcPr>
          <w:p w14:paraId="2D3BC45A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M- t</w:t>
            </w:r>
            <w:r>
              <w:rPr>
                <w:rFonts w:ascii="Times New Roman" w:hAnsi="Times New Roman" w:cs="Times New Roman"/>
                <w:szCs w:val="21"/>
              </w:rPr>
              <w:t>L</w:t>
            </w:r>
            <w:r>
              <w:rPr>
                <w:rFonts w:ascii="Times New Roman" w:hAnsi="Times New Roman" w:cs="Times New Roman" w:hint="eastAsia"/>
                <w:szCs w:val="21"/>
              </w:rPr>
              <w:t>y</w:t>
            </w:r>
            <w:r>
              <w:rPr>
                <w:rFonts w:ascii="Times New Roman" w:hAnsi="Times New Roman" w:cs="Times New Roman"/>
                <w:szCs w:val="21"/>
              </w:rPr>
              <w:t>P-1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HF</w:t>
            </w:r>
            <w:r>
              <w:rPr>
                <w:rFonts w:ascii="Times New Roman" w:hAnsi="Times New Roman" w:cs="Times New Roman" w:hint="eastAsia"/>
                <w:szCs w:val="21"/>
              </w:rPr>
              <w:t>tn</w:t>
            </w:r>
            <w:r>
              <w:rPr>
                <w:rFonts w:ascii="Times New Roman" w:hAnsi="Times New Roman" w:cs="Times New Roman"/>
                <w:szCs w:val="21"/>
              </w:rPr>
              <w:t>-PTX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 w14:paraId="68E88F07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12.8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 xml:space="preserve"> 0.32</w:t>
            </w: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</w:tcPr>
          <w:p w14:paraId="3CC3F3AF" w14:textId="77777777" w:rsidR="00953667" w:rsidRDefault="00257373">
            <w:pPr>
              <w:jc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18.3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 0.4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446848E1" w14:textId="77777777" w:rsidR="00953667" w:rsidRDefault="002573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</w:rPr>
              <w:t>±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 xml:space="preserve"> 0.31</w:t>
            </w:r>
          </w:p>
        </w:tc>
      </w:tr>
      <w:bookmarkEnd w:id="1"/>
      <w:bookmarkEnd w:id="2"/>
    </w:tbl>
    <w:p w14:paraId="513D01AF" w14:textId="77777777" w:rsidR="00953667" w:rsidRDefault="00953667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76804D" w14:textId="77777777" w:rsidR="00953667" w:rsidRDefault="00257373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114300" distR="114300" wp14:anchorId="02F2B213" wp14:editId="33A63A93">
            <wp:extent cx="4674235" cy="1741805"/>
            <wp:effectExtent l="0" t="0" r="12065" b="10795"/>
            <wp:docPr id="3" name="图片 3" descr="ZUIZH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ZUIZHO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4C8C3" w14:textId="77777777" w:rsidR="00953667" w:rsidRDefault="00257373">
      <w:pPr>
        <w:rPr>
          <w:rFonts w:ascii="Times New Roman" w:eastAsia="SimSu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S2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AdvOT2e364b11" w:hAnsi="AdvOT2e364b11" w:cs="AdvOT2e364b11"/>
          <w:kern w:val="0"/>
          <w:sz w:val="18"/>
          <w:szCs w:val="18"/>
        </w:rPr>
        <w:t xml:space="preserve"> </w:t>
      </w:r>
      <w:r>
        <w:rPr>
          <w:rFonts w:ascii="Times New Roman" w:eastAsia="SimSun" w:hAnsi="Times New Roman" w:cs="Times New Roman" w:hint="eastAsia"/>
          <w:bCs/>
          <w:iCs/>
          <w:sz w:val="24"/>
        </w:rPr>
        <w:t xml:space="preserve">Western blot </w:t>
      </w:r>
      <w:r>
        <w:rPr>
          <w:rFonts w:ascii="Times New Roman" w:eastAsia="SimSun" w:hAnsi="Times New Roman" w:cs="Times New Roman"/>
          <w:bCs/>
          <w:iCs/>
          <w:sz w:val="24"/>
        </w:rPr>
        <w:t xml:space="preserve">analysis </w:t>
      </w:r>
      <w:r>
        <w:rPr>
          <w:rFonts w:ascii="Times New Roman" w:eastAsia="SimSun" w:hAnsi="Times New Roman" w:cs="Times New Roman" w:hint="eastAsia"/>
          <w:bCs/>
          <w:iCs/>
          <w:sz w:val="24"/>
        </w:rPr>
        <w:t>of TfR1 and NRP-1 expression in MDA-MB-231 and SMMC-7721 cells.</w:t>
      </w:r>
    </w:p>
    <w:p w14:paraId="7336C2EB" w14:textId="77777777" w:rsidR="00953667" w:rsidRDefault="00953667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6E0A8A9" w14:textId="77777777" w:rsidR="00953667" w:rsidRDefault="00257373">
      <w:pPr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Table S2.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IC50 values of various PTX formulations (n=3)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2595"/>
        <w:gridCol w:w="2225"/>
        <w:gridCol w:w="1681"/>
      </w:tblGrid>
      <w:tr w:rsidR="00953667" w14:paraId="0161B9C5" w14:textId="77777777">
        <w:tc>
          <w:tcPr>
            <w:tcW w:w="1845" w:type="dxa"/>
            <w:tcBorders>
              <w:left w:val="nil"/>
              <w:right w:val="nil"/>
            </w:tcBorders>
          </w:tcPr>
          <w:p w14:paraId="43B31577" w14:textId="77777777" w:rsidR="00953667" w:rsidRDefault="00953667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nil"/>
              <w:right w:val="nil"/>
            </w:tcBorders>
          </w:tcPr>
          <w:p w14:paraId="484B474D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tLyP-1-HFtn-PTX (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μg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/mL)</w:t>
            </w:r>
          </w:p>
        </w:tc>
        <w:tc>
          <w:tcPr>
            <w:tcW w:w="2287" w:type="dxa"/>
            <w:tcBorders>
              <w:left w:val="nil"/>
              <w:right w:val="nil"/>
            </w:tcBorders>
          </w:tcPr>
          <w:p w14:paraId="0AFB4358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HFtn</w:t>
            </w:r>
            <w:proofErr w:type="spellEnd"/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-PTX </w:t>
            </w:r>
          </w:p>
          <w:p w14:paraId="64534FCC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μg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/mL)</w:t>
            </w:r>
          </w:p>
        </w:tc>
        <w:tc>
          <w:tcPr>
            <w:tcW w:w="1715" w:type="dxa"/>
            <w:tcBorders>
              <w:left w:val="nil"/>
              <w:right w:val="nil"/>
            </w:tcBorders>
          </w:tcPr>
          <w:p w14:paraId="6B29343A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PTX</w:t>
            </w:r>
          </w:p>
          <w:p w14:paraId="26C57D39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μg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/mL)</w:t>
            </w:r>
          </w:p>
        </w:tc>
      </w:tr>
      <w:tr w:rsidR="00953667" w14:paraId="2EC6FE78" w14:textId="77777777">
        <w:tc>
          <w:tcPr>
            <w:tcW w:w="1845" w:type="dxa"/>
            <w:tcBorders>
              <w:left w:val="nil"/>
              <w:bottom w:val="nil"/>
              <w:right w:val="nil"/>
            </w:tcBorders>
          </w:tcPr>
          <w:p w14:paraId="1D2067AD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SMMC-7721</w:t>
            </w:r>
          </w:p>
        </w:tc>
        <w:tc>
          <w:tcPr>
            <w:tcW w:w="2675" w:type="dxa"/>
            <w:tcBorders>
              <w:left w:val="nil"/>
              <w:bottom w:val="nil"/>
              <w:right w:val="nil"/>
            </w:tcBorders>
          </w:tcPr>
          <w:p w14:paraId="7F3618A9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1.60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 0.05</w:t>
            </w:r>
          </w:p>
        </w:tc>
        <w:tc>
          <w:tcPr>
            <w:tcW w:w="2287" w:type="dxa"/>
            <w:tcBorders>
              <w:left w:val="nil"/>
              <w:bottom w:val="nil"/>
              <w:right w:val="nil"/>
            </w:tcBorders>
          </w:tcPr>
          <w:p w14:paraId="595CF54E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1.73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 0.01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5E3B94C4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1.10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 0.07</w:t>
            </w:r>
          </w:p>
        </w:tc>
      </w:tr>
      <w:tr w:rsidR="00953667" w14:paraId="75794368" w14:textId="77777777">
        <w:tc>
          <w:tcPr>
            <w:tcW w:w="1845" w:type="dxa"/>
            <w:tcBorders>
              <w:top w:val="nil"/>
              <w:left w:val="nil"/>
              <w:right w:val="nil"/>
            </w:tcBorders>
          </w:tcPr>
          <w:p w14:paraId="231CFE36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>MDA-MB-231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</w:tcPr>
          <w:p w14:paraId="2A51356F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1.47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 0.02</w:t>
            </w:r>
          </w:p>
        </w:tc>
        <w:tc>
          <w:tcPr>
            <w:tcW w:w="2287" w:type="dxa"/>
            <w:tcBorders>
              <w:top w:val="nil"/>
              <w:left w:val="nil"/>
              <w:right w:val="nil"/>
            </w:tcBorders>
          </w:tcPr>
          <w:p w14:paraId="087BB8AC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1.67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 0.10</w:t>
            </w: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</w:tcPr>
          <w:p w14:paraId="0D684DB1" w14:textId="77777777" w:rsidR="00953667" w:rsidRDefault="00257373">
            <w:pPr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1.07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iCs/>
                <w:sz w:val="24"/>
                <w:szCs w:val="24"/>
              </w:rPr>
              <w:t xml:space="preserve"> 0.15</w:t>
            </w:r>
          </w:p>
        </w:tc>
      </w:tr>
    </w:tbl>
    <w:p w14:paraId="481BF141" w14:textId="77777777" w:rsidR="00953667" w:rsidRDefault="00257373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114300" distR="114300" wp14:anchorId="0B21F1AC" wp14:editId="30411CEA">
            <wp:extent cx="5151120" cy="5004435"/>
            <wp:effectExtent l="0" t="0" r="11430" b="5715"/>
            <wp:docPr id="5" name="图片 5" descr="未标题-1-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未标题-1-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50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29D8" w14:textId="77777777" w:rsidR="00953667" w:rsidRDefault="00257373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S3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Apoptotic profiles of the nanoparticles after incubation with MDA-MB-231 and SMMC-7721 cells for 24 h were</w:t>
      </w:r>
      <w:bookmarkStart w:id="4" w:name="OLE_LINK1"/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(A) and (B), respectively. </w:t>
      </w:r>
      <w:bookmarkEnd w:id="4"/>
      <w:r>
        <w:rPr>
          <w:rFonts w:ascii="Times New Roman" w:hAnsi="Times New Roman" w:cs="Times New Roman" w:hint="eastAsia"/>
          <w:kern w:val="0"/>
          <w:sz w:val="24"/>
          <w:szCs w:val="24"/>
        </w:rPr>
        <w:t>(C, D) Apoptosis indexes were defined as early and late apoptotic cells (n = 3).</w:t>
      </w:r>
    </w:p>
    <w:p w14:paraId="5B693E80" w14:textId="77777777" w:rsidR="00953667" w:rsidRDefault="00953667">
      <w:pPr>
        <w:spacing w:line="360" w:lineRule="auto"/>
      </w:pPr>
    </w:p>
    <w:sectPr w:rsidR="0095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dvOT2e364b11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3B"/>
    <w:rsid w:val="0001074C"/>
    <w:rsid w:val="0003633C"/>
    <w:rsid w:val="00046FC1"/>
    <w:rsid w:val="000576CB"/>
    <w:rsid w:val="000E6E98"/>
    <w:rsid w:val="00122FEF"/>
    <w:rsid w:val="00141D75"/>
    <w:rsid w:val="00165389"/>
    <w:rsid w:val="002031A6"/>
    <w:rsid w:val="00215A53"/>
    <w:rsid w:val="0022439C"/>
    <w:rsid w:val="00257373"/>
    <w:rsid w:val="00263BB8"/>
    <w:rsid w:val="002710A0"/>
    <w:rsid w:val="0027625B"/>
    <w:rsid w:val="00293769"/>
    <w:rsid w:val="002C29F2"/>
    <w:rsid w:val="002F5F9F"/>
    <w:rsid w:val="00371B97"/>
    <w:rsid w:val="0038310E"/>
    <w:rsid w:val="003A6F3B"/>
    <w:rsid w:val="003D5EDB"/>
    <w:rsid w:val="003F249F"/>
    <w:rsid w:val="004018EA"/>
    <w:rsid w:val="00422231"/>
    <w:rsid w:val="00472271"/>
    <w:rsid w:val="004F2378"/>
    <w:rsid w:val="0050025A"/>
    <w:rsid w:val="00520726"/>
    <w:rsid w:val="00540C1D"/>
    <w:rsid w:val="005467F2"/>
    <w:rsid w:val="005D1E18"/>
    <w:rsid w:val="00660ADD"/>
    <w:rsid w:val="006936EB"/>
    <w:rsid w:val="006E042D"/>
    <w:rsid w:val="006F5B91"/>
    <w:rsid w:val="006F5E33"/>
    <w:rsid w:val="0076470E"/>
    <w:rsid w:val="007815B8"/>
    <w:rsid w:val="00793AE3"/>
    <w:rsid w:val="007C0B91"/>
    <w:rsid w:val="007F29E2"/>
    <w:rsid w:val="007F3E8E"/>
    <w:rsid w:val="00812728"/>
    <w:rsid w:val="00853078"/>
    <w:rsid w:val="008A5BBC"/>
    <w:rsid w:val="008B3765"/>
    <w:rsid w:val="009336D5"/>
    <w:rsid w:val="00953667"/>
    <w:rsid w:val="009554D7"/>
    <w:rsid w:val="009B531C"/>
    <w:rsid w:val="009E6CE9"/>
    <w:rsid w:val="00A25E0D"/>
    <w:rsid w:val="00A63281"/>
    <w:rsid w:val="00A77796"/>
    <w:rsid w:val="00A97770"/>
    <w:rsid w:val="00AE47B4"/>
    <w:rsid w:val="00B63B80"/>
    <w:rsid w:val="00B828AA"/>
    <w:rsid w:val="00BB208C"/>
    <w:rsid w:val="00BC5166"/>
    <w:rsid w:val="00BE2E6C"/>
    <w:rsid w:val="00C01168"/>
    <w:rsid w:val="00C70CA0"/>
    <w:rsid w:val="00D22CA7"/>
    <w:rsid w:val="00D2338C"/>
    <w:rsid w:val="00D7079A"/>
    <w:rsid w:val="00DB436B"/>
    <w:rsid w:val="00DE3D38"/>
    <w:rsid w:val="00E10D6E"/>
    <w:rsid w:val="00E8619D"/>
    <w:rsid w:val="00E965A0"/>
    <w:rsid w:val="00F264F5"/>
    <w:rsid w:val="00F66956"/>
    <w:rsid w:val="00F84CAB"/>
    <w:rsid w:val="043B7436"/>
    <w:rsid w:val="04801322"/>
    <w:rsid w:val="04CC54C8"/>
    <w:rsid w:val="05F74D1D"/>
    <w:rsid w:val="06953F53"/>
    <w:rsid w:val="06BE0C39"/>
    <w:rsid w:val="07273F86"/>
    <w:rsid w:val="085A67AE"/>
    <w:rsid w:val="0D0C5634"/>
    <w:rsid w:val="0E006B73"/>
    <w:rsid w:val="0E132935"/>
    <w:rsid w:val="0F6A4E97"/>
    <w:rsid w:val="0FB877B0"/>
    <w:rsid w:val="0FFB0858"/>
    <w:rsid w:val="10D46AD1"/>
    <w:rsid w:val="1133334F"/>
    <w:rsid w:val="114B19E4"/>
    <w:rsid w:val="120145AB"/>
    <w:rsid w:val="122A0E35"/>
    <w:rsid w:val="12C94178"/>
    <w:rsid w:val="14AB03D5"/>
    <w:rsid w:val="16132181"/>
    <w:rsid w:val="1851349C"/>
    <w:rsid w:val="1BEA23D0"/>
    <w:rsid w:val="1F072492"/>
    <w:rsid w:val="1F080D58"/>
    <w:rsid w:val="1FBC3650"/>
    <w:rsid w:val="204B2FAF"/>
    <w:rsid w:val="207E7E31"/>
    <w:rsid w:val="20BF71A3"/>
    <w:rsid w:val="21333C37"/>
    <w:rsid w:val="21550CC4"/>
    <w:rsid w:val="23992C2F"/>
    <w:rsid w:val="26805B4F"/>
    <w:rsid w:val="27160260"/>
    <w:rsid w:val="2807147E"/>
    <w:rsid w:val="2980300B"/>
    <w:rsid w:val="2B5547B2"/>
    <w:rsid w:val="2C9676C3"/>
    <w:rsid w:val="2CF80993"/>
    <w:rsid w:val="2F941DC5"/>
    <w:rsid w:val="3079313D"/>
    <w:rsid w:val="31510B59"/>
    <w:rsid w:val="32057E14"/>
    <w:rsid w:val="352F1C6D"/>
    <w:rsid w:val="357B2705"/>
    <w:rsid w:val="366853A0"/>
    <w:rsid w:val="36E169FD"/>
    <w:rsid w:val="38590F4A"/>
    <w:rsid w:val="38C866EE"/>
    <w:rsid w:val="392E05FF"/>
    <w:rsid w:val="395D7C42"/>
    <w:rsid w:val="39BC4A7B"/>
    <w:rsid w:val="39F46BE1"/>
    <w:rsid w:val="3DE52C21"/>
    <w:rsid w:val="3E5D5B1C"/>
    <w:rsid w:val="3F78502E"/>
    <w:rsid w:val="3F8011B9"/>
    <w:rsid w:val="454D3196"/>
    <w:rsid w:val="45CE0141"/>
    <w:rsid w:val="4B0C75E1"/>
    <w:rsid w:val="4B84067B"/>
    <w:rsid w:val="4C3A6DFD"/>
    <w:rsid w:val="4C7527C6"/>
    <w:rsid w:val="4D86660E"/>
    <w:rsid w:val="4E4C3BC0"/>
    <w:rsid w:val="5019613D"/>
    <w:rsid w:val="50A51AB5"/>
    <w:rsid w:val="517F63FA"/>
    <w:rsid w:val="51D55F90"/>
    <w:rsid w:val="5305644A"/>
    <w:rsid w:val="54661CF2"/>
    <w:rsid w:val="566B4AF8"/>
    <w:rsid w:val="567844B5"/>
    <w:rsid w:val="56AA527F"/>
    <w:rsid w:val="57FF79AE"/>
    <w:rsid w:val="5B47698D"/>
    <w:rsid w:val="5C790F09"/>
    <w:rsid w:val="607310F7"/>
    <w:rsid w:val="644350DD"/>
    <w:rsid w:val="666224BE"/>
    <w:rsid w:val="68142A74"/>
    <w:rsid w:val="6FAB144E"/>
    <w:rsid w:val="716D7E84"/>
    <w:rsid w:val="752D5D07"/>
    <w:rsid w:val="75742B1A"/>
    <w:rsid w:val="758151DA"/>
    <w:rsid w:val="778965B3"/>
    <w:rsid w:val="79586931"/>
    <w:rsid w:val="7A3340CD"/>
    <w:rsid w:val="7A9C0AD1"/>
    <w:rsid w:val="7DC27D60"/>
    <w:rsid w:val="7E0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7D3FC"/>
  <w15:docId w15:val="{2A18348E-FE24-4B8A-8428-133425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customStyle="1" w:styleId="BATitle">
    <w:name w:val="BA_Title"/>
    <w:basedOn w:val="Normal"/>
    <w:next w:val="BBAuthorName"/>
    <w:qFormat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Normal"/>
    <w:next w:val="BCAuthorAddress"/>
    <w:qFormat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Normal"/>
    <w:next w:val="Normal"/>
    <w:qFormat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cp:lastPrinted>2020-07-17T06:31:00Z</cp:lastPrinted>
  <dcterms:created xsi:type="dcterms:W3CDTF">2021-01-25T00:52:00Z</dcterms:created>
  <dcterms:modified xsi:type="dcterms:W3CDTF">2021-01-25T00:52:00Z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