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0ED1E" w14:textId="77777777" w:rsidR="00A32C29" w:rsidRPr="00BF244A" w:rsidRDefault="00444CE1">
      <w:r w:rsidRPr="00BF244A">
        <w:rPr>
          <w:noProof/>
        </w:rPr>
        <w:drawing>
          <wp:inline distT="0" distB="0" distL="0" distR="0" wp14:anchorId="3CC88493" wp14:editId="7392C701">
            <wp:extent cx="5245100" cy="3085353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pplementary Figure 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457" cy="309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5958E" w14:textId="77777777" w:rsidR="00444CE1" w:rsidRPr="00BF244A" w:rsidRDefault="00444CE1" w:rsidP="00444CE1">
      <w:pPr>
        <w:spacing w:line="480" w:lineRule="auto"/>
        <w:rPr>
          <w:rFonts w:ascii="Arial" w:eastAsia="DengXian" w:hAnsi="Arial" w:cs="Arial"/>
          <w:sz w:val="22"/>
        </w:rPr>
      </w:pPr>
      <w:r w:rsidRPr="00BF244A">
        <w:rPr>
          <w:rFonts w:ascii="Arial" w:eastAsia="DengXian" w:hAnsi="Arial" w:cs="Arial"/>
          <w:b/>
          <w:bCs/>
          <w:sz w:val="22"/>
        </w:rPr>
        <w:t>Fig</w:t>
      </w:r>
      <w:r w:rsidRPr="00BF244A">
        <w:rPr>
          <w:rFonts w:ascii="Arial" w:eastAsia="DengXian" w:hAnsi="Arial" w:cs="Arial" w:hint="eastAsia"/>
          <w:b/>
          <w:bCs/>
          <w:sz w:val="22"/>
        </w:rPr>
        <w:t>ure</w:t>
      </w:r>
      <w:r w:rsidRPr="00BF244A">
        <w:rPr>
          <w:rFonts w:ascii="Arial" w:eastAsia="DengXian" w:hAnsi="Arial" w:cs="Arial"/>
          <w:b/>
          <w:bCs/>
          <w:sz w:val="22"/>
        </w:rPr>
        <w:t xml:space="preserve"> S1</w:t>
      </w:r>
      <w:r w:rsidRPr="00BF244A">
        <w:rPr>
          <w:rFonts w:ascii="Arial" w:eastAsia="DengXian" w:hAnsi="Arial" w:cs="Arial" w:hint="eastAsia"/>
          <w:b/>
          <w:bCs/>
          <w:sz w:val="22"/>
        </w:rPr>
        <w:t xml:space="preserve"> </w:t>
      </w:r>
      <w:r w:rsidRPr="00BF244A">
        <w:rPr>
          <w:rFonts w:ascii="Arial" w:eastAsia="DengXian" w:hAnsi="Arial" w:cs="Arial"/>
          <w:b/>
          <w:bCs/>
          <w:sz w:val="22"/>
        </w:rPr>
        <w:t xml:space="preserve">High expression of SLC6A14 is positively related to clinical stages of CRC patients. </w:t>
      </w:r>
      <w:r w:rsidRPr="00BF244A">
        <w:rPr>
          <w:rFonts w:ascii="Arial" w:eastAsia="DengXian" w:hAnsi="Arial" w:cs="Arial"/>
          <w:sz w:val="22"/>
        </w:rPr>
        <w:t>(</w:t>
      </w:r>
      <w:r w:rsidRPr="00BF244A">
        <w:rPr>
          <w:rFonts w:ascii="Arial" w:eastAsia="DengXian" w:hAnsi="Arial" w:cs="Arial"/>
          <w:b/>
          <w:bCs/>
          <w:sz w:val="22"/>
        </w:rPr>
        <w:t>A</w:t>
      </w:r>
      <w:r w:rsidRPr="00BF244A">
        <w:rPr>
          <w:rFonts w:ascii="Arial" w:eastAsia="DengXian" w:hAnsi="Arial" w:cs="Arial"/>
          <w:sz w:val="22"/>
        </w:rPr>
        <w:t>)The SLC6A14 expression in different stages of CRC tumor tissues. Bars in all graphs represented mean ± S.D.. **P &lt; 0.01.</w:t>
      </w:r>
    </w:p>
    <w:p w14:paraId="41E73397" w14:textId="77777777" w:rsidR="00444CE1" w:rsidRPr="00BF244A" w:rsidRDefault="00444CE1">
      <w:pPr>
        <w:widowControl/>
        <w:jc w:val="left"/>
        <w:rPr>
          <w:rFonts w:ascii="Arial" w:eastAsia="DengXian" w:hAnsi="Arial" w:cs="Arial"/>
          <w:sz w:val="22"/>
        </w:rPr>
      </w:pPr>
      <w:r w:rsidRPr="00BF244A">
        <w:rPr>
          <w:rFonts w:ascii="Arial" w:eastAsia="DengXian" w:hAnsi="Arial" w:cs="Arial"/>
          <w:sz w:val="22"/>
        </w:rPr>
        <w:br w:type="page"/>
      </w:r>
    </w:p>
    <w:p w14:paraId="5DB2FAE0" w14:textId="77777777" w:rsidR="00444CE1" w:rsidRPr="00BF244A" w:rsidRDefault="00444CE1" w:rsidP="00444CE1">
      <w:pPr>
        <w:spacing w:line="480" w:lineRule="auto"/>
        <w:rPr>
          <w:rFonts w:ascii="Arial" w:eastAsia="DengXian" w:hAnsi="Arial" w:cs="Arial"/>
          <w:b/>
          <w:bCs/>
          <w:sz w:val="22"/>
        </w:rPr>
      </w:pPr>
      <w:r w:rsidRPr="00BF244A">
        <w:rPr>
          <w:rFonts w:ascii="Arial" w:eastAsia="DengXian" w:hAnsi="Arial" w:cs="Arial"/>
          <w:b/>
          <w:bCs/>
          <w:noProof/>
          <w:sz w:val="22"/>
        </w:rPr>
        <w:lastRenderedPageBreak/>
        <w:drawing>
          <wp:inline distT="0" distB="0" distL="0" distR="0" wp14:anchorId="60E955C4" wp14:editId="728C2953">
            <wp:extent cx="5276850" cy="465604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plementary Figure 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05" cy="466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7A795" w14:textId="59426B32" w:rsidR="00444CE1" w:rsidRPr="00BF244A" w:rsidRDefault="00444CE1" w:rsidP="009730C6">
      <w:pPr>
        <w:spacing w:line="480" w:lineRule="auto"/>
      </w:pPr>
      <w:r w:rsidRPr="00BF244A">
        <w:rPr>
          <w:rFonts w:ascii="Arial" w:eastAsia="DengXian" w:hAnsi="Arial" w:cs="Arial"/>
          <w:b/>
          <w:bCs/>
          <w:sz w:val="22"/>
        </w:rPr>
        <w:t>Fig</w:t>
      </w:r>
      <w:r w:rsidRPr="00BF244A">
        <w:rPr>
          <w:rFonts w:ascii="Arial" w:eastAsia="DengXian" w:hAnsi="Arial" w:cs="Arial" w:hint="eastAsia"/>
          <w:b/>
          <w:bCs/>
          <w:sz w:val="22"/>
        </w:rPr>
        <w:t>ure</w:t>
      </w:r>
      <w:r w:rsidRPr="00BF244A">
        <w:rPr>
          <w:rFonts w:ascii="Arial" w:eastAsia="DengXian" w:hAnsi="Arial" w:cs="Arial"/>
          <w:b/>
          <w:bCs/>
          <w:sz w:val="22"/>
        </w:rPr>
        <w:t xml:space="preserve"> S2 Pharmacologic blockade of SLC6A14 with α-MT suppresses colitis-associated tumorigenesis in vivo.</w:t>
      </w:r>
      <w:r w:rsidRPr="00BF244A">
        <w:rPr>
          <w:rFonts w:ascii="Arial" w:eastAsia="DengXian" w:hAnsi="Arial" w:cs="Arial" w:hint="eastAsia"/>
          <w:b/>
          <w:bCs/>
          <w:sz w:val="22"/>
        </w:rPr>
        <w:t xml:space="preserve"> </w:t>
      </w:r>
      <w:r w:rsidRPr="00BF244A">
        <w:rPr>
          <w:rFonts w:ascii="Arial" w:eastAsia="DengXian" w:hAnsi="Arial" w:cs="Arial"/>
          <w:b/>
          <w:bCs/>
          <w:sz w:val="22"/>
        </w:rPr>
        <w:t>(A)</w:t>
      </w:r>
      <w:r w:rsidRPr="00BF244A">
        <w:rPr>
          <w:rFonts w:ascii="Arial" w:eastAsia="DengXian" w:hAnsi="Arial" w:cs="Arial"/>
          <w:sz w:val="22"/>
        </w:rPr>
        <w:t xml:space="preserve"> The western blot results of SLC6A14 expression in the colons of different treatment groups of mice. </w:t>
      </w:r>
      <w:r w:rsidRPr="00BF244A">
        <w:rPr>
          <w:rFonts w:ascii="Arial" w:eastAsia="DengXian" w:hAnsi="Arial" w:cs="Arial" w:hint="eastAsia"/>
          <w:b/>
          <w:bCs/>
          <w:sz w:val="22"/>
        </w:rPr>
        <w:t>(</w:t>
      </w:r>
      <w:r w:rsidRPr="00BF244A">
        <w:rPr>
          <w:rFonts w:ascii="Arial" w:eastAsia="DengXian" w:hAnsi="Arial" w:cs="Arial"/>
          <w:b/>
          <w:bCs/>
          <w:sz w:val="22"/>
        </w:rPr>
        <w:t>B)</w:t>
      </w:r>
      <w:r w:rsidRPr="00BF244A">
        <w:rPr>
          <w:rFonts w:ascii="Arial" w:eastAsia="DengXian" w:hAnsi="Arial" w:cs="Arial" w:hint="eastAsia"/>
          <w:b/>
          <w:bCs/>
          <w:sz w:val="22"/>
        </w:rPr>
        <w:t xml:space="preserve"> </w:t>
      </w:r>
      <w:r w:rsidRPr="00BF244A">
        <w:rPr>
          <w:rFonts w:ascii="Arial" w:eastAsia="DengXian" w:hAnsi="Arial" w:cs="Arial"/>
          <w:bCs/>
          <w:sz w:val="22"/>
        </w:rPr>
        <w:t xml:space="preserve">The quantification of Ki-67 positive staining for the colons of mice in indicated groups. </w:t>
      </w:r>
      <w:r w:rsidRPr="00BF244A">
        <w:rPr>
          <w:rFonts w:ascii="Arial" w:eastAsia="DengXian" w:hAnsi="Arial" w:cs="Arial"/>
          <w:b/>
          <w:bCs/>
          <w:sz w:val="22"/>
        </w:rPr>
        <w:t xml:space="preserve">(C) </w:t>
      </w:r>
      <w:r w:rsidRPr="00BF244A">
        <w:rPr>
          <w:rFonts w:ascii="Arial" w:eastAsia="DengXian" w:hAnsi="Arial" w:cs="Arial"/>
          <w:bCs/>
          <w:sz w:val="22"/>
        </w:rPr>
        <w:t xml:space="preserve">The quantification of TUNEL positive staining in the colons of different treated mice. </w:t>
      </w:r>
      <w:r w:rsidRPr="00BF244A">
        <w:rPr>
          <w:rFonts w:ascii="Arial" w:eastAsia="DengXian" w:hAnsi="Arial" w:cs="Arial"/>
          <w:sz w:val="22"/>
        </w:rPr>
        <w:t>Bars in all graphs represented mean ± S.D.. **P &lt; 0.01 and ***P &lt; 0.001.</w:t>
      </w:r>
      <w:r w:rsidRPr="00BF244A">
        <w:br w:type="page"/>
      </w:r>
    </w:p>
    <w:p w14:paraId="1594D1A1" w14:textId="77777777" w:rsidR="00444CE1" w:rsidRPr="00BF244A" w:rsidRDefault="00444CE1">
      <w:r w:rsidRPr="00BF244A">
        <w:rPr>
          <w:rFonts w:hint="eastAsia"/>
          <w:noProof/>
        </w:rPr>
        <w:lastRenderedPageBreak/>
        <w:drawing>
          <wp:inline distT="0" distB="0" distL="0" distR="0" wp14:anchorId="061A4F4A" wp14:editId="3A60805B">
            <wp:extent cx="5289550" cy="3858260"/>
            <wp:effectExtent l="0" t="0" r="635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pplementary Figure 3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3587" cy="3868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AC071" w14:textId="77777777" w:rsidR="00444CE1" w:rsidRPr="00444CE1" w:rsidRDefault="00444CE1" w:rsidP="00444CE1">
      <w:pPr>
        <w:autoSpaceDE w:val="0"/>
        <w:autoSpaceDN w:val="0"/>
        <w:adjustRightInd w:val="0"/>
        <w:spacing w:line="480" w:lineRule="auto"/>
        <w:rPr>
          <w:rFonts w:ascii="Arial" w:eastAsia="DengXian" w:hAnsi="Arial" w:cs="Arial"/>
          <w:b/>
          <w:bCs/>
          <w:sz w:val="22"/>
        </w:rPr>
      </w:pPr>
      <w:r w:rsidRPr="00BF244A">
        <w:rPr>
          <w:rFonts w:ascii="Arial" w:eastAsia="DengXian" w:hAnsi="Arial" w:cs="Arial"/>
          <w:b/>
          <w:bCs/>
          <w:sz w:val="22"/>
        </w:rPr>
        <w:t>Fig</w:t>
      </w:r>
      <w:r w:rsidRPr="00BF244A">
        <w:rPr>
          <w:rFonts w:ascii="Arial" w:eastAsia="DengXian" w:hAnsi="Arial" w:cs="Arial" w:hint="eastAsia"/>
          <w:b/>
          <w:bCs/>
          <w:sz w:val="22"/>
        </w:rPr>
        <w:t>ure</w:t>
      </w:r>
      <w:r w:rsidRPr="00BF244A">
        <w:rPr>
          <w:rFonts w:ascii="Arial" w:eastAsia="DengXian" w:hAnsi="Arial" w:cs="Arial"/>
          <w:b/>
          <w:bCs/>
          <w:sz w:val="22"/>
        </w:rPr>
        <w:t xml:space="preserve"> S3 GSEA enrichment analysis in CRC patients with SLC6A14 high expression to explore potential pathways correlated with SLC6A14. (A-D)</w:t>
      </w:r>
      <w:r w:rsidRPr="00BF244A">
        <w:rPr>
          <w:rFonts w:ascii="Arial" w:eastAsia="DengXian" w:hAnsi="Arial" w:cs="Arial" w:hint="eastAsia"/>
          <w:sz w:val="22"/>
        </w:rPr>
        <w:t xml:space="preserve"> </w:t>
      </w:r>
      <w:r w:rsidRPr="00BF244A">
        <w:rPr>
          <w:rFonts w:ascii="Arial" w:eastAsia="DengXian" w:hAnsi="Arial" w:cs="Arial"/>
          <w:sz w:val="22"/>
        </w:rPr>
        <w:t>Some prominently altered pathways in CRC patients with high SLC6A14 expression using GSEA enrichment analysis.</w:t>
      </w:r>
    </w:p>
    <w:p w14:paraId="2DF5764F" w14:textId="77777777" w:rsidR="00444CE1" w:rsidRPr="00444CE1" w:rsidRDefault="00444CE1"/>
    <w:sectPr w:rsidR="00444CE1" w:rsidRPr="00444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4388D" w14:textId="77777777" w:rsidR="000C6432" w:rsidRDefault="000C6432" w:rsidP="00444CE1">
      <w:r>
        <w:separator/>
      </w:r>
    </w:p>
  </w:endnote>
  <w:endnote w:type="continuationSeparator" w:id="0">
    <w:p w14:paraId="10AC14F9" w14:textId="77777777" w:rsidR="000C6432" w:rsidRDefault="000C6432" w:rsidP="0044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803F8" w14:textId="77777777" w:rsidR="000C6432" w:rsidRDefault="000C6432" w:rsidP="00444CE1">
      <w:r>
        <w:separator/>
      </w:r>
    </w:p>
  </w:footnote>
  <w:footnote w:type="continuationSeparator" w:id="0">
    <w:p w14:paraId="0D38A89E" w14:textId="77777777" w:rsidR="000C6432" w:rsidRDefault="000C6432" w:rsidP="00444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33"/>
    <w:rsid w:val="000C6432"/>
    <w:rsid w:val="00444CE1"/>
    <w:rsid w:val="009730C6"/>
    <w:rsid w:val="009E7C33"/>
    <w:rsid w:val="00A32C29"/>
    <w:rsid w:val="00A86999"/>
    <w:rsid w:val="00B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4720E"/>
  <w15:chartTrackingRefBased/>
  <w15:docId w15:val="{BA5DE926-D7D7-4C24-81C3-EF033F71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44CE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44C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44C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CE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CE1"/>
  </w:style>
  <w:style w:type="character" w:styleId="CommentReference">
    <w:name w:val="annotation reference"/>
    <w:basedOn w:val="DefaultParagraphFont"/>
    <w:uiPriority w:val="99"/>
    <w:semiHidden/>
    <w:unhideWhenUsed/>
    <w:rsid w:val="00444CE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0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0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周明霞</dc:creator>
  <cp:keywords/>
  <dc:description/>
  <cp:lastModifiedBy>Claudia Bartle</cp:lastModifiedBy>
  <cp:revision>4</cp:revision>
  <dcterms:created xsi:type="dcterms:W3CDTF">2020-12-14T02:51:00Z</dcterms:created>
  <dcterms:modified xsi:type="dcterms:W3CDTF">2020-12-14T19:32:00Z</dcterms:modified>
</cp:coreProperties>
</file>