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66E81" w14:textId="77777777" w:rsidR="00BD4DEF" w:rsidRPr="006D7EC2" w:rsidRDefault="008363ED" w:rsidP="00BD4DEF">
      <w:pPr>
        <w:pStyle w:val="Heading1"/>
        <w:spacing w:line="480" w:lineRule="auto"/>
        <w:jc w:val="center"/>
        <w:rPr>
          <w:rFonts w:ascii="Times New Roman" w:hAnsi="Times New Roman" w:cs="Times New Roman"/>
          <w:szCs w:val="24"/>
        </w:rPr>
        <w:sectPr w:rsidR="00BD4DEF" w:rsidRPr="006D7EC2" w:rsidSect="009E2DA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bookmarkStart w:id="0" w:name="_Hlk30069141"/>
      <w:bookmarkStart w:id="1" w:name="_GoBack"/>
      <w:bookmarkEnd w:id="1"/>
      <w:r w:rsidRPr="006D7EC2">
        <w:rPr>
          <w:rFonts w:ascii="Times New Roman" w:hAnsi="Times New Roman" w:cs="Times New Roman"/>
          <w:szCs w:val="24"/>
        </w:rPr>
        <w:t xml:space="preserve">The </w:t>
      </w:r>
      <w:r w:rsidR="0090427E" w:rsidRPr="006D7EC2">
        <w:rPr>
          <w:rFonts w:ascii="Times New Roman" w:hAnsi="Times New Roman" w:cs="Times New Roman"/>
          <w:szCs w:val="24"/>
        </w:rPr>
        <w:t xml:space="preserve">Effect </w:t>
      </w:r>
      <w:r w:rsidRPr="006D7EC2">
        <w:rPr>
          <w:rFonts w:ascii="Times New Roman" w:hAnsi="Times New Roman" w:cs="Times New Roman"/>
          <w:szCs w:val="24"/>
        </w:rPr>
        <w:t xml:space="preserve">of </w:t>
      </w:r>
      <w:r w:rsidR="0090427E" w:rsidRPr="006D7EC2">
        <w:rPr>
          <w:rFonts w:ascii="Times New Roman" w:hAnsi="Times New Roman" w:cs="Times New Roman"/>
          <w:szCs w:val="24"/>
        </w:rPr>
        <w:t xml:space="preserve">Nintedanib </w:t>
      </w:r>
      <w:r w:rsidRPr="006D7EC2">
        <w:rPr>
          <w:rFonts w:ascii="Times New Roman" w:hAnsi="Times New Roman" w:cs="Times New Roman"/>
          <w:szCs w:val="24"/>
        </w:rPr>
        <w:t xml:space="preserve">on </w:t>
      </w:r>
      <w:r w:rsidR="00BE3DDD" w:rsidRPr="006D7EC2">
        <w:rPr>
          <w:rFonts w:ascii="Times New Roman" w:hAnsi="Times New Roman" w:cs="Times New Roman"/>
          <w:szCs w:val="24"/>
        </w:rPr>
        <w:t>T</w:t>
      </w:r>
      <w:r w:rsidR="00534F79" w:rsidRPr="006D7EC2">
        <w:rPr>
          <w:rFonts w:ascii="Times New Roman" w:hAnsi="Times New Roman" w:cs="Times New Roman"/>
          <w:szCs w:val="24"/>
        </w:rPr>
        <w:t xml:space="preserve"> </w:t>
      </w:r>
      <w:r w:rsidRPr="006D7EC2">
        <w:rPr>
          <w:rFonts w:ascii="Times New Roman" w:hAnsi="Times New Roman" w:cs="Times New Roman"/>
          <w:szCs w:val="24"/>
        </w:rPr>
        <w:t xml:space="preserve">cell </w:t>
      </w:r>
      <w:r w:rsidR="0090427E" w:rsidRPr="006D7EC2">
        <w:rPr>
          <w:rFonts w:ascii="Times New Roman" w:hAnsi="Times New Roman" w:cs="Times New Roman"/>
          <w:szCs w:val="24"/>
        </w:rPr>
        <w:t>Activation</w:t>
      </w:r>
      <w:r w:rsidRPr="006D7EC2">
        <w:rPr>
          <w:rFonts w:ascii="Times New Roman" w:hAnsi="Times New Roman" w:cs="Times New Roman"/>
          <w:szCs w:val="24"/>
        </w:rPr>
        <w:t xml:space="preserve">, </w:t>
      </w:r>
      <w:r w:rsidR="0090427E" w:rsidRPr="006D7EC2">
        <w:rPr>
          <w:rFonts w:ascii="Times New Roman" w:hAnsi="Times New Roman" w:cs="Times New Roman"/>
          <w:szCs w:val="24"/>
        </w:rPr>
        <w:t xml:space="preserve">Subsets </w:t>
      </w:r>
      <w:r w:rsidRPr="006D7EC2">
        <w:rPr>
          <w:rFonts w:ascii="Times New Roman" w:hAnsi="Times New Roman" w:cs="Times New Roman"/>
          <w:szCs w:val="24"/>
        </w:rPr>
        <w:t xml:space="preserve">and </w:t>
      </w:r>
      <w:r w:rsidR="0090427E" w:rsidRPr="006D7EC2">
        <w:rPr>
          <w:rFonts w:ascii="Times New Roman" w:hAnsi="Times New Roman" w:cs="Times New Roman"/>
          <w:szCs w:val="24"/>
        </w:rPr>
        <w:t>Functions</w:t>
      </w:r>
    </w:p>
    <w:bookmarkEnd w:id="0"/>
    <w:p w14:paraId="1A21FA90" w14:textId="464A3056" w:rsidR="008110E8" w:rsidRPr="00F17AED" w:rsidRDefault="008363ED" w:rsidP="00E02A3A">
      <w:pPr>
        <w:autoSpaceDE w:val="0"/>
        <w:autoSpaceDN w:val="0"/>
        <w:adjustRightInd w:val="0"/>
        <w:spacing w:after="120" w:line="480" w:lineRule="auto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6D7EC2">
        <w:rPr>
          <w:rFonts w:ascii="Times New Roman" w:hAnsi="Times New Roman"/>
          <w:b/>
          <w:sz w:val="24"/>
          <w:szCs w:val="24"/>
        </w:rPr>
        <w:t>Kenia Ubieta</w:t>
      </w:r>
      <w:r w:rsidRPr="006D7EC2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6D7EC2">
        <w:rPr>
          <w:rFonts w:ascii="Times New Roman" w:hAnsi="Times New Roman"/>
          <w:b/>
          <w:sz w:val="24"/>
          <w:szCs w:val="24"/>
        </w:rPr>
        <w:t xml:space="preserve">, </w:t>
      </w:r>
      <w:r w:rsidR="00762181" w:rsidRPr="006D7EC2">
        <w:rPr>
          <w:rFonts w:ascii="Times New Roman" w:hAnsi="Times New Roman"/>
          <w:b/>
          <w:sz w:val="24"/>
          <w:szCs w:val="24"/>
        </w:rPr>
        <w:t>Matthew James Thomas</w:t>
      </w:r>
      <w:r w:rsidR="00762181" w:rsidRPr="006D7EC2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762181" w:rsidRPr="006D7EC2">
        <w:rPr>
          <w:rFonts w:ascii="Times New Roman" w:hAnsi="Times New Roman"/>
          <w:b/>
          <w:sz w:val="24"/>
          <w:szCs w:val="24"/>
        </w:rPr>
        <w:t xml:space="preserve">, </w:t>
      </w:r>
      <w:r w:rsidRPr="006D7EC2">
        <w:rPr>
          <w:rFonts w:ascii="Times New Roman" w:hAnsi="Times New Roman"/>
          <w:b/>
          <w:sz w:val="24"/>
          <w:szCs w:val="24"/>
        </w:rPr>
        <w:t>Lutz Wollin</w:t>
      </w:r>
      <w:r w:rsidRPr="006D7EC2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EE3C2A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49E91762" w14:textId="1F9514A1" w:rsidR="00B7324B" w:rsidRPr="003630DB" w:rsidRDefault="00B7324B" w:rsidP="00B7324B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3630DB">
        <w:rPr>
          <w:rFonts w:ascii="Times New Roman" w:hAnsi="Times New Roman"/>
          <w:b/>
          <w:sz w:val="24"/>
          <w:szCs w:val="24"/>
        </w:rPr>
        <w:lastRenderedPageBreak/>
        <w:t xml:space="preserve">SUPPLEMENTARY MATERIALS </w:t>
      </w:r>
    </w:p>
    <w:p w14:paraId="452EEE7D" w14:textId="3B5D8D88" w:rsidR="00CF5889" w:rsidRPr="001A2F48" w:rsidRDefault="00CF5889" w:rsidP="00CF5889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i/>
          <w:sz w:val="24"/>
          <w:szCs w:val="24"/>
        </w:rPr>
      </w:pPr>
      <w:r w:rsidRPr="001A2F48">
        <w:rPr>
          <w:rFonts w:ascii="Times New Roman" w:hAnsi="Times New Roman"/>
          <w:b/>
          <w:bCs/>
          <w:i/>
          <w:sz w:val="24"/>
          <w:szCs w:val="24"/>
        </w:rPr>
        <w:t xml:space="preserve">Supplementary Figure </w:t>
      </w:r>
      <w:r w:rsidR="00F9605A">
        <w:rPr>
          <w:rFonts w:ascii="Times New Roman" w:hAnsi="Times New Roman"/>
          <w:b/>
          <w:bCs/>
          <w:i/>
          <w:sz w:val="24"/>
          <w:szCs w:val="24"/>
        </w:rPr>
        <w:t>1</w:t>
      </w:r>
      <w:r w:rsidRPr="001A2F48">
        <w:rPr>
          <w:rFonts w:ascii="Times New Roman" w:hAnsi="Times New Roman"/>
          <w:b/>
          <w:bCs/>
          <w:i/>
          <w:sz w:val="24"/>
          <w:szCs w:val="24"/>
        </w:rPr>
        <w:t xml:space="preserve">. </w:t>
      </w:r>
      <w:r w:rsidRPr="001A2F48">
        <w:rPr>
          <w:rFonts w:ascii="Times New Roman" w:hAnsi="Times New Roman"/>
          <w:b/>
          <w:i/>
          <w:sz w:val="24"/>
          <w:szCs w:val="24"/>
        </w:rPr>
        <w:t>Nintedanib blocks the release of anti-CD3-stimulated IFN-γ, IL-4, IL-5, IL-10, IL12p70 and IL-13 from PBMCs</w:t>
      </w:r>
    </w:p>
    <w:p w14:paraId="34801597" w14:textId="77777777" w:rsidR="0057156B" w:rsidRDefault="0049513F" w:rsidP="00CF5889">
      <w:pPr>
        <w:autoSpaceDE w:val="0"/>
        <w:autoSpaceDN w:val="0"/>
        <w:adjustRightInd w:val="0"/>
        <w:spacing w:after="0" w:line="480" w:lineRule="auto"/>
      </w:pPr>
      <w:r>
        <w:rPr>
          <w:noProof/>
          <w:lang w:val="de-DE" w:eastAsia="zh-CN" w:bidi="th-TH"/>
        </w:rPr>
        <w:drawing>
          <wp:inline distT="0" distB="0" distL="0" distR="0" wp14:anchorId="434D7843" wp14:editId="0E0B6F72">
            <wp:extent cx="5454650" cy="28708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91613" w14:textId="77777777" w:rsidR="00FC7849" w:rsidRPr="00CF5889" w:rsidRDefault="00FC7849" w:rsidP="00CF5889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2D60B709" w14:textId="3DEE2E33" w:rsidR="00AE1503" w:rsidRDefault="00AE1503" w:rsidP="00AE150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 w:rsidRPr="001A2F48">
        <w:rPr>
          <w:rFonts w:ascii="Times New Roman" w:hAnsi="Times New Roman"/>
          <w:sz w:val="24"/>
          <w:szCs w:val="24"/>
        </w:rPr>
        <w:t xml:space="preserve">Cytokines were determined in the cell culture supernatants from primary PBMCs from healthy donors </w:t>
      </w:r>
      <w:r w:rsidR="00A80005">
        <w:rPr>
          <w:rFonts w:ascii="Times New Roman" w:hAnsi="Times New Roman"/>
          <w:sz w:val="24"/>
          <w:szCs w:val="24"/>
        </w:rPr>
        <w:t>pre</w:t>
      </w:r>
      <w:r w:rsidR="00E77C00">
        <w:rPr>
          <w:rFonts w:ascii="Times New Roman" w:hAnsi="Times New Roman"/>
          <w:sz w:val="24"/>
          <w:szCs w:val="24"/>
        </w:rPr>
        <w:t>-</w:t>
      </w:r>
      <w:r w:rsidR="00A80005">
        <w:rPr>
          <w:rFonts w:ascii="Times New Roman" w:hAnsi="Times New Roman"/>
          <w:sz w:val="24"/>
          <w:szCs w:val="24"/>
        </w:rPr>
        <w:t>treated for 20 min with nintedanib and stimulated for 24 hours</w:t>
      </w:r>
      <w:r w:rsidR="00A80005" w:rsidRPr="001A2F48">
        <w:rPr>
          <w:rFonts w:ascii="Times New Roman" w:hAnsi="Times New Roman"/>
          <w:sz w:val="24"/>
          <w:szCs w:val="24"/>
        </w:rPr>
        <w:t xml:space="preserve"> </w:t>
      </w:r>
      <w:r w:rsidRPr="001A2F48">
        <w:rPr>
          <w:rFonts w:ascii="Times New Roman" w:hAnsi="Times New Roman"/>
          <w:sz w:val="24"/>
          <w:szCs w:val="24"/>
        </w:rPr>
        <w:t>with anti-CD3. All data are presented as mean ± SD of n = 4 donors, except the IL-4 curve with only n = 3 donors because the detection limit was not reached with the cells from one donor.</w:t>
      </w:r>
    </w:p>
    <w:p w14:paraId="3D03742F" w14:textId="77777777" w:rsidR="00857A15" w:rsidRPr="001A2F48" w:rsidRDefault="00857A15" w:rsidP="00857A15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IC</w:t>
      </w:r>
      <w:r w:rsidRPr="00857A15">
        <w:rPr>
          <w:rFonts w:ascii="Times New Roman" w:hAnsi="Times New Roman"/>
          <w:bCs/>
          <w:iCs/>
          <w:sz w:val="24"/>
          <w:szCs w:val="24"/>
          <w:vertAlign w:val="subscript"/>
        </w:rPr>
        <w:t>50</w:t>
      </w:r>
      <w:r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E6609E">
        <w:rPr>
          <w:rFonts w:ascii="Times New Roman" w:hAnsi="Times New Roman"/>
          <w:bCs/>
          <w:iCs/>
          <w:sz w:val="24"/>
          <w:szCs w:val="24"/>
        </w:rPr>
        <w:t>half</w:t>
      </w:r>
      <w:r>
        <w:rPr>
          <w:rFonts w:ascii="Times New Roman" w:hAnsi="Times New Roman"/>
          <w:bCs/>
          <w:iCs/>
          <w:sz w:val="24"/>
          <w:szCs w:val="24"/>
        </w:rPr>
        <w:t>-</w:t>
      </w:r>
      <w:r w:rsidRPr="00E6609E">
        <w:rPr>
          <w:rFonts w:ascii="Times New Roman" w:hAnsi="Times New Roman"/>
          <w:bCs/>
          <w:iCs/>
          <w:sz w:val="24"/>
          <w:szCs w:val="24"/>
        </w:rPr>
        <w:t>maximal inhibitory concentration</w:t>
      </w:r>
      <w:r>
        <w:rPr>
          <w:rFonts w:ascii="Times New Roman" w:hAnsi="Times New Roman"/>
          <w:bCs/>
          <w:iCs/>
          <w:sz w:val="24"/>
          <w:szCs w:val="24"/>
        </w:rPr>
        <w:t>;</w:t>
      </w:r>
      <w:r w:rsidRPr="00E6609E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3630DB">
        <w:rPr>
          <w:rFonts w:ascii="Times New Roman" w:hAnsi="Times New Roman"/>
          <w:bCs/>
          <w:iCs/>
          <w:sz w:val="24"/>
          <w:szCs w:val="24"/>
        </w:rPr>
        <w:t>IFN-γ: interferon-gamma; IL: interleukin</w:t>
      </w:r>
      <w:r>
        <w:rPr>
          <w:rFonts w:ascii="Times New Roman" w:hAnsi="Times New Roman"/>
          <w:bCs/>
          <w:iCs/>
          <w:sz w:val="24"/>
          <w:szCs w:val="24"/>
        </w:rPr>
        <w:t xml:space="preserve">; PBMC: </w:t>
      </w:r>
      <w:r w:rsidRPr="00E6609E">
        <w:rPr>
          <w:rFonts w:ascii="Times New Roman" w:hAnsi="Times New Roman"/>
          <w:bCs/>
          <w:iCs/>
          <w:sz w:val="24"/>
          <w:szCs w:val="24"/>
        </w:rPr>
        <w:t>peripheral blood mononuclear cell</w:t>
      </w:r>
      <w:r>
        <w:rPr>
          <w:rFonts w:ascii="Times New Roman" w:hAnsi="Times New Roman"/>
          <w:bCs/>
          <w:iCs/>
          <w:sz w:val="24"/>
          <w:szCs w:val="24"/>
        </w:rPr>
        <w:t>; SD: standard deviation.</w:t>
      </w:r>
    </w:p>
    <w:p w14:paraId="725AAFD4" w14:textId="6A468999" w:rsidR="00AE1503" w:rsidRPr="001A2F48" w:rsidRDefault="00AE1503" w:rsidP="00AE150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1A2F48">
        <w:rPr>
          <w:rFonts w:ascii="Times New Roman" w:hAnsi="Times New Roman"/>
          <w:b/>
          <w:bCs/>
          <w:i/>
          <w:sz w:val="24"/>
          <w:szCs w:val="24"/>
        </w:rPr>
        <w:lastRenderedPageBreak/>
        <w:t xml:space="preserve">Supplementary Figure </w:t>
      </w:r>
      <w:r w:rsidR="00F9605A">
        <w:rPr>
          <w:rFonts w:ascii="Times New Roman" w:hAnsi="Times New Roman"/>
          <w:b/>
          <w:bCs/>
          <w:i/>
          <w:sz w:val="24"/>
          <w:szCs w:val="24"/>
        </w:rPr>
        <w:t>2</w:t>
      </w:r>
      <w:r w:rsidRPr="001A2F48">
        <w:rPr>
          <w:rFonts w:ascii="Times New Roman" w:hAnsi="Times New Roman"/>
          <w:b/>
          <w:bCs/>
          <w:i/>
          <w:sz w:val="24"/>
          <w:szCs w:val="24"/>
        </w:rPr>
        <w:t xml:space="preserve">. </w:t>
      </w:r>
      <w:r w:rsidRPr="001A2F48">
        <w:rPr>
          <w:rFonts w:ascii="Times New Roman" w:hAnsi="Times New Roman"/>
          <w:b/>
          <w:i/>
          <w:sz w:val="24"/>
          <w:szCs w:val="24"/>
        </w:rPr>
        <w:t>Nintedanib blocks the release of anti-CD3/anti-CD28-stimulated IFN-γ, IL-4, IL-5, IL-10, IL12p70 and IL-13 from PBMCs</w:t>
      </w:r>
    </w:p>
    <w:p w14:paraId="1C1856DF" w14:textId="77777777" w:rsidR="00FC7849" w:rsidRPr="00401753" w:rsidRDefault="0049513F" w:rsidP="0040175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de-DE" w:eastAsia="zh-CN" w:bidi="th-TH"/>
        </w:rPr>
        <w:drawing>
          <wp:inline distT="0" distB="0" distL="0" distR="0" wp14:anchorId="67BF185E" wp14:editId="2916B194">
            <wp:extent cx="5560695" cy="30410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9706A" w14:textId="2760D318" w:rsidR="004158F9" w:rsidRDefault="004158F9" w:rsidP="004158F9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 w:rsidRPr="001A2F48">
        <w:rPr>
          <w:rFonts w:ascii="Times New Roman" w:hAnsi="Times New Roman"/>
          <w:sz w:val="24"/>
          <w:szCs w:val="24"/>
        </w:rPr>
        <w:t xml:space="preserve">Cytokines were determined in the cell culture supernatants from primary PBMCs from healthy donors </w:t>
      </w:r>
      <w:r w:rsidR="00A80005">
        <w:rPr>
          <w:rFonts w:ascii="Times New Roman" w:hAnsi="Times New Roman"/>
          <w:sz w:val="24"/>
          <w:szCs w:val="24"/>
        </w:rPr>
        <w:t>pre</w:t>
      </w:r>
      <w:r w:rsidR="00E77C00">
        <w:rPr>
          <w:rFonts w:ascii="Times New Roman" w:hAnsi="Times New Roman"/>
          <w:sz w:val="24"/>
          <w:szCs w:val="24"/>
        </w:rPr>
        <w:t>-</w:t>
      </w:r>
      <w:r w:rsidR="00A80005">
        <w:rPr>
          <w:rFonts w:ascii="Times New Roman" w:hAnsi="Times New Roman"/>
          <w:sz w:val="24"/>
          <w:szCs w:val="24"/>
        </w:rPr>
        <w:t>treated for 20 min with nintedanib and stimulated for 24 hours</w:t>
      </w:r>
      <w:r w:rsidR="00A80005" w:rsidRPr="001A2F48">
        <w:rPr>
          <w:rFonts w:ascii="Times New Roman" w:hAnsi="Times New Roman"/>
          <w:sz w:val="24"/>
          <w:szCs w:val="24"/>
        </w:rPr>
        <w:t xml:space="preserve"> </w:t>
      </w:r>
      <w:r w:rsidRPr="001A2F48">
        <w:rPr>
          <w:rFonts w:ascii="Times New Roman" w:hAnsi="Times New Roman"/>
          <w:sz w:val="24"/>
          <w:szCs w:val="24"/>
        </w:rPr>
        <w:t>with anti-CD3/anti-CD28. All data are presented as mean ± SD of n = 4 donors.</w:t>
      </w:r>
    </w:p>
    <w:p w14:paraId="421A6450" w14:textId="77777777" w:rsidR="00857A15" w:rsidRPr="001A2F48" w:rsidRDefault="00857A15" w:rsidP="00857A15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IC</w:t>
      </w:r>
      <w:r w:rsidRPr="00E8053E">
        <w:rPr>
          <w:rFonts w:ascii="Times New Roman" w:hAnsi="Times New Roman"/>
          <w:bCs/>
          <w:iCs/>
          <w:sz w:val="24"/>
          <w:szCs w:val="24"/>
          <w:vertAlign w:val="subscript"/>
        </w:rPr>
        <w:t>50</w:t>
      </w:r>
      <w:r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E6609E">
        <w:rPr>
          <w:rFonts w:ascii="Times New Roman" w:hAnsi="Times New Roman"/>
          <w:bCs/>
          <w:iCs/>
          <w:sz w:val="24"/>
          <w:szCs w:val="24"/>
        </w:rPr>
        <w:t>half</w:t>
      </w:r>
      <w:r>
        <w:rPr>
          <w:rFonts w:ascii="Times New Roman" w:hAnsi="Times New Roman"/>
          <w:bCs/>
          <w:iCs/>
          <w:sz w:val="24"/>
          <w:szCs w:val="24"/>
        </w:rPr>
        <w:t>-</w:t>
      </w:r>
      <w:r w:rsidRPr="00E6609E">
        <w:rPr>
          <w:rFonts w:ascii="Times New Roman" w:hAnsi="Times New Roman"/>
          <w:bCs/>
          <w:iCs/>
          <w:sz w:val="24"/>
          <w:szCs w:val="24"/>
        </w:rPr>
        <w:t>maximal inhibitory concentration</w:t>
      </w:r>
      <w:r>
        <w:rPr>
          <w:rFonts w:ascii="Times New Roman" w:hAnsi="Times New Roman"/>
          <w:bCs/>
          <w:iCs/>
          <w:sz w:val="24"/>
          <w:szCs w:val="24"/>
        </w:rPr>
        <w:t>;</w:t>
      </w:r>
      <w:r w:rsidRPr="00E6609E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3630DB">
        <w:rPr>
          <w:rFonts w:ascii="Times New Roman" w:hAnsi="Times New Roman"/>
          <w:bCs/>
          <w:iCs/>
          <w:sz w:val="24"/>
          <w:szCs w:val="24"/>
        </w:rPr>
        <w:t>IFN-γ: interferon-gamma; IL: interleukin</w:t>
      </w:r>
      <w:r>
        <w:rPr>
          <w:rFonts w:ascii="Times New Roman" w:hAnsi="Times New Roman"/>
          <w:bCs/>
          <w:iCs/>
          <w:sz w:val="24"/>
          <w:szCs w:val="24"/>
        </w:rPr>
        <w:t xml:space="preserve">; PBMC: </w:t>
      </w:r>
      <w:r w:rsidRPr="00E6609E">
        <w:rPr>
          <w:rFonts w:ascii="Times New Roman" w:hAnsi="Times New Roman"/>
          <w:bCs/>
          <w:iCs/>
          <w:sz w:val="24"/>
          <w:szCs w:val="24"/>
        </w:rPr>
        <w:t>peripheral blood mononuclear cell</w:t>
      </w:r>
      <w:r>
        <w:rPr>
          <w:rFonts w:ascii="Times New Roman" w:hAnsi="Times New Roman"/>
          <w:bCs/>
          <w:iCs/>
          <w:sz w:val="24"/>
          <w:szCs w:val="24"/>
        </w:rPr>
        <w:t>; SD: standard deviation.</w:t>
      </w:r>
    </w:p>
    <w:p w14:paraId="06EA96AF" w14:textId="6328C893" w:rsidR="004158F9" w:rsidRPr="001A2F48" w:rsidRDefault="004158F9" w:rsidP="00401753">
      <w:pPr>
        <w:autoSpaceDE w:val="0"/>
        <w:autoSpaceDN w:val="0"/>
        <w:adjustRightInd w:val="0"/>
        <w:spacing w:after="0" w:line="480" w:lineRule="auto"/>
      </w:pPr>
      <w:r>
        <w:br w:type="page"/>
      </w:r>
      <w:r w:rsidRPr="001A2F48">
        <w:rPr>
          <w:rFonts w:ascii="Times New Roman" w:hAnsi="Times New Roman"/>
          <w:b/>
          <w:bCs/>
          <w:i/>
          <w:sz w:val="24"/>
          <w:szCs w:val="24"/>
        </w:rPr>
        <w:t xml:space="preserve">Supplementary Figure </w:t>
      </w:r>
      <w:r w:rsidR="00F9605A">
        <w:rPr>
          <w:rFonts w:ascii="Times New Roman" w:hAnsi="Times New Roman"/>
          <w:b/>
          <w:bCs/>
          <w:i/>
          <w:sz w:val="24"/>
          <w:szCs w:val="24"/>
        </w:rPr>
        <w:t>3</w:t>
      </w:r>
      <w:r w:rsidRPr="001A2F48">
        <w:rPr>
          <w:rFonts w:ascii="Times New Roman" w:hAnsi="Times New Roman"/>
          <w:b/>
          <w:bCs/>
          <w:i/>
          <w:sz w:val="24"/>
          <w:szCs w:val="24"/>
        </w:rPr>
        <w:t xml:space="preserve">. Nintedanib blocks the release of anti-CD3-stimulated IFN-γ, IL-4, IL-5, IL-10, and IL-13 from </w:t>
      </w:r>
      <w:r w:rsidR="004B6B5A">
        <w:rPr>
          <w:rFonts w:ascii="Times New Roman" w:hAnsi="Times New Roman"/>
          <w:b/>
          <w:bCs/>
          <w:i/>
          <w:sz w:val="24"/>
          <w:szCs w:val="24"/>
        </w:rPr>
        <w:t>PBMCs</w:t>
      </w:r>
    </w:p>
    <w:p w14:paraId="70A37AEF" w14:textId="77777777" w:rsidR="00FC7849" w:rsidRDefault="0049513F" w:rsidP="004158F9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val="de-DE" w:eastAsia="zh-CN" w:bidi="th-TH"/>
        </w:rPr>
        <w:drawing>
          <wp:inline distT="0" distB="0" distL="0" distR="0" wp14:anchorId="66A75607" wp14:editId="3C9C2D86">
            <wp:extent cx="6475095" cy="36366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07FA" w14:textId="6432D375" w:rsidR="004158F9" w:rsidRDefault="004158F9" w:rsidP="004158F9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 w:rsidRPr="001A2F48">
        <w:rPr>
          <w:rFonts w:ascii="Times New Roman" w:hAnsi="Times New Roman"/>
          <w:sz w:val="24"/>
          <w:szCs w:val="24"/>
        </w:rPr>
        <w:t xml:space="preserve">Cytokines were determined in the cell culture supernatants from primary PBMCs from healthy donors </w:t>
      </w:r>
      <w:r w:rsidR="00A80005">
        <w:rPr>
          <w:rFonts w:ascii="Times New Roman" w:hAnsi="Times New Roman"/>
          <w:sz w:val="24"/>
          <w:szCs w:val="24"/>
        </w:rPr>
        <w:t>pre</w:t>
      </w:r>
      <w:r w:rsidR="00E77C00">
        <w:rPr>
          <w:rFonts w:ascii="Times New Roman" w:hAnsi="Times New Roman"/>
          <w:sz w:val="24"/>
          <w:szCs w:val="24"/>
        </w:rPr>
        <w:t>-</w:t>
      </w:r>
      <w:r w:rsidR="00A80005">
        <w:rPr>
          <w:rFonts w:ascii="Times New Roman" w:hAnsi="Times New Roman"/>
          <w:sz w:val="24"/>
          <w:szCs w:val="24"/>
        </w:rPr>
        <w:t>treated for 20 min with nintedanib and stimulated for 24 hours</w:t>
      </w:r>
      <w:r w:rsidR="00A80005" w:rsidRPr="001A2F48">
        <w:rPr>
          <w:rFonts w:ascii="Times New Roman" w:hAnsi="Times New Roman"/>
          <w:sz w:val="24"/>
          <w:szCs w:val="24"/>
        </w:rPr>
        <w:t xml:space="preserve"> </w:t>
      </w:r>
      <w:r w:rsidRPr="001A2F48">
        <w:rPr>
          <w:rFonts w:ascii="Times New Roman" w:hAnsi="Times New Roman"/>
          <w:sz w:val="24"/>
          <w:szCs w:val="24"/>
        </w:rPr>
        <w:t>with anti-CD3. All data are presented as mean ± SD. Donors with cytokine levels below detection limit were excluded. Number of donors for IFN</w:t>
      </w:r>
      <w:r w:rsidR="00EE161D" w:rsidRPr="001A2F48">
        <w:rPr>
          <w:rFonts w:ascii="Times New Roman" w:hAnsi="Times New Roman"/>
          <w:sz w:val="24"/>
          <w:szCs w:val="24"/>
        </w:rPr>
        <w:t>-γ</w:t>
      </w:r>
      <w:r w:rsidRPr="001A2F48">
        <w:rPr>
          <w:rFonts w:ascii="Times New Roman" w:hAnsi="Times New Roman"/>
          <w:sz w:val="24"/>
          <w:szCs w:val="24"/>
        </w:rPr>
        <w:t xml:space="preserve"> = 8, IL-4 = 1, IL-5 = 3, IL-10 = 4, IL-13 = 3</w:t>
      </w:r>
    </w:p>
    <w:p w14:paraId="3E8BD99E" w14:textId="77777777" w:rsidR="00857A15" w:rsidRPr="001A2F48" w:rsidRDefault="00857A15" w:rsidP="00857A15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IC</w:t>
      </w:r>
      <w:r w:rsidRPr="00E8053E">
        <w:rPr>
          <w:rFonts w:ascii="Times New Roman" w:hAnsi="Times New Roman"/>
          <w:bCs/>
          <w:iCs/>
          <w:sz w:val="24"/>
          <w:szCs w:val="24"/>
          <w:vertAlign w:val="subscript"/>
        </w:rPr>
        <w:t>50</w:t>
      </w:r>
      <w:r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E6609E">
        <w:rPr>
          <w:rFonts w:ascii="Times New Roman" w:hAnsi="Times New Roman"/>
          <w:bCs/>
          <w:iCs/>
          <w:sz w:val="24"/>
          <w:szCs w:val="24"/>
        </w:rPr>
        <w:t>half</w:t>
      </w:r>
      <w:r>
        <w:rPr>
          <w:rFonts w:ascii="Times New Roman" w:hAnsi="Times New Roman"/>
          <w:bCs/>
          <w:iCs/>
          <w:sz w:val="24"/>
          <w:szCs w:val="24"/>
        </w:rPr>
        <w:t>-</w:t>
      </w:r>
      <w:r w:rsidRPr="00E6609E">
        <w:rPr>
          <w:rFonts w:ascii="Times New Roman" w:hAnsi="Times New Roman"/>
          <w:bCs/>
          <w:iCs/>
          <w:sz w:val="24"/>
          <w:szCs w:val="24"/>
        </w:rPr>
        <w:t>maximal inhibitory concentration</w:t>
      </w:r>
      <w:r>
        <w:rPr>
          <w:rFonts w:ascii="Times New Roman" w:hAnsi="Times New Roman"/>
          <w:bCs/>
          <w:iCs/>
          <w:sz w:val="24"/>
          <w:szCs w:val="24"/>
        </w:rPr>
        <w:t>;</w:t>
      </w:r>
      <w:r w:rsidRPr="00E6609E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3630DB">
        <w:rPr>
          <w:rFonts w:ascii="Times New Roman" w:hAnsi="Times New Roman"/>
          <w:bCs/>
          <w:iCs/>
          <w:sz w:val="24"/>
          <w:szCs w:val="24"/>
        </w:rPr>
        <w:t>IFN-γ: interferon-gamma; IL: interleukin</w:t>
      </w:r>
      <w:r>
        <w:rPr>
          <w:rFonts w:ascii="Times New Roman" w:hAnsi="Times New Roman"/>
          <w:bCs/>
          <w:iCs/>
          <w:sz w:val="24"/>
          <w:szCs w:val="24"/>
        </w:rPr>
        <w:t xml:space="preserve">; PBMC: </w:t>
      </w:r>
      <w:r w:rsidRPr="00E6609E">
        <w:rPr>
          <w:rFonts w:ascii="Times New Roman" w:hAnsi="Times New Roman"/>
          <w:bCs/>
          <w:iCs/>
          <w:sz w:val="24"/>
          <w:szCs w:val="24"/>
        </w:rPr>
        <w:t>peripheral blood mononuclear cell</w:t>
      </w:r>
      <w:r>
        <w:rPr>
          <w:rFonts w:ascii="Times New Roman" w:hAnsi="Times New Roman"/>
          <w:bCs/>
          <w:iCs/>
          <w:sz w:val="24"/>
          <w:szCs w:val="24"/>
        </w:rPr>
        <w:t>; SD: standard deviation.</w:t>
      </w:r>
    </w:p>
    <w:p w14:paraId="5E2EE40D" w14:textId="063BC088" w:rsidR="004158F9" w:rsidRPr="001A2F48" w:rsidRDefault="004158F9" w:rsidP="004158F9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1A2F48">
        <w:rPr>
          <w:rFonts w:ascii="Times New Roman" w:hAnsi="Times New Roman"/>
          <w:b/>
          <w:bCs/>
          <w:i/>
          <w:sz w:val="24"/>
          <w:szCs w:val="24"/>
        </w:rPr>
        <w:t xml:space="preserve">Supplementary Figure </w:t>
      </w:r>
      <w:r w:rsidR="00F9605A">
        <w:rPr>
          <w:rFonts w:ascii="Times New Roman" w:hAnsi="Times New Roman"/>
          <w:b/>
          <w:bCs/>
          <w:i/>
          <w:sz w:val="24"/>
          <w:szCs w:val="24"/>
        </w:rPr>
        <w:t>4</w:t>
      </w:r>
      <w:r w:rsidRPr="001A2F48">
        <w:rPr>
          <w:rFonts w:ascii="Times New Roman" w:hAnsi="Times New Roman"/>
          <w:b/>
          <w:bCs/>
          <w:i/>
          <w:sz w:val="24"/>
          <w:szCs w:val="24"/>
        </w:rPr>
        <w:t xml:space="preserve">. </w:t>
      </w:r>
      <w:r w:rsidRPr="001A2F48">
        <w:rPr>
          <w:rFonts w:ascii="Times New Roman" w:hAnsi="Times New Roman"/>
          <w:b/>
          <w:i/>
          <w:sz w:val="24"/>
          <w:szCs w:val="24"/>
        </w:rPr>
        <w:t>Nintedanib blocks the release of anti-CD3/anti-CD28-stimulated IFN-γ, IL-4, IL-5, IL-10, IL12p70 and IL-13 from T cells</w:t>
      </w:r>
    </w:p>
    <w:p w14:paraId="47EFA595" w14:textId="77777777" w:rsidR="00FC7849" w:rsidRDefault="0049513F" w:rsidP="004158F9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val="de-DE" w:eastAsia="zh-CN" w:bidi="th-TH"/>
        </w:rPr>
        <w:drawing>
          <wp:inline distT="0" distB="0" distL="0" distR="0" wp14:anchorId="4E8B457F" wp14:editId="4FF5EE7B">
            <wp:extent cx="6475095" cy="35725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01D52" w14:textId="78F21AB9" w:rsidR="004158F9" w:rsidRDefault="004158F9" w:rsidP="004158F9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 w:rsidRPr="001A2F48">
        <w:rPr>
          <w:rFonts w:ascii="Times New Roman" w:hAnsi="Times New Roman"/>
          <w:sz w:val="24"/>
          <w:szCs w:val="24"/>
        </w:rPr>
        <w:t xml:space="preserve">Cytokines were determined in the cell culture supernatants from primary PBMCs from healthy donors </w:t>
      </w:r>
      <w:r w:rsidR="00E77C00">
        <w:rPr>
          <w:rFonts w:ascii="Times New Roman" w:hAnsi="Times New Roman"/>
          <w:sz w:val="24"/>
          <w:szCs w:val="24"/>
        </w:rPr>
        <w:t>pre-treated for 20 min with nintedanib and stimulated for 24 hours</w:t>
      </w:r>
      <w:r w:rsidR="00E77C00" w:rsidRPr="001A2F48">
        <w:rPr>
          <w:rFonts w:ascii="Times New Roman" w:hAnsi="Times New Roman"/>
          <w:sz w:val="24"/>
          <w:szCs w:val="24"/>
        </w:rPr>
        <w:t xml:space="preserve"> </w:t>
      </w:r>
      <w:r w:rsidRPr="001A2F48">
        <w:rPr>
          <w:rFonts w:ascii="Times New Roman" w:hAnsi="Times New Roman"/>
          <w:sz w:val="24"/>
          <w:szCs w:val="24"/>
        </w:rPr>
        <w:t>with anti-CD3/anti-CD28. All data are presented as mean ± SD. Donors with cytokine levels below detection limit were excluded. Number of donors for IFN</w:t>
      </w:r>
      <w:r w:rsidR="00EE161D" w:rsidRPr="001A2F48">
        <w:rPr>
          <w:rFonts w:ascii="Times New Roman" w:hAnsi="Times New Roman"/>
          <w:sz w:val="24"/>
          <w:szCs w:val="24"/>
        </w:rPr>
        <w:t>-γ</w:t>
      </w:r>
      <w:r w:rsidRPr="001A2F48">
        <w:rPr>
          <w:rFonts w:ascii="Times New Roman" w:hAnsi="Times New Roman"/>
          <w:sz w:val="24"/>
          <w:szCs w:val="24"/>
        </w:rPr>
        <w:t xml:space="preserve"> = 8, IL-4 = 1, IL-5 = 4, IL-10 = 6, IL12p70 = 3, IL-13 = 5</w:t>
      </w:r>
    </w:p>
    <w:p w14:paraId="3CE156F2" w14:textId="77777777" w:rsidR="00857A15" w:rsidRPr="001A2F48" w:rsidRDefault="00857A15" w:rsidP="00857A15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IC</w:t>
      </w:r>
      <w:r w:rsidRPr="00E8053E">
        <w:rPr>
          <w:rFonts w:ascii="Times New Roman" w:hAnsi="Times New Roman"/>
          <w:bCs/>
          <w:iCs/>
          <w:sz w:val="24"/>
          <w:szCs w:val="24"/>
          <w:vertAlign w:val="subscript"/>
        </w:rPr>
        <w:t>50</w:t>
      </w:r>
      <w:r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E6609E">
        <w:rPr>
          <w:rFonts w:ascii="Times New Roman" w:hAnsi="Times New Roman"/>
          <w:bCs/>
          <w:iCs/>
          <w:sz w:val="24"/>
          <w:szCs w:val="24"/>
        </w:rPr>
        <w:t>half</w:t>
      </w:r>
      <w:r>
        <w:rPr>
          <w:rFonts w:ascii="Times New Roman" w:hAnsi="Times New Roman"/>
          <w:bCs/>
          <w:iCs/>
          <w:sz w:val="24"/>
          <w:szCs w:val="24"/>
        </w:rPr>
        <w:t>-</w:t>
      </w:r>
      <w:r w:rsidRPr="00E6609E">
        <w:rPr>
          <w:rFonts w:ascii="Times New Roman" w:hAnsi="Times New Roman"/>
          <w:bCs/>
          <w:iCs/>
          <w:sz w:val="24"/>
          <w:szCs w:val="24"/>
        </w:rPr>
        <w:t>maximal inhibitory concentration</w:t>
      </w:r>
      <w:r>
        <w:rPr>
          <w:rFonts w:ascii="Times New Roman" w:hAnsi="Times New Roman"/>
          <w:bCs/>
          <w:iCs/>
          <w:sz w:val="24"/>
          <w:szCs w:val="24"/>
        </w:rPr>
        <w:t>;</w:t>
      </w:r>
      <w:r w:rsidRPr="00E6609E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3630DB">
        <w:rPr>
          <w:rFonts w:ascii="Times New Roman" w:hAnsi="Times New Roman"/>
          <w:bCs/>
          <w:iCs/>
          <w:sz w:val="24"/>
          <w:szCs w:val="24"/>
        </w:rPr>
        <w:t>IFN-γ: interferon-gamma; IL: interleukin</w:t>
      </w:r>
      <w:r>
        <w:rPr>
          <w:rFonts w:ascii="Times New Roman" w:hAnsi="Times New Roman"/>
          <w:bCs/>
          <w:iCs/>
          <w:sz w:val="24"/>
          <w:szCs w:val="24"/>
        </w:rPr>
        <w:t xml:space="preserve">; PBMC: </w:t>
      </w:r>
      <w:r w:rsidRPr="00E6609E">
        <w:rPr>
          <w:rFonts w:ascii="Times New Roman" w:hAnsi="Times New Roman"/>
          <w:bCs/>
          <w:iCs/>
          <w:sz w:val="24"/>
          <w:szCs w:val="24"/>
        </w:rPr>
        <w:t>peripheral blood mononuclear cell</w:t>
      </w:r>
      <w:r>
        <w:rPr>
          <w:rFonts w:ascii="Times New Roman" w:hAnsi="Times New Roman"/>
          <w:bCs/>
          <w:iCs/>
          <w:sz w:val="24"/>
          <w:szCs w:val="24"/>
        </w:rPr>
        <w:t>; SD: standard deviation.</w:t>
      </w:r>
    </w:p>
    <w:p w14:paraId="3261A49D" w14:textId="54301C06" w:rsidR="00B7324B" w:rsidRDefault="00CF5889" w:rsidP="004158F9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1A2F48">
        <w:rPr>
          <w:rFonts w:ascii="Times New Roman" w:hAnsi="Times New Roman"/>
          <w:b/>
          <w:bCs/>
          <w:sz w:val="24"/>
          <w:szCs w:val="24"/>
        </w:rPr>
        <w:br w:type="page"/>
      </w:r>
      <w:r w:rsidR="00B7324B" w:rsidRPr="003630DB">
        <w:rPr>
          <w:rFonts w:ascii="Times New Roman" w:hAnsi="Times New Roman"/>
          <w:b/>
          <w:bCs/>
          <w:i/>
          <w:sz w:val="24"/>
          <w:szCs w:val="24"/>
        </w:rPr>
        <w:t xml:space="preserve">Supplementary </w:t>
      </w:r>
      <w:r w:rsidR="00B7324B" w:rsidRPr="001A2F48">
        <w:rPr>
          <w:rFonts w:ascii="Times New Roman" w:hAnsi="Times New Roman"/>
          <w:b/>
          <w:bCs/>
          <w:i/>
          <w:sz w:val="24"/>
          <w:szCs w:val="24"/>
        </w:rPr>
        <w:t xml:space="preserve">Figure </w:t>
      </w:r>
      <w:r w:rsidR="00F9605A">
        <w:rPr>
          <w:rFonts w:ascii="Times New Roman" w:hAnsi="Times New Roman"/>
          <w:b/>
          <w:bCs/>
          <w:i/>
          <w:sz w:val="24"/>
          <w:szCs w:val="24"/>
        </w:rPr>
        <w:t>5</w:t>
      </w:r>
      <w:r w:rsidR="00B7324B" w:rsidRPr="001A2F48">
        <w:rPr>
          <w:rFonts w:ascii="Times New Roman" w:hAnsi="Times New Roman"/>
          <w:b/>
          <w:bCs/>
          <w:i/>
          <w:sz w:val="24"/>
          <w:szCs w:val="24"/>
        </w:rPr>
        <w:t xml:space="preserve">. No change </w:t>
      </w:r>
      <w:r w:rsidR="00B7324B" w:rsidRPr="003630DB">
        <w:rPr>
          <w:rFonts w:ascii="Times New Roman" w:hAnsi="Times New Roman"/>
          <w:b/>
          <w:bCs/>
          <w:i/>
          <w:sz w:val="24"/>
          <w:szCs w:val="24"/>
        </w:rPr>
        <w:t>in T-cell proliferation after pretreatment with nintedanib</w:t>
      </w:r>
    </w:p>
    <w:p w14:paraId="66F4DBFF" w14:textId="77777777" w:rsidR="00B7324B" w:rsidRPr="003630DB" w:rsidRDefault="0049513F" w:rsidP="00B7324B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B7324B">
        <w:rPr>
          <w:rFonts w:ascii="Times New Roman" w:hAnsi="Times New Roman"/>
          <w:b/>
          <w:i/>
          <w:noProof/>
          <w:sz w:val="24"/>
          <w:szCs w:val="24"/>
          <w:lang w:val="de-DE" w:eastAsia="zh-CN" w:bidi="th-TH"/>
        </w:rPr>
        <w:drawing>
          <wp:inline distT="0" distB="0" distL="0" distR="0" wp14:anchorId="28CABA41" wp14:editId="045813BA">
            <wp:extent cx="3881120" cy="3466465"/>
            <wp:effectExtent l="0" t="0" r="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8B1FB" w14:textId="77777777" w:rsidR="00B7324B" w:rsidRPr="003630DB" w:rsidRDefault="00B7324B" w:rsidP="00B7324B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 w:rsidRPr="003630DB">
        <w:rPr>
          <w:rFonts w:ascii="Times New Roman" w:hAnsi="Times New Roman"/>
          <w:sz w:val="24"/>
          <w:szCs w:val="24"/>
        </w:rPr>
        <w:t xml:space="preserve">T cells from blood of healthy donors were isolated and pretreated with different concentrations of nintedanib at 10, 30 and 100 </w:t>
      </w:r>
      <w:proofErr w:type="spellStart"/>
      <w:r w:rsidRPr="003630DB">
        <w:rPr>
          <w:rFonts w:ascii="Times New Roman" w:hAnsi="Times New Roman"/>
          <w:sz w:val="24"/>
          <w:szCs w:val="24"/>
        </w:rPr>
        <w:t>nM</w:t>
      </w:r>
      <w:proofErr w:type="spellEnd"/>
      <w:r w:rsidRPr="003630DB">
        <w:rPr>
          <w:rFonts w:ascii="Times New Roman" w:hAnsi="Times New Roman"/>
          <w:sz w:val="24"/>
          <w:szCs w:val="24"/>
        </w:rPr>
        <w:t xml:space="preserve"> for 20 minutes. Then, cells were stimulated with </w:t>
      </w:r>
      <w:r w:rsidRPr="003630DB">
        <w:rPr>
          <w:rFonts w:ascii="Times New Roman" w:hAnsi="Times New Roman"/>
          <w:bCs/>
          <w:iCs/>
          <w:sz w:val="24"/>
          <w:szCs w:val="24"/>
        </w:rPr>
        <w:t xml:space="preserve">αCD3/αCD28, αIL-4, αIFN-γ and IL-2 and </w:t>
      </w:r>
      <w:r w:rsidRPr="003630DB">
        <w:rPr>
          <w:rFonts w:ascii="Times New Roman" w:hAnsi="Times New Roman"/>
          <w:sz w:val="24"/>
          <w:szCs w:val="24"/>
        </w:rPr>
        <w:t xml:space="preserve">cultured in microtiter plates for 24 hours. Subsequently, </w:t>
      </w:r>
      <w:proofErr w:type="spellStart"/>
      <w:r w:rsidRPr="003630DB">
        <w:rPr>
          <w:rFonts w:ascii="Times New Roman" w:hAnsi="Times New Roman"/>
          <w:sz w:val="24"/>
          <w:szCs w:val="24"/>
        </w:rPr>
        <w:t>BrdU</w:t>
      </w:r>
      <w:proofErr w:type="spellEnd"/>
      <w:r w:rsidRPr="003630DB">
        <w:rPr>
          <w:rFonts w:ascii="Times New Roman" w:hAnsi="Times New Roman"/>
          <w:sz w:val="24"/>
          <w:szCs w:val="24"/>
        </w:rPr>
        <w:t xml:space="preserve"> was added and the cells were incubated for 18 hours. </w:t>
      </w:r>
      <w:proofErr w:type="spellStart"/>
      <w:r w:rsidRPr="003630DB">
        <w:rPr>
          <w:rFonts w:ascii="Times New Roman" w:hAnsi="Times New Roman"/>
          <w:sz w:val="24"/>
          <w:szCs w:val="24"/>
        </w:rPr>
        <w:t>BrdU</w:t>
      </w:r>
      <w:proofErr w:type="spellEnd"/>
      <w:r w:rsidRPr="003630DB">
        <w:rPr>
          <w:rFonts w:ascii="Times New Roman" w:hAnsi="Times New Roman"/>
          <w:sz w:val="24"/>
          <w:szCs w:val="24"/>
        </w:rPr>
        <w:t xml:space="preserve"> incorporation was determined by measuring the absorbance of the samples in an ELISA reader at 450 </w:t>
      </w:r>
      <w:proofErr w:type="spellStart"/>
      <w:r w:rsidRPr="003630DB">
        <w:rPr>
          <w:rFonts w:ascii="Times New Roman" w:hAnsi="Times New Roman"/>
          <w:sz w:val="24"/>
          <w:szCs w:val="24"/>
        </w:rPr>
        <w:t>nM.</w:t>
      </w:r>
      <w:proofErr w:type="spellEnd"/>
      <w:r w:rsidRPr="003630DB">
        <w:rPr>
          <w:rFonts w:ascii="Times New Roman" w:hAnsi="Times New Roman"/>
          <w:sz w:val="24"/>
          <w:szCs w:val="24"/>
        </w:rPr>
        <w:t xml:space="preserve"> </w:t>
      </w:r>
      <w:r w:rsidRPr="003630DB">
        <w:rPr>
          <w:rFonts w:ascii="Times New Roman" w:eastAsia="DengXian" w:hAnsi="Times New Roman"/>
          <w:sz w:val="24"/>
          <w:szCs w:val="24"/>
          <w:lang w:eastAsia="zh-CN" w:bidi="th-TH"/>
        </w:rPr>
        <w:t xml:space="preserve">n=4–6 donors. </w:t>
      </w:r>
      <w:r w:rsidRPr="003630DB">
        <w:rPr>
          <w:rFonts w:ascii="Times New Roman" w:hAnsi="Times New Roman"/>
          <w:sz w:val="24"/>
          <w:szCs w:val="24"/>
        </w:rPr>
        <w:t>Bars represent mean values ± standard error of mean, *P&lt;0.05.</w:t>
      </w:r>
    </w:p>
    <w:p w14:paraId="14C0DD0D" w14:textId="710EE70C" w:rsidR="00B7324B" w:rsidRDefault="00B7324B" w:rsidP="00B7324B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3630DB">
        <w:rPr>
          <w:rFonts w:ascii="Times New Roman" w:hAnsi="Times New Roman"/>
          <w:sz w:val="24"/>
          <w:szCs w:val="24"/>
        </w:rPr>
        <w:t>BrdU</w:t>
      </w:r>
      <w:proofErr w:type="spellEnd"/>
      <w:r w:rsidRPr="003630DB">
        <w:rPr>
          <w:rFonts w:ascii="Times New Roman" w:hAnsi="Times New Roman"/>
          <w:sz w:val="24"/>
          <w:szCs w:val="24"/>
        </w:rPr>
        <w:t>:</w:t>
      </w:r>
      <w:r w:rsidRPr="003630DB">
        <w:rPr>
          <w:rFonts w:ascii="Times New Roman" w:hAnsi="Times New Roman"/>
          <w:bCs/>
          <w:iCs/>
          <w:sz w:val="24"/>
          <w:szCs w:val="24"/>
        </w:rPr>
        <w:t xml:space="preserve"> b</w:t>
      </w:r>
      <w:r w:rsidRPr="003630DB">
        <w:rPr>
          <w:rFonts w:ascii="Times New Roman" w:hAnsi="Times New Roman"/>
          <w:sz w:val="24"/>
          <w:szCs w:val="24"/>
        </w:rPr>
        <w:t xml:space="preserve">romodeoxyuridine; </w:t>
      </w:r>
      <w:r w:rsidRPr="003630DB">
        <w:rPr>
          <w:rFonts w:ascii="Times New Roman" w:eastAsia="DengXian" w:hAnsi="Times New Roman"/>
          <w:sz w:val="24"/>
          <w:szCs w:val="24"/>
          <w:lang w:eastAsia="zh-CN" w:bidi="th-TH"/>
        </w:rPr>
        <w:t xml:space="preserve">ELISA: enzyme-linked immunosorbent assay; </w:t>
      </w:r>
      <w:r w:rsidRPr="003630DB">
        <w:rPr>
          <w:rFonts w:ascii="Times New Roman" w:hAnsi="Times New Roman"/>
          <w:bCs/>
          <w:iCs/>
          <w:sz w:val="24"/>
          <w:szCs w:val="24"/>
        </w:rPr>
        <w:t>IFN-γ: interferon-gamma; IL: interleukin.</w:t>
      </w:r>
      <w:r w:rsidRPr="003630DB">
        <w:rPr>
          <w:rFonts w:ascii="Times New Roman" w:hAnsi="Times New Roman"/>
          <w:b/>
          <w:sz w:val="24"/>
          <w:szCs w:val="24"/>
        </w:rPr>
        <w:br w:type="page"/>
      </w:r>
      <w:r w:rsidRPr="003630DB">
        <w:rPr>
          <w:rFonts w:ascii="Times New Roman" w:hAnsi="Times New Roman"/>
          <w:b/>
          <w:i/>
          <w:sz w:val="24"/>
          <w:szCs w:val="24"/>
        </w:rPr>
        <w:t xml:space="preserve">Supplementary </w:t>
      </w:r>
      <w:r w:rsidRPr="001A2F48">
        <w:rPr>
          <w:rFonts w:ascii="Times New Roman" w:hAnsi="Times New Roman"/>
          <w:b/>
          <w:i/>
          <w:sz w:val="24"/>
          <w:szCs w:val="24"/>
        </w:rPr>
        <w:t xml:space="preserve">Figure </w:t>
      </w:r>
      <w:r w:rsidR="00F9605A">
        <w:rPr>
          <w:rFonts w:ascii="Times New Roman" w:hAnsi="Times New Roman"/>
          <w:b/>
          <w:i/>
          <w:sz w:val="24"/>
          <w:szCs w:val="24"/>
        </w:rPr>
        <w:t>6</w:t>
      </w:r>
      <w:r w:rsidRPr="001A2F48">
        <w:rPr>
          <w:rFonts w:ascii="Times New Roman" w:hAnsi="Times New Roman"/>
          <w:b/>
          <w:i/>
          <w:sz w:val="24"/>
          <w:szCs w:val="24"/>
        </w:rPr>
        <w:t xml:space="preserve">. Unchanged </w:t>
      </w:r>
      <w:r w:rsidRPr="003630DB">
        <w:rPr>
          <w:rFonts w:ascii="Times New Roman" w:hAnsi="Times New Roman"/>
          <w:b/>
          <w:i/>
          <w:sz w:val="24"/>
          <w:szCs w:val="24"/>
        </w:rPr>
        <w:t>CD4</w:t>
      </w:r>
      <w:r w:rsidRPr="003630DB">
        <w:rPr>
          <w:rFonts w:ascii="Times New Roman" w:hAnsi="Times New Roman"/>
          <w:bCs/>
          <w:i/>
          <w:iCs/>
          <w:sz w:val="24"/>
          <w:szCs w:val="24"/>
        </w:rPr>
        <w:t>+</w:t>
      </w:r>
      <w:r w:rsidRPr="003630DB">
        <w:rPr>
          <w:rFonts w:ascii="Times New Roman" w:hAnsi="Times New Roman"/>
          <w:b/>
          <w:i/>
          <w:sz w:val="24"/>
          <w:szCs w:val="24"/>
        </w:rPr>
        <w:t xml:space="preserve"> and CD8</w:t>
      </w:r>
      <w:r w:rsidRPr="003630DB">
        <w:rPr>
          <w:rFonts w:ascii="Times New Roman" w:hAnsi="Times New Roman"/>
          <w:bCs/>
          <w:i/>
          <w:iCs/>
          <w:sz w:val="24"/>
          <w:szCs w:val="24"/>
        </w:rPr>
        <w:t>+</w:t>
      </w:r>
      <w:r w:rsidRPr="003630DB">
        <w:rPr>
          <w:rFonts w:ascii="Times New Roman" w:hAnsi="Times New Roman"/>
          <w:b/>
          <w:i/>
          <w:sz w:val="24"/>
          <w:szCs w:val="24"/>
        </w:rPr>
        <w:t xml:space="preserve"> T-cell number after pretreatment with nintedanib</w:t>
      </w:r>
    </w:p>
    <w:p w14:paraId="45ED00A8" w14:textId="77777777" w:rsidR="00B7324B" w:rsidRPr="003630DB" w:rsidRDefault="0049513F" w:rsidP="00B7324B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i/>
          <w:sz w:val="24"/>
          <w:szCs w:val="24"/>
        </w:rPr>
      </w:pPr>
      <w:r w:rsidRPr="00B7324B">
        <w:rPr>
          <w:rFonts w:ascii="Times New Roman" w:hAnsi="Times New Roman"/>
          <w:b/>
          <w:i/>
          <w:noProof/>
          <w:sz w:val="24"/>
          <w:szCs w:val="24"/>
          <w:lang w:val="de-DE" w:eastAsia="zh-CN" w:bidi="th-TH"/>
        </w:rPr>
        <w:drawing>
          <wp:inline distT="0" distB="0" distL="0" distR="0" wp14:anchorId="41F97E51" wp14:editId="1B6FC8AA">
            <wp:extent cx="5762625" cy="8070215"/>
            <wp:effectExtent l="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F0B11" w14:textId="0F53AB62" w:rsidR="00B7324B" w:rsidRPr="003630DB" w:rsidRDefault="00B7324B" w:rsidP="00B7324B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 w:rsidRPr="003630DB">
        <w:rPr>
          <w:rFonts w:ascii="Times New Roman" w:hAnsi="Times New Roman"/>
          <w:bCs/>
          <w:iCs/>
          <w:sz w:val="24"/>
          <w:szCs w:val="24"/>
        </w:rPr>
        <w:t xml:space="preserve">Flow cytometry analyses of CD4+ and CD8+ T cells in CD3+ T-cell culture from healthy donors </w:t>
      </w:r>
      <w:r w:rsidR="00E77C00" w:rsidRPr="001A2F48">
        <w:rPr>
          <w:rFonts w:ascii="Times New Roman" w:hAnsi="Times New Roman"/>
          <w:bCs/>
          <w:iCs/>
          <w:sz w:val="24"/>
          <w:szCs w:val="24"/>
        </w:rPr>
        <w:t>pre</w:t>
      </w:r>
      <w:r w:rsidR="00E77C00">
        <w:rPr>
          <w:rFonts w:ascii="Times New Roman" w:hAnsi="Times New Roman"/>
          <w:bCs/>
          <w:iCs/>
          <w:sz w:val="24"/>
          <w:szCs w:val="24"/>
        </w:rPr>
        <w:t>-</w:t>
      </w:r>
      <w:r w:rsidR="00E77C00" w:rsidRPr="001A2F48">
        <w:rPr>
          <w:rFonts w:ascii="Times New Roman" w:hAnsi="Times New Roman"/>
          <w:bCs/>
          <w:iCs/>
          <w:sz w:val="24"/>
          <w:szCs w:val="24"/>
        </w:rPr>
        <w:t xml:space="preserve">treated </w:t>
      </w:r>
      <w:r w:rsidR="00E77C00">
        <w:rPr>
          <w:rFonts w:ascii="Times New Roman" w:hAnsi="Times New Roman"/>
          <w:bCs/>
          <w:iCs/>
          <w:sz w:val="24"/>
          <w:szCs w:val="24"/>
        </w:rPr>
        <w:t xml:space="preserve">for 20 min </w:t>
      </w:r>
      <w:r w:rsidR="00E77C00" w:rsidRPr="001A2F48">
        <w:rPr>
          <w:rFonts w:ascii="Times New Roman" w:hAnsi="Times New Roman"/>
          <w:bCs/>
          <w:iCs/>
          <w:sz w:val="24"/>
          <w:szCs w:val="24"/>
        </w:rPr>
        <w:t xml:space="preserve">with or without nintedanib at 10, 30 and 100 </w:t>
      </w:r>
      <w:proofErr w:type="spellStart"/>
      <w:r w:rsidR="00E77C00" w:rsidRPr="001A2F48">
        <w:rPr>
          <w:rFonts w:ascii="Times New Roman" w:hAnsi="Times New Roman"/>
          <w:bCs/>
          <w:iCs/>
          <w:sz w:val="24"/>
          <w:szCs w:val="24"/>
        </w:rPr>
        <w:t>nM</w:t>
      </w:r>
      <w:proofErr w:type="spellEnd"/>
      <w:r w:rsidR="00E77C00" w:rsidRPr="003630D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E77C00">
        <w:rPr>
          <w:rFonts w:ascii="Times New Roman" w:hAnsi="Times New Roman"/>
          <w:bCs/>
          <w:iCs/>
          <w:sz w:val="24"/>
          <w:szCs w:val="24"/>
        </w:rPr>
        <w:t xml:space="preserve">and </w:t>
      </w:r>
      <w:r w:rsidR="00E77C00" w:rsidRPr="003630DB">
        <w:rPr>
          <w:rFonts w:ascii="Times New Roman" w:hAnsi="Times New Roman"/>
          <w:bCs/>
          <w:iCs/>
          <w:sz w:val="24"/>
          <w:szCs w:val="24"/>
        </w:rPr>
        <w:t xml:space="preserve">stimulated </w:t>
      </w:r>
      <w:r w:rsidR="00E77C00">
        <w:rPr>
          <w:rFonts w:ascii="Times New Roman" w:hAnsi="Times New Roman"/>
          <w:bCs/>
          <w:iCs/>
          <w:sz w:val="24"/>
          <w:szCs w:val="24"/>
        </w:rPr>
        <w:t>for 24 hours</w:t>
      </w:r>
      <w:r w:rsidR="00E77C00" w:rsidRPr="003630D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3630DB">
        <w:rPr>
          <w:rFonts w:ascii="Times New Roman" w:hAnsi="Times New Roman"/>
          <w:bCs/>
          <w:iCs/>
          <w:sz w:val="24"/>
          <w:szCs w:val="24"/>
        </w:rPr>
        <w:t>with αCD3/αCD28, αIL-4</w:t>
      </w:r>
      <w:r w:rsidR="00F92966"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Pr="003630DB">
        <w:rPr>
          <w:rFonts w:ascii="Times New Roman" w:hAnsi="Times New Roman"/>
          <w:bCs/>
          <w:iCs/>
          <w:sz w:val="24"/>
          <w:szCs w:val="24"/>
        </w:rPr>
        <w:t>αIFN</w:t>
      </w:r>
      <w:r w:rsidRPr="001A2F48">
        <w:rPr>
          <w:rFonts w:ascii="Times New Roman" w:hAnsi="Times New Roman"/>
          <w:bCs/>
          <w:iCs/>
          <w:sz w:val="24"/>
          <w:szCs w:val="24"/>
        </w:rPr>
        <w:t xml:space="preserve">-γ </w:t>
      </w:r>
      <w:r w:rsidR="00F92966" w:rsidRPr="001A2F48">
        <w:rPr>
          <w:rFonts w:ascii="Times New Roman" w:hAnsi="Times New Roman"/>
          <w:bCs/>
          <w:iCs/>
          <w:sz w:val="24"/>
          <w:szCs w:val="24"/>
        </w:rPr>
        <w:t>and IL-2</w:t>
      </w:r>
      <w:r w:rsidRPr="003630DB">
        <w:rPr>
          <w:rFonts w:ascii="Times New Roman" w:hAnsi="Times New Roman"/>
          <w:bCs/>
          <w:iCs/>
          <w:sz w:val="24"/>
          <w:szCs w:val="24"/>
        </w:rPr>
        <w:t xml:space="preserve">. (A) FACS dot plots show one representative experiment. </w:t>
      </w:r>
      <w:r w:rsidRPr="003630DB">
        <w:rPr>
          <w:rFonts w:ascii="Times New Roman" w:hAnsi="Times New Roman"/>
          <w:sz w:val="24"/>
          <w:szCs w:val="24"/>
        </w:rPr>
        <w:t xml:space="preserve">Percentage of the total </w:t>
      </w:r>
      <w:r w:rsidRPr="003630DB">
        <w:rPr>
          <w:rFonts w:ascii="Times New Roman" w:hAnsi="Times New Roman"/>
          <w:bCs/>
          <w:iCs/>
          <w:sz w:val="24"/>
          <w:szCs w:val="24"/>
        </w:rPr>
        <w:t xml:space="preserve">(B) </w:t>
      </w:r>
      <w:r w:rsidRPr="003630DB">
        <w:rPr>
          <w:rFonts w:ascii="Times New Roman" w:hAnsi="Times New Roman"/>
          <w:sz w:val="24"/>
          <w:szCs w:val="24"/>
        </w:rPr>
        <w:t>CD4</w:t>
      </w:r>
      <w:r w:rsidRPr="003630DB">
        <w:rPr>
          <w:rFonts w:ascii="Times New Roman" w:hAnsi="Times New Roman"/>
          <w:bCs/>
          <w:iCs/>
          <w:sz w:val="24"/>
          <w:szCs w:val="24"/>
        </w:rPr>
        <w:t>+</w:t>
      </w:r>
      <w:r w:rsidRPr="003630DB">
        <w:rPr>
          <w:rFonts w:ascii="Times New Roman" w:hAnsi="Times New Roman"/>
          <w:sz w:val="24"/>
          <w:szCs w:val="24"/>
        </w:rPr>
        <w:t xml:space="preserve"> and (C) CD8</w:t>
      </w:r>
      <w:r w:rsidRPr="003630DB">
        <w:rPr>
          <w:rFonts w:ascii="Times New Roman" w:hAnsi="Times New Roman"/>
          <w:bCs/>
          <w:iCs/>
          <w:sz w:val="24"/>
          <w:szCs w:val="24"/>
        </w:rPr>
        <w:t>+</w:t>
      </w:r>
      <w:r w:rsidRPr="003630DB">
        <w:rPr>
          <w:rFonts w:ascii="Times New Roman" w:hAnsi="Times New Roman"/>
          <w:sz w:val="24"/>
          <w:szCs w:val="24"/>
        </w:rPr>
        <w:t xml:space="preserve"> T-cell population in total CD3+ T-cell culture (n=4–6). Absolute number of (D) CD4</w:t>
      </w:r>
      <w:r w:rsidRPr="003630DB">
        <w:rPr>
          <w:rFonts w:ascii="Times New Roman" w:hAnsi="Times New Roman"/>
          <w:bCs/>
          <w:iCs/>
          <w:sz w:val="24"/>
          <w:szCs w:val="24"/>
        </w:rPr>
        <w:t>+</w:t>
      </w:r>
      <w:r w:rsidRPr="003630DB">
        <w:rPr>
          <w:rFonts w:ascii="Times New Roman" w:hAnsi="Times New Roman"/>
          <w:sz w:val="24"/>
          <w:szCs w:val="24"/>
        </w:rPr>
        <w:t xml:space="preserve"> and (E) CD8</w:t>
      </w:r>
      <w:r w:rsidRPr="003630DB">
        <w:rPr>
          <w:rFonts w:ascii="Times New Roman" w:hAnsi="Times New Roman"/>
          <w:bCs/>
          <w:iCs/>
          <w:sz w:val="24"/>
          <w:szCs w:val="24"/>
        </w:rPr>
        <w:t>+</w:t>
      </w:r>
      <w:r w:rsidRPr="003630DB">
        <w:rPr>
          <w:rFonts w:ascii="Times New Roman" w:hAnsi="Times New Roman"/>
          <w:sz w:val="24"/>
          <w:szCs w:val="24"/>
        </w:rPr>
        <w:t xml:space="preserve"> T cells. Bars represent mean values ± standard of error mean, *P&lt;0.05. </w:t>
      </w:r>
    </w:p>
    <w:p w14:paraId="7D986370" w14:textId="663B49B6" w:rsidR="00B7324B" w:rsidRPr="003630DB" w:rsidRDefault="00B7324B" w:rsidP="00B7324B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i/>
          <w:sz w:val="24"/>
          <w:szCs w:val="24"/>
        </w:rPr>
      </w:pPr>
      <w:r w:rsidRPr="003630DB">
        <w:rPr>
          <w:rFonts w:ascii="Times New Roman" w:hAnsi="Times New Roman"/>
          <w:bCs/>
          <w:iCs/>
          <w:sz w:val="24"/>
          <w:szCs w:val="24"/>
        </w:rPr>
        <w:t xml:space="preserve">FACS: </w:t>
      </w:r>
      <w:r w:rsidRPr="003630DB">
        <w:rPr>
          <w:rFonts w:ascii="Times New Roman" w:hAnsi="Times New Roman"/>
          <w:sz w:val="24"/>
          <w:szCs w:val="24"/>
        </w:rPr>
        <w:t xml:space="preserve">fluorescence-activated cell sorting; </w:t>
      </w:r>
      <w:r w:rsidRPr="003630DB">
        <w:rPr>
          <w:rFonts w:ascii="Times New Roman" w:hAnsi="Times New Roman"/>
          <w:bCs/>
          <w:iCs/>
          <w:sz w:val="24"/>
          <w:szCs w:val="24"/>
        </w:rPr>
        <w:t>IFN-γ: interferon-gamma; IL: interleukin.</w:t>
      </w:r>
      <w:r w:rsidRPr="003630DB">
        <w:br w:type="page"/>
      </w:r>
      <w:r w:rsidRPr="003630DB">
        <w:rPr>
          <w:rFonts w:ascii="Times New Roman" w:hAnsi="Times New Roman"/>
          <w:b/>
          <w:i/>
          <w:sz w:val="24"/>
          <w:szCs w:val="24"/>
        </w:rPr>
        <w:t xml:space="preserve">Supplementary </w:t>
      </w:r>
      <w:r w:rsidRPr="001A2F48">
        <w:rPr>
          <w:rFonts w:ascii="Times New Roman" w:hAnsi="Times New Roman"/>
          <w:b/>
          <w:i/>
          <w:sz w:val="24"/>
          <w:szCs w:val="24"/>
        </w:rPr>
        <w:t xml:space="preserve">Figure </w:t>
      </w:r>
      <w:r w:rsidR="00F9605A">
        <w:rPr>
          <w:rFonts w:ascii="Times New Roman" w:hAnsi="Times New Roman"/>
          <w:b/>
          <w:i/>
          <w:sz w:val="24"/>
          <w:szCs w:val="24"/>
        </w:rPr>
        <w:t>7</w:t>
      </w:r>
      <w:r w:rsidRPr="001A2F48"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3630DB">
        <w:rPr>
          <w:rFonts w:ascii="Times New Roman" w:hAnsi="Times New Roman"/>
          <w:b/>
          <w:i/>
          <w:sz w:val="24"/>
          <w:szCs w:val="24"/>
        </w:rPr>
        <w:t>Number of Th1- and Th2-like polarized CD4+ T cells after pretreatment with nintedanib</w:t>
      </w:r>
      <w:r w:rsidRPr="003630D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3630DB">
        <w:rPr>
          <w:rFonts w:ascii="Times New Roman" w:hAnsi="Times New Roman"/>
          <w:b/>
          <w:i/>
          <w:sz w:val="24"/>
          <w:szCs w:val="24"/>
        </w:rPr>
        <w:t xml:space="preserve">  </w:t>
      </w:r>
    </w:p>
    <w:p w14:paraId="5A2BBED7" w14:textId="77777777" w:rsidR="00B7324B" w:rsidRPr="003630DB" w:rsidRDefault="0049513F" w:rsidP="00B7324B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i/>
          <w:sz w:val="24"/>
          <w:szCs w:val="24"/>
        </w:rPr>
      </w:pPr>
      <w:r w:rsidRPr="00B7324B">
        <w:rPr>
          <w:rFonts w:ascii="Times New Roman" w:hAnsi="Times New Roman"/>
          <w:b/>
          <w:i/>
          <w:noProof/>
          <w:sz w:val="24"/>
          <w:szCs w:val="24"/>
          <w:lang w:val="de-DE" w:eastAsia="zh-CN" w:bidi="th-TH"/>
        </w:rPr>
        <w:drawing>
          <wp:inline distT="0" distB="0" distL="0" distR="0" wp14:anchorId="2A71D011" wp14:editId="6B47D964">
            <wp:extent cx="5762625" cy="2392045"/>
            <wp:effectExtent l="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52162" w14:textId="613B6F28" w:rsidR="00B7324B" w:rsidRPr="003630DB" w:rsidRDefault="00B7324B" w:rsidP="00B7324B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Cs/>
          <w:iCs/>
          <w:sz w:val="24"/>
          <w:szCs w:val="24"/>
        </w:rPr>
      </w:pPr>
      <w:r w:rsidRPr="003630DB">
        <w:rPr>
          <w:rFonts w:ascii="Times New Roman" w:hAnsi="Times New Roman"/>
          <w:bCs/>
          <w:iCs/>
          <w:sz w:val="24"/>
          <w:szCs w:val="24"/>
        </w:rPr>
        <w:t xml:space="preserve">Flow cytometry analyses of CD4+ T cells in CD3+ T-cell culture from healthy donors </w:t>
      </w:r>
      <w:r w:rsidR="00E77C00" w:rsidRPr="001A2F48">
        <w:rPr>
          <w:rFonts w:ascii="Times New Roman" w:hAnsi="Times New Roman"/>
          <w:bCs/>
          <w:iCs/>
          <w:sz w:val="24"/>
          <w:szCs w:val="24"/>
        </w:rPr>
        <w:t>pre</w:t>
      </w:r>
      <w:r w:rsidR="00E77C00">
        <w:rPr>
          <w:rFonts w:ascii="Times New Roman" w:hAnsi="Times New Roman"/>
          <w:bCs/>
          <w:iCs/>
          <w:sz w:val="24"/>
          <w:szCs w:val="24"/>
        </w:rPr>
        <w:t>-</w:t>
      </w:r>
      <w:r w:rsidR="00E77C00" w:rsidRPr="001A2F48">
        <w:rPr>
          <w:rFonts w:ascii="Times New Roman" w:hAnsi="Times New Roman"/>
          <w:bCs/>
          <w:iCs/>
          <w:sz w:val="24"/>
          <w:szCs w:val="24"/>
        </w:rPr>
        <w:t xml:space="preserve">treated </w:t>
      </w:r>
      <w:r w:rsidR="00E77C00">
        <w:rPr>
          <w:rFonts w:ascii="Times New Roman" w:hAnsi="Times New Roman"/>
          <w:bCs/>
          <w:iCs/>
          <w:sz w:val="24"/>
          <w:szCs w:val="24"/>
        </w:rPr>
        <w:t xml:space="preserve">for 20 min </w:t>
      </w:r>
      <w:r w:rsidR="00E77C00" w:rsidRPr="001A2F48">
        <w:rPr>
          <w:rFonts w:ascii="Times New Roman" w:hAnsi="Times New Roman"/>
          <w:bCs/>
          <w:iCs/>
          <w:sz w:val="24"/>
          <w:szCs w:val="24"/>
        </w:rPr>
        <w:t xml:space="preserve">with or without nintedanib at 10, 30 and 100 </w:t>
      </w:r>
      <w:proofErr w:type="spellStart"/>
      <w:r w:rsidR="00E77C00" w:rsidRPr="001A2F48">
        <w:rPr>
          <w:rFonts w:ascii="Times New Roman" w:hAnsi="Times New Roman"/>
          <w:bCs/>
          <w:iCs/>
          <w:sz w:val="24"/>
          <w:szCs w:val="24"/>
        </w:rPr>
        <w:t>nM</w:t>
      </w:r>
      <w:proofErr w:type="spellEnd"/>
      <w:r w:rsidR="00E77C00" w:rsidRPr="003630D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E77C00">
        <w:rPr>
          <w:rFonts w:ascii="Times New Roman" w:hAnsi="Times New Roman"/>
          <w:bCs/>
          <w:iCs/>
          <w:sz w:val="24"/>
          <w:szCs w:val="24"/>
        </w:rPr>
        <w:t xml:space="preserve">and </w:t>
      </w:r>
      <w:r w:rsidRPr="003630DB">
        <w:rPr>
          <w:rFonts w:ascii="Times New Roman" w:hAnsi="Times New Roman"/>
          <w:bCs/>
          <w:iCs/>
          <w:sz w:val="24"/>
          <w:szCs w:val="24"/>
        </w:rPr>
        <w:t xml:space="preserve">stimulated </w:t>
      </w:r>
      <w:r w:rsidR="00E77C00">
        <w:rPr>
          <w:rFonts w:ascii="Times New Roman" w:hAnsi="Times New Roman"/>
          <w:bCs/>
          <w:iCs/>
          <w:sz w:val="24"/>
          <w:szCs w:val="24"/>
        </w:rPr>
        <w:t xml:space="preserve">for 24 hours </w:t>
      </w:r>
      <w:r w:rsidRPr="003630DB">
        <w:rPr>
          <w:rFonts w:ascii="Times New Roman" w:hAnsi="Times New Roman"/>
          <w:bCs/>
          <w:iCs/>
          <w:sz w:val="24"/>
          <w:szCs w:val="24"/>
        </w:rPr>
        <w:t xml:space="preserve">with αCD3/αCD28, IL-2 and </w:t>
      </w:r>
      <w:r w:rsidRPr="001A2F48">
        <w:rPr>
          <w:rFonts w:ascii="Times New Roman" w:hAnsi="Times New Roman"/>
          <w:bCs/>
          <w:iCs/>
          <w:sz w:val="24"/>
          <w:szCs w:val="24"/>
        </w:rPr>
        <w:t>IL-12</w:t>
      </w:r>
      <w:r w:rsidR="00F92966" w:rsidRPr="001A2F48">
        <w:rPr>
          <w:rFonts w:ascii="Times New Roman" w:hAnsi="Times New Roman"/>
          <w:bCs/>
          <w:iCs/>
          <w:sz w:val="24"/>
          <w:szCs w:val="24"/>
        </w:rPr>
        <w:t xml:space="preserve"> (</w:t>
      </w:r>
      <w:r w:rsidRPr="001A2F48">
        <w:rPr>
          <w:rFonts w:ascii="Times New Roman" w:hAnsi="Times New Roman"/>
          <w:bCs/>
          <w:iCs/>
          <w:sz w:val="24"/>
          <w:szCs w:val="24"/>
        </w:rPr>
        <w:t>Th1-like cells</w:t>
      </w:r>
      <w:r w:rsidR="00F92966" w:rsidRPr="001A2F48">
        <w:rPr>
          <w:rFonts w:ascii="Times New Roman" w:hAnsi="Times New Roman"/>
          <w:bCs/>
          <w:iCs/>
          <w:sz w:val="24"/>
          <w:szCs w:val="24"/>
        </w:rPr>
        <w:t>) or</w:t>
      </w:r>
      <w:r w:rsidRPr="001A2F48">
        <w:rPr>
          <w:rFonts w:ascii="Times New Roman" w:hAnsi="Times New Roman"/>
          <w:bCs/>
          <w:iCs/>
          <w:sz w:val="24"/>
          <w:szCs w:val="24"/>
        </w:rPr>
        <w:t xml:space="preserve"> IL-4 </w:t>
      </w:r>
      <w:r w:rsidR="00F92966" w:rsidRPr="001A2F48">
        <w:rPr>
          <w:rFonts w:ascii="Times New Roman" w:hAnsi="Times New Roman"/>
          <w:bCs/>
          <w:iCs/>
          <w:sz w:val="24"/>
          <w:szCs w:val="24"/>
        </w:rPr>
        <w:t>(</w:t>
      </w:r>
      <w:r w:rsidRPr="001A2F48">
        <w:rPr>
          <w:rFonts w:ascii="Times New Roman" w:hAnsi="Times New Roman"/>
          <w:bCs/>
          <w:iCs/>
          <w:sz w:val="24"/>
          <w:szCs w:val="24"/>
        </w:rPr>
        <w:t>Th2-like cells</w:t>
      </w:r>
      <w:r w:rsidR="00F92966" w:rsidRPr="001A2F48">
        <w:rPr>
          <w:rFonts w:ascii="Times New Roman" w:hAnsi="Times New Roman"/>
          <w:bCs/>
          <w:iCs/>
          <w:sz w:val="24"/>
          <w:szCs w:val="24"/>
        </w:rPr>
        <w:t>)</w:t>
      </w:r>
      <w:r w:rsidRPr="001A2F48">
        <w:rPr>
          <w:rFonts w:ascii="Times New Roman" w:hAnsi="Times New Roman"/>
          <w:bCs/>
          <w:iCs/>
          <w:sz w:val="24"/>
          <w:szCs w:val="24"/>
        </w:rPr>
        <w:t xml:space="preserve"> and. (A) </w:t>
      </w:r>
      <w:r w:rsidRPr="001A2F48">
        <w:rPr>
          <w:rFonts w:ascii="Times New Roman" w:hAnsi="Times New Roman"/>
          <w:sz w:val="24"/>
          <w:szCs w:val="24"/>
        </w:rPr>
        <w:t xml:space="preserve">Percentage of the total </w:t>
      </w:r>
      <w:r w:rsidRPr="003630DB">
        <w:rPr>
          <w:rFonts w:ascii="Times New Roman" w:hAnsi="Times New Roman"/>
          <w:sz w:val="24"/>
          <w:szCs w:val="24"/>
        </w:rPr>
        <w:t>CD4</w:t>
      </w:r>
      <w:r w:rsidRPr="003630DB">
        <w:rPr>
          <w:rFonts w:ascii="Times New Roman" w:hAnsi="Times New Roman"/>
          <w:bCs/>
          <w:iCs/>
          <w:sz w:val="24"/>
          <w:szCs w:val="24"/>
        </w:rPr>
        <w:t>+/</w:t>
      </w:r>
      <w:r w:rsidRPr="003630DB">
        <w:rPr>
          <w:rFonts w:ascii="Times New Roman" w:hAnsi="Times New Roman"/>
          <w:sz w:val="24"/>
          <w:szCs w:val="24"/>
        </w:rPr>
        <w:t>IFN-γ</w:t>
      </w:r>
      <w:r w:rsidRPr="003630DB">
        <w:rPr>
          <w:rFonts w:ascii="Times New Roman" w:hAnsi="Times New Roman"/>
          <w:bCs/>
          <w:iCs/>
          <w:sz w:val="24"/>
          <w:szCs w:val="24"/>
        </w:rPr>
        <w:t>+</w:t>
      </w:r>
      <w:r w:rsidRPr="003630DB">
        <w:rPr>
          <w:rFonts w:ascii="Times New Roman" w:hAnsi="Times New Roman"/>
          <w:sz w:val="24"/>
          <w:szCs w:val="24"/>
        </w:rPr>
        <w:t xml:space="preserve"> T cells and (B) CD4</w:t>
      </w:r>
      <w:r w:rsidRPr="003630DB">
        <w:rPr>
          <w:rFonts w:ascii="Times New Roman" w:hAnsi="Times New Roman"/>
          <w:bCs/>
          <w:iCs/>
          <w:sz w:val="24"/>
          <w:szCs w:val="24"/>
        </w:rPr>
        <w:t>+/</w:t>
      </w:r>
      <w:r w:rsidRPr="003630DB">
        <w:rPr>
          <w:rFonts w:ascii="Times New Roman" w:hAnsi="Times New Roman"/>
          <w:sz w:val="24"/>
          <w:szCs w:val="24"/>
        </w:rPr>
        <w:t>IL-4</w:t>
      </w:r>
      <w:r w:rsidRPr="003630DB">
        <w:rPr>
          <w:rFonts w:ascii="Times New Roman" w:hAnsi="Times New Roman"/>
          <w:bCs/>
          <w:iCs/>
          <w:sz w:val="24"/>
          <w:szCs w:val="24"/>
        </w:rPr>
        <w:t>+</w:t>
      </w:r>
      <w:r w:rsidRPr="003630DB">
        <w:rPr>
          <w:rFonts w:ascii="Times New Roman" w:hAnsi="Times New Roman"/>
          <w:sz w:val="24"/>
          <w:szCs w:val="24"/>
        </w:rPr>
        <w:t xml:space="preserve"> in total CD3</w:t>
      </w:r>
      <w:r w:rsidRPr="003630DB">
        <w:rPr>
          <w:rFonts w:ascii="Times New Roman" w:hAnsi="Times New Roman"/>
          <w:bCs/>
          <w:iCs/>
          <w:sz w:val="24"/>
          <w:szCs w:val="24"/>
        </w:rPr>
        <w:t>+</w:t>
      </w:r>
      <w:r w:rsidRPr="003630DB">
        <w:rPr>
          <w:rFonts w:ascii="Times New Roman" w:hAnsi="Times New Roman"/>
          <w:sz w:val="24"/>
          <w:szCs w:val="24"/>
        </w:rPr>
        <w:t xml:space="preserve"> T-cell culture (n=4–6). Bars represent mean values ± standard error of mean, *P&lt;0.05.</w:t>
      </w:r>
    </w:p>
    <w:p w14:paraId="061EA04B" w14:textId="0C8AF72C" w:rsidR="00B7324B" w:rsidRPr="003630DB" w:rsidRDefault="00B7324B" w:rsidP="00B7324B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i/>
          <w:sz w:val="24"/>
          <w:szCs w:val="24"/>
        </w:rPr>
      </w:pPr>
      <w:r w:rsidRPr="003630DB">
        <w:rPr>
          <w:rFonts w:ascii="Times New Roman" w:hAnsi="Times New Roman"/>
          <w:bCs/>
          <w:iCs/>
          <w:sz w:val="24"/>
          <w:szCs w:val="24"/>
        </w:rPr>
        <w:t>IFN-γ: interferon-gamma; IL: interleukin.</w:t>
      </w:r>
      <w:r w:rsidRPr="003630DB">
        <w:rPr>
          <w:rFonts w:ascii="Times New Roman" w:hAnsi="Times New Roman"/>
          <w:b/>
          <w:sz w:val="24"/>
          <w:szCs w:val="24"/>
        </w:rPr>
        <w:br w:type="page"/>
      </w:r>
      <w:r w:rsidRPr="003630DB">
        <w:rPr>
          <w:rFonts w:ascii="Times New Roman" w:hAnsi="Times New Roman"/>
          <w:b/>
          <w:i/>
          <w:sz w:val="24"/>
          <w:szCs w:val="24"/>
        </w:rPr>
        <w:t xml:space="preserve">Supplementary </w:t>
      </w:r>
      <w:r w:rsidRPr="001A2F48">
        <w:rPr>
          <w:rFonts w:ascii="Times New Roman" w:hAnsi="Times New Roman"/>
          <w:b/>
          <w:i/>
          <w:sz w:val="24"/>
          <w:szCs w:val="24"/>
        </w:rPr>
        <w:t xml:space="preserve">Figure </w:t>
      </w:r>
      <w:r w:rsidR="00F9605A">
        <w:rPr>
          <w:rFonts w:ascii="Times New Roman" w:hAnsi="Times New Roman"/>
          <w:b/>
          <w:i/>
          <w:sz w:val="24"/>
          <w:szCs w:val="24"/>
        </w:rPr>
        <w:t>8</w:t>
      </w:r>
      <w:r w:rsidRPr="001A2F48"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1A2F48">
        <w:rPr>
          <w:rFonts w:ascii="Times New Roman" w:hAnsi="Times New Roman"/>
          <w:i/>
          <w:sz w:val="24"/>
          <w:szCs w:val="24"/>
        </w:rPr>
        <w:t xml:space="preserve"> </w:t>
      </w:r>
      <w:r w:rsidRPr="001A2F48">
        <w:rPr>
          <w:rFonts w:ascii="Times New Roman" w:hAnsi="Times New Roman"/>
          <w:b/>
          <w:i/>
          <w:sz w:val="24"/>
          <w:szCs w:val="24"/>
        </w:rPr>
        <w:t xml:space="preserve">Absolute </w:t>
      </w:r>
      <w:r w:rsidRPr="003630DB">
        <w:rPr>
          <w:rFonts w:ascii="Times New Roman" w:hAnsi="Times New Roman"/>
          <w:b/>
          <w:i/>
          <w:sz w:val="24"/>
          <w:szCs w:val="24"/>
        </w:rPr>
        <w:t>cell number of Th1- and Th2-like cells after pretreatment with nintedanib and Th17 stimuli</w:t>
      </w:r>
    </w:p>
    <w:p w14:paraId="5FF8221B" w14:textId="77777777" w:rsidR="00B7324B" w:rsidRPr="003630DB" w:rsidRDefault="0049513F" w:rsidP="00B7324B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i/>
          <w:sz w:val="24"/>
          <w:szCs w:val="24"/>
        </w:rPr>
      </w:pPr>
      <w:r w:rsidRPr="00B7324B">
        <w:rPr>
          <w:rFonts w:ascii="Times New Roman" w:hAnsi="Times New Roman"/>
          <w:b/>
          <w:i/>
          <w:noProof/>
          <w:sz w:val="24"/>
          <w:szCs w:val="24"/>
          <w:lang w:val="de-DE" w:eastAsia="zh-CN" w:bidi="th-TH"/>
        </w:rPr>
        <w:drawing>
          <wp:inline distT="0" distB="0" distL="0" distR="0" wp14:anchorId="3E6BBA87" wp14:editId="45DFA7C8">
            <wp:extent cx="5762625" cy="2200910"/>
            <wp:effectExtent l="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13CE0" w14:textId="4041E593" w:rsidR="00B7324B" w:rsidRPr="003630DB" w:rsidRDefault="00B7324B" w:rsidP="00B7324B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Cs/>
          <w:iCs/>
          <w:sz w:val="24"/>
          <w:szCs w:val="24"/>
        </w:rPr>
      </w:pPr>
      <w:r w:rsidRPr="003630DB">
        <w:rPr>
          <w:rFonts w:ascii="Times New Roman" w:hAnsi="Times New Roman"/>
          <w:bCs/>
          <w:iCs/>
          <w:sz w:val="24"/>
          <w:szCs w:val="24"/>
        </w:rPr>
        <w:t xml:space="preserve">Flow cytometry analyses of CD4+ T cells in CD3+ T-cell culture from healthy donors </w:t>
      </w:r>
      <w:r w:rsidR="005C206D" w:rsidRPr="001A2F48">
        <w:rPr>
          <w:rFonts w:ascii="Times New Roman" w:hAnsi="Times New Roman"/>
          <w:bCs/>
          <w:iCs/>
          <w:sz w:val="24"/>
          <w:szCs w:val="24"/>
        </w:rPr>
        <w:t>pre</w:t>
      </w:r>
      <w:r w:rsidR="005C206D">
        <w:rPr>
          <w:rFonts w:ascii="Times New Roman" w:hAnsi="Times New Roman"/>
          <w:bCs/>
          <w:iCs/>
          <w:sz w:val="24"/>
          <w:szCs w:val="24"/>
        </w:rPr>
        <w:t>-</w:t>
      </w:r>
      <w:r w:rsidR="005C206D" w:rsidRPr="001A2F48">
        <w:rPr>
          <w:rFonts w:ascii="Times New Roman" w:hAnsi="Times New Roman"/>
          <w:bCs/>
          <w:iCs/>
          <w:sz w:val="24"/>
          <w:szCs w:val="24"/>
        </w:rPr>
        <w:t xml:space="preserve">treated </w:t>
      </w:r>
      <w:r w:rsidR="005C206D">
        <w:rPr>
          <w:rFonts w:ascii="Times New Roman" w:hAnsi="Times New Roman"/>
          <w:bCs/>
          <w:iCs/>
          <w:sz w:val="24"/>
          <w:szCs w:val="24"/>
        </w:rPr>
        <w:t xml:space="preserve">for 20 min </w:t>
      </w:r>
      <w:r w:rsidR="005C206D" w:rsidRPr="001A2F48">
        <w:rPr>
          <w:rFonts w:ascii="Times New Roman" w:hAnsi="Times New Roman"/>
          <w:bCs/>
          <w:iCs/>
          <w:sz w:val="24"/>
          <w:szCs w:val="24"/>
        </w:rPr>
        <w:t xml:space="preserve">with or without nintedanib at 10, 30 and 100 </w:t>
      </w:r>
      <w:proofErr w:type="spellStart"/>
      <w:r w:rsidR="005C206D" w:rsidRPr="001A2F48">
        <w:rPr>
          <w:rFonts w:ascii="Times New Roman" w:hAnsi="Times New Roman"/>
          <w:bCs/>
          <w:iCs/>
          <w:sz w:val="24"/>
          <w:szCs w:val="24"/>
        </w:rPr>
        <w:t>nM</w:t>
      </w:r>
      <w:proofErr w:type="spellEnd"/>
      <w:r w:rsidR="005C206D" w:rsidRPr="003630D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5C206D">
        <w:rPr>
          <w:rFonts w:ascii="Times New Roman" w:hAnsi="Times New Roman"/>
          <w:bCs/>
          <w:iCs/>
          <w:sz w:val="24"/>
          <w:szCs w:val="24"/>
        </w:rPr>
        <w:t xml:space="preserve">and </w:t>
      </w:r>
      <w:r w:rsidR="005C206D" w:rsidRPr="003630DB">
        <w:rPr>
          <w:rFonts w:ascii="Times New Roman" w:hAnsi="Times New Roman"/>
          <w:bCs/>
          <w:iCs/>
          <w:sz w:val="24"/>
          <w:szCs w:val="24"/>
        </w:rPr>
        <w:t xml:space="preserve">stimulated </w:t>
      </w:r>
      <w:r w:rsidR="005C206D">
        <w:rPr>
          <w:rFonts w:ascii="Times New Roman" w:hAnsi="Times New Roman"/>
          <w:bCs/>
          <w:iCs/>
          <w:sz w:val="24"/>
          <w:szCs w:val="24"/>
        </w:rPr>
        <w:t>for 24 hours</w:t>
      </w:r>
      <w:r w:rsidR="005C206D" w:rsidRPr="003630DB" w:rsidDel="005C206D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3630DB">
        <w:rPr>
          <w:rFonts w:ascii="Times New Roman" w:hAnsi="Times New Roman"/>
          <w:bCs/>
          <w:iCs/>
          <w:sz w:val="24"/>
          <w:szCs w:val="24"/>
        </w:rPr>
        <w:t>with αCD3/αCD28, αIL-4</w:t>
      </w:r>
      <w:r w:rsidR="00F92966"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Pr="001A2F48">
        <w:rPr>
          <w:rFonts w:ascii="Times New Roman" w:hAnsi="Times New Roman"/>
          <w:bCs/>
          <w:iCs/>
          <w:sz w:val="24"/>
          <w:szCs w:val="24"/>
        </w:rPr>
        <w:t xml:space="preserve">αIFN-γ </w:t>
      </w:r>
      <w:r w:rsidR="00F92966" w:rsidRPr="001A2F48">
        <w:rPr>
          <w:rFonts w:ascii="Times New Roman" w:hAnsi="Times New Roman"/>
          <w:bCs/>
          <w:iCs/>
          <w:sz w:val="24"/>
          <w:szCs w:val="24"/>
        </w:rPr>
        <w:t>and IL-2</w:t>
      </w:r>
      <w:r w:rsidRPr="003630DB">
        <w:rPr>
          <w:rFonts w:ascii="Times New Roman" w:hAnsi="Times New Roman"/>
          <w:bCs/>
          <w:iCs/>
          <w:sz w:val="24"/>
          <w:szCs w:val="24"/>
        </w:rPr>
        <w:t xml:space="preserve">. (A) </w:t>
      </w:r>
      <w:r w:rsidRPr="003630DB">
        <w:rPr>
          <w:rFonts w:ascii="Times New Roman" w:hAnsi="Times New Roman"/>
          <w:sz w:val="24"/>
          <w:szCs w:val="24"/>
        </w:rPr>
        <w:t>Absolute number of the total CD4</w:t>
      </w:r>
      <w:r w:rsidRPr="003630DB">
        <w:rPr>
          <w:rFonts w:ascii="Times New Roman" w:hAnsi="Times New Roman"/>
          <w:bCs/>
          <w:iCs/>
          <w:sz w:val="24"/>
          <w:szCs w:val="24"/>
        </w:rPr>
        <w:t>+/</w:t>
      </w:r>
      <w:r w:rsidRPr="003630DB">
        <w:rPr>
          <w:rFonts w:ascii="Times New Roman" w:hAnsi="Times New Roman"/>
          <w:sz w:val="24"/>
          <w:szCs w:val="24"/>
        </w:rPr>
        <w:t>IFN-γ</w:t>
      </w:r>
      <w:r w:rsidRPr="003630DB">
        <w:rPr>
          <w:rFonts w:ascii="Times New Roman" w:hAnsi="Times New Roman"/>
          <w:bCs/>
          <w:iCs/>
          <w:sz w:val="24"/>
          <w:szCs w:val="24"/>
        </w:rPr>
        <w:t>+</w:t>
      </w:r>
      <w:r w:rsidRPr="003630DB">
        <w:rPr>
          <w:rFonts w:ascii="Times New Roman" w:hAnsi="Times New Roman"/>
          <w:sz w:val="24"/>
          <w:szCs w:val="24"/>
        </w:rPr>
        <w:t xml:space="preserve"> T cells and (B) CD4</w:t>
      </w:r>
      <w:r w:rsidRPr="003630DB">
        <w:rPr>
          <w:rFonts w:ascii="Times New Roman" w:hAnsi="Times New Roman"/>
          <w:bCs/>
          <w:iCs/>
          <w:sz w:val="24"/>
          <w:szCs w:val="24"/>
        </w:rPr>
        <w:t>+/</w:t>
      </w:r>
      <w:r w:rsidRPr="003630DB">
        <w:rPr>
          <w:rFonts w:ascii="Times New Roman" w:hAnsi="Times New Roman"/>
          <w:sz w:val="24"/>
          <w:szCs w:val="24"/>
        </w:rPr>
        <w:t>IL-4</w:t>
      </w:r>
      <w:r w:rsidRPr="003630DB">
        <w:rPr>
          <w:rFonts w:ascii="Times New Roman" w:hAnsi="Times New Roman"/>
          <w:bCs/>
          <w:iCs/>
          <w:sz w:val="24"/>
          <w:szCs w:val="24"/>
        </w:rPr>
        <w:t>+</w:t>
      </w:r>
      <w:r w:rsidRPr="003630DB">
        <w:rPr>
          <w:rFonts w:ascii="Times New Roman" w:hAnsi="Times New Roman"/>
          <w:sz w:val="24"/>
          <w:szCs w:val="24"/>
        </w:rPr>
        <w:t xml:space="preserve"> T cells in total CD3</w:t>
      </w:r>
      <w:r w:rsidRPr="003630DB">
        <w:rPr>
          <w:rFonts w:ascii="Times New Roman" w:hAnsi="Times New Roman"/>
          <w:bCs/>
          <w:iCs/>
          <w:sz w:val="24"/>
          <w:szCs w:val="24"/>
        </w:rPr>
        <w:t>+</w:t>
      </w:r>
      <w:r w:rsidRPr="003630DB">
        <w:rPr>
          <w:rFonts w:ascii="Times New Roman" w:hAnsi="Times New Roman"/>
          <w:sz w:val="24"/>
          <w:szCs w:val="24"/>
        </w:rPr>
        <w:t xml:space="preserve"> T-cell culture (n=4–6). Bars represent mean values ± standard error of mean, *P&lt;0.05.</w:t>
      </w:r>
    </w:p>
    <w:p w14:paraId="5AC939C3" w14:textId="77777777" w:rsidR="00B7324B" w:rsidRPr="003630DB" w:rsidRDefault="00B7324B" w:rsidP="00B7324B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Cs/>
          <w:iCs/>
          <w:sz w:val="24"/>
          <w:szCs w:val="24"/>
        </w:rPr>
      </w:pPr>
      <w:r w:rsidRPr="003630DB">
        <w:rPr>
          <w:rFonts w:ascii="Times New Roman" w:hAnsi="Times New Roman"/>
          <w:bCs/>
          <w:iCs/>
          <w:sz w:val="24"/>
          <w:szCs w:val="24"/>
        </w:rPr>
        <w:t>IFN-γ: interferon-gamma; IL: interleukin.</w:t>
      </w:r>
    </w:p>
    <w:sectPr w:rsidR="00B7324B" w:rsidRPr="003630DB" w:rsidSect="002A7A64">
      <w:type w:val="continuous"/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E5730A" w16cex:dateUtc="2020-08-17T19:2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043F19" w14:textId="77777777" w:rsidR="00C31769" w:rsidRDefault="00C31769" w:rsidP="005426E8">
      <w:pPr>
        <w:spacing w:after="0" w:line="240" w:lineRule="auto"/>
      </w:pPr>
      <w:r>
        <w:separator/>
      </w:r>
    </w:p>
  </w:endnote>
  <w:endnote w:type="continuationSeparator" w:id="0">
    <w:p w14:paraId="504D5BB5" w14:textId="77777777" w:rsidR="00C31769" w:rsidRDefault="00C31769" w:rsidP="00542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altName w:val="Browall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B3B34" w14:textId="77777777" w:rsidR="005C206D" w:rsidRDefault="005C20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B3AED" w14:textId="61494C1A" w:rsidR="005C206D" w:rsidRPr="00C50BB4" w:rsidRDefault="005C206D" w:rsidP="00C50B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C0AB6" w14:textId="77777777" w:rsidR="005C206D" w:rsidRDefault="005C20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C6889" w14:textId="77777777" w:rsidR="00C31769" w:rsidRDefault="00C31769" w:rsidP="005426E8">
      <w:pPr>
        <w:spacing w:after="0" w:line="240" w:lineRule="auto"/>
      </w:pPr>
      <w:r>
        <w:separator/>
      </w:r>
    </w:p>
  </w:footnote>
  <w:footnote w:type="continuationSeparator" w:id="0">
    <w:p w14:paraId="1D30F526" w14:textId="77777777" w:rsidR="00C31769" w:rsidRDefault="00C31769" w:rsidP="00542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88735" w14:textId="77777777" w:rsidR="005C206D" w:rsidRDefault="005C20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60372" w14:textId="77777777" w:rsidR="00C95D59" w:rsidRPr="005426E8" w:rsidRDefault="00C95D59">
    <w:pPr>
      <w:pStyle w:val="Header"/>
      <w:rPr>
        <w:rFonts w:ascii="Arial" w:hAnsi="Arial" w:cs="Arial"/>
        <w:color w:val="808080"/>
      </w:rPr>
    </w:pPr>
    <w:r w:rsidRPr="005426E8">
      <w:rPr>
        <w:rFonts w:ascii="Arial" w:hAnsi="Arial" w:cs="Arial"/>
        <w:color w:val="808080"/>
      </w:rPr>
      <w:t xml:space="preserve">Nintedanib: effects on T cells </w:t>
    </w:r>
  </w:p>
  <w:p w14:paraId="71EEFA69" w14:textId="77777777" w:rsidR="00C95D59" w:rsidRDefault="00C95D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9F9CB" w14:textId="77777777" w:rsidR="005C206D" w:rsidRDefault="005C20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16B34"/>
    <w:multiLevelType w:val="hybridMultilevel"/>
    <w:tmpl w:val="FEDE1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87579"/>
    <w:multiLevelType w:val="hybridMultilevel"/>
    <w:tmpl w:val="CEAE7A48"/>
    <w:lvl w:ilvl="0" w:tplc="37786840">
      <w:start w:val="1"/>
      <w:numFmt w:val="upperLetter"/>
      <w:lvlText w:val="(%1)"/>
      <w:lvlJc w:val="left"/>
      <w:pPr>
        <w:ind w:left="720" w:hanging="360"/>
      </w:pPr>
      <w:rPr>
        <w:rFonts w:eastAsia="DengXi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044D3"/>
    <w:multiLevelType w:val="hybridMultilevel"/>
    <w:tmpl w:val="9F004BD8"/>
    <w:lvl w:ilvl="0" w:tplc="7F926E80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04A9F"/>
    <w:multiLevelType w:val="hybridMultilevel"/>
    <w:tmpl w:val="F8F0D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67BB0"/>
    <w:multiLevelType w:val="hybridMultilevel"/>
    <w:tmpl w:val="B8EA90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D1EA1"/>
    <w:multiLevelType w:val="hybridMultilevel"/>
    <w:tmpl w:val="7FCAEC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80359C"/>
    <w:multiLevelType w:val="hybridMultilevel"/>
    <w:tmpl w:val="18E0BC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C279F"/>
    <w:multiLevelType w:val="hybridMultilevel"/>
    <w:tmpl w:val="7436D3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9567B6"/>
    <w:multiLevelType w:val="hybridMultilevel"/>
    <w:tmpl w:val="EE82A154"/>
    <w:lvl w:ilvl="0" w:tplc="7AB84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AA56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282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C80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748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3EF7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9C6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86E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986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13C0E64"/>
    <w:multiLevelType w:val="hybridMultilevel"/>
    <w:tmpl w:val="AB381688"/>
    <w:lvl w:ilvl="0" w:tplc="849E142E">
      <w:start w:val="1"/>
      <w:numFmt w:val="upperLetter"/>
      <w:lvlText w:val="(%1)"/>
      <w:lvlJc w:val="left"/>
      <w:pPr>
        <w:ind w:left="720" w:hanging="360"/>
      </w:pPr>
      <w:rPr>
        <w:rFonts w:eastAsia="DengXi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D745BD"/>
    <w:multiLevelType w:val="hybridMultilevel"/>
    <w:tmpl w:val="4B5C6F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9B7AAC"/>
    <w:multiLevelType w:val="hybridMultilevel"/>
    <w:tmpl w:val="20445168"/>
    <w:lvl w:ilvl="0" w:tplc="3C2A6264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6F71E1"/>
    <w:multiLevelType w:val="hybridMultilevel"/>
    <w:tmpl w:val="392A8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10"/>
  </w:num>
  <w:num w:numId="5">
    <w:abstractNumId w:val="1"/>
  </w:num>
  <w:num w:numId="6">
    <w:abstractNumId w:val="9"/>
  </w:num>
  <w:num w:numId="7">
    <w:abstractNumId w:val="12"/>
  </w:num>
  <w:num w:numId="8">
    <w:abstractNumId w:val="6"/>
  </w:num>
  <w:num w:numId="9">
    <w:abstractNumId w:val="4"/>
  </w:num>
  <w:num w:numId="10">
    <w:abstractNumId w:val="0"/>
  </w:num>
  <w:num w:numId="11">
    <w:abstractNumId w:val="5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ellular Immun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x52ew5rxap5a7evr9lpr5a2wew2rfw9a2a0&quot;&gt;BI Respiratory&lt;record-ids&gt;&lt;item&gt;15553&lt;/item&gt;&lt;item&gt;17130&lt;/item&gt;&lt;item&gt;18980&lt;/item&gt;&lt;item&gt;19061&lt;/item&gt;&lt;item&gt;19136&lt;/item&gt;&lt;item&gt;19178&lt;/item&gt;&lt;item&gt;19180&lt;/item&gt;&lt;item&gt;19187&lt;/item&gt;&lt;item&gt;19189&lt;/item&gt;&lt;item&gt;19260&lt;/item&gt;&lt;item&gt;19271&lt;/item&gt;&lt;item&gt;19292&lt;/item&gt;&lt;item&gt;19320&lt;/item&gt;&lt;item&gt;19358&lt;/item&gt;&lt;item&gt;19401&lt;/item&gt;&lt;item&gt;19457&lt;/item&gt;&lt;item&gt;19458&lt;/item&gt;&lt;item&gt;19459&lt;/item&gt;&lt;item&gt;19465&lt;/item&gt;&lt;item&gt;29684&lt;/item&gt;&lt;item&gt;41548&lt;/item&gt;&lt;item&gt;41549&lt;/item&gt;&lt;item&gt;41550&lt;/item&gt;&lt;item&gt;41551&lt;/item&gt;&lt;item&gt;41552&lt;/item&gt;&lt;item&gt;41553&lt;/item&gt;&lt;item&gt;41554&lt;/item&gt;&lt;item&gt;41555&lt;/item&gt;&lt;item&gt;41556&lt;/item&gt;&lt;item&gt;41557&lt;/item&gt;&lt;item&gt;41558&lt;/item&gt;&lt;item&gt;41559&lt;/item&gt;&lt;item&gt;41560&lt;/item&gt;&lt;item&gt;41561&lt;/item&gt;&lt;item&gt;41562&lt;/item&gt;&lt;item&gt;41563&lt;/item&gt;&lt;item&gt;41564&lt;/item&gt;&lt;item&gt;41566&lt;/item&gt;&lt;item&gt;41568&lt;/item&gt;&lt;item&gt;41569&lt;/item&gt;&lt;item&gt;41570&lt;/item&gt;&lt;item&gt;41571&lt;/item&gt;&lt;item&gt;41572&lt;/item&gt;&lt;item&gt;41573&lt;/item&gt;&lt;item&gt;41574&lt;/item&gt;&lt;item&gt;41575&lt;/item&gt;&lt;item&gt;41576&lt;/item&gt;&lt;item&gt;41577&lt;/item&gt;&lt;item&gt;41578&lt;/item&gt;&lt;item&gt;41579&lt;/item&gt;&lt;item&gt;41581&lt;/item&gt;&lt;item&gt;41582&lt;/item&gt;&lt;item&gt;43486&lt;/item&gt;&lt;item&gt;43487&lt;/item&gt;&lt;item&gt;43488&lt;/item&gt;&lt;item&gt;43489&lt;/item&gt;&lt;item&gt;43490&lt;/item&gt;&lt;item&gt;43491&lt;/item&gt;&lt;item&gt;43492&lt;/item&gt;&lt;item&gt;43493&lt;/item&gt;&lt;item&gt;43494&lt;/item&gt;&lt;item&gt;43495&lt;/item&gt;&lt;item&gt;43496&lt;/item&gt;&lt;item&gt;43497&lt;/item&gt;&lt;item&gt;43498&lt;/item&gt;&lt;/record-ids&gt;&lt;/item&gt;&lt;/Libraries&gt;"/>
  </w:docVars>
  <w:rsids>
    <w:rsidRoot w:val="00E0319C"/>
    <w:rsid w:val="00004895"/>
    <w:rsid w:val="00004DB2"/>
    <w:rsid w:val="00005A88"/>
    <w:rsid w:val="00005D3A"/>
    <w:rsid w:val="0000711C"/>
    <w:rsid w:val="00010C7D"/>
    <w:rsid w:val="00010E0A"/>
    <w:rsid w:val="00015DFD"/>
    <w:rsid w:val="000218ED"/>
    <w:rsid w:val="00026F03"/>
    <w:rsid w:val="000307A5"/>
    <w:rsid w:val="00035C39"/>
    <w:rsid w:val="000364CA"/>
    <w:rsid w:val="000403B5"/>
    <w:rsid w:val="00040BA4"/>
    <w:rsid w:val="00040DC5"/>
    <w:rsid w:val="00042144"/>
    <w:rsid w:val="00042B56"/>
    <w:rsid w:val="00045468"/>
    <w:rsid w:val="00047954"/>
    <w:rsid w:val="00050DFF"/>
    <w:rsid w:val="0005244D"/>
    <w:rsid w:val="00063ECD"/>
    <w:rsid w:val="00064BF1"/>
    <w:rsid w:val="00066FC4"/>
    <w:rsid w:val="000701D1"/>
    <w:rsid w:val="00072073"/>
    <w:rsid w:val="0007390B"/>
    <w:rsid w:val="00073B99"/>
    <w:rsid w:val="00075CC3"/>
    <w:rsid w:val="000772DE"/>
    <w:rsid w:val="00077FF2"/>
    <w:rsid w:val="000812FA"/>
    <w:rsid w:val="00081BF0"/>
    <w:rsid w:val="000950C0"/>
    <w:rsid w:val="00096CF1"/>
    <w:rsid w:val="000A0225"/>
    <w:rsid w:val="000A2A4A"/>
    <w:rsid w:val="000A4290"/>
    <w:rsid w:val="000B325D"/>
    <w:rsid w:val="000B4352"/>
    <w:rsid w:val="000B4E0B"/>
    <w:rsid w:val="000B55F2"/>
    <w:rsid w:val="000B675A"/>
    <w:rsid w:val="000B74B0"/>
    <w:rsid w:val="000C3F42"/>
    <w:rsid w:val="000C3F75"/>
    <w:rsid w:val="000C5FE1"/>
    <w:rsid w:val="000C67D1"/>
    <w:rsid w:val="000D3C2E"/>
    <w:rsid w:val="000D4DD0"/>
    <w:rsid w:val="000D5470"/>
    <w:rsid w:val="000D6B0C"/>
    <w:rsid w:val="000E0587"/>
    <w:rsid w:val="000E1361"/>
    <w:rsid w:val="000E1824"/>
    <w:rsid w:val="000E2A32"/>
    <w:rsid w:val="000E4261"/>
    <w:rsid w:val="000E6442"/>
    <w:rsid w:val="000F2552"/>
    <w:rsid w:val="000F6B59"/>
    <w:rsid w:val="001015AE"/>
    <w:rsid w:val="00103A84"/>
    <w:rsid w:val="00104CCC"/>
    <w:rsid w:val="00106CAE"/>
    <w:rsid w:val="00107C5C"/>
    <w:rsid w:val="00107E34"/>
    <w:rsid w:val="00112B29"/>
    <w:rsid w:val="00114F10"/>
    <w:rsid w:val="00125B6B"/>
    <w:rsid w:val="00131427"/>
    <w:rsid w:val="00133CB8"/>
    <w:rsid w:val="00141B5E"/>
    <w:rsid w:val="00141F7A"/>
    <w:rsid w:val="00142C97"/>
    <w:rsid w:val="00145E3E"/>
    <w:rsid w:val="00147AC8"/>
    <w:rsid w:val="001517F3"/>
    <w:rsid w:val="0015505C"/>
    <w:rsid w:val="0015510B"/>
    <w:rsid w:val="00156883"/>
    <w:rsid w:val="0016226F"/>
    <w:rsid w:val="00164D4A"/>
    <w:rsid w:val="001671A9"/>
    <w:rsid w:val="001745F2"/>
    <w:rsid w:val="0018327D"/>
    <w:rsid w:val="001842B3"/>
    <w:rsid w:val="001917F5"/>
    <w:rsid w:val="001A2F48"/>
    <w:rsid w:val="001A6AD3"/>
    <w:rsid w:val="001B2D73"/>
    <w:rsid w:val="001B729B"/>
    <w:rsid w:val="001D71EF"/>
    <w:rsid w:val="001E57FA"/>
    <w:rsid w:val="001E7573"/>
    <w:rsid w:val="001F1188"/>
    <w:rsid w:val="001F18DB"/>
    <w:rsid w:val="002006BC"/>
    <w:rsid w:val="00200D9F"/>
    <w:rsid w:val="0020147C"/>
    <w:rsid w:val="00213EBB"/>
    <w:rsid w:val="0022074D"/>
    <w:rsid w:val="00220934"/>
    <w:rsid w:val="00222A18"/>
    <w:rsid w:val="00224625"/>
    <w:rsid w:val="00230198"/>
    <w:rsid w:val="00233E05"/>
    <w:rsid w:val="00241383"/>
    <w:rsid w:val="00244B43"/>
    <w:rsid w:val="002520FF"/>
    <w:rsid w:val="002541E1"/>
    <w:rsid w:val="0025696A"/>
    <w:rsid w:val="00260F09"/>
    <w:rsid w:val="00263F4F"/>
    <w:rsid w:val="002672A9"/>
    <w:rsid w:val="00267BA2"/>
    <w:rsid w:val="0028108B"/>
    <w:rsid w:val="00283146"/>
    <w:rsid w:val="0028467B"/>
    <w:rsid w:val="00292108"/>
    <w:rsid w:val="00292BC7"/>
    <w:rsid w:val="0029519B"/>
    <w:rsid w:val="002A7A64"/>
    <w:rsid w:val="002A7AFD"/>
    <w:rsid w:val="002B0EAF"/>
    <w:rsid w:val="002B617D"/>
    <w:rsid w:val="002C1ADD"/>
    <w:rsid w:val="002C371B"/>
    <w:rsid w:val="002C3E7E"/>
    <w:rsid w:val="002C6603"/>
    <w:rsid w:val="002C6E9B"/>
    <w:rsid w:val="002D31AC"/>
    <w:rsid w:val="002D6B09"/>
    <w:rsid w:val="002E0ADD"/>
    <w:rsid w:val="002E11F9"/>
    <w:rsid w:val="002F7855"/>
    <w:rsid w:val="00300502"/>
    <w:rsid w:val="00302EC4"/>
    <w:rsid w:val="00303948"/>
    <w:rsid w:val="003063EE"/>
    <w:rsid w:val="0030770D"/>
    <w:rsid w:val="00316E4E"/>
    <w:rsid w:val="003227AB"/>
    <w:rsid w:val="00324091"/>
    <w:rsid w:val="00327DB1"/>
    <w:rsid w:val="0033139E"/>
    <w:rsid w:val="00333DA6"/>
    <w:rsid w:val="0033679E"/>
    <w:rsid w:val="00337F57"/>
    <w:rsid w:val="003478A4"/>
    <w:rsid w:val="003507CB"/>
    <w:rsid w:val="0035127F"/>
    <w:rsid w:val="0035186F"/>
    <w:rsid w:val="00353155"/>
    <w:rsid w:val="00357635"/>
    <w:rsid w:val="003674A7"/>
    <w:rsid w:val="00370D62"/>
    <w:rsid w:val="00372FC5"/>
    <w:rsid w:val="0037335A"/>
    <w:rsid w:val="00373DAB"/>
    <w:rsid w:val="00381EF5"/>
    <w:rsid w:val="00383685"/>
    <w:rsid w:val="00392F81"/>
    <w:rsid w:val="003A2C40"/>
    <w:rsid w:val="003A790B"/>
    <w:rsid w:val="003C1580"/>
    <w:rsid w:val="003C2943"/>
    <w:rsid w:val="003C2F5C"/>
    <w:rsid w:val="003C5BD0"/>
    <w:rsid w:val="003D66F4"/>
    <w:rsid w:val="003E3F64"/>
    <w:rsid w:val="003E6EAF"/>
    <w:rsid w:val="003F1CC8"/>
    <w:rsid w:val="00401753"/>
    <w:rsid w:val="004022DF"/>
    <w:rsid w:val="00404F20"/>
    <w:rsid w:val="00405875"/>
    <w:rsid w:val="00406F50"/>
    <w:rsid w:val="004158F9"/>
    <w:rsid w:val="00416AAA"/>
    <w:rsid w:val="00416AAC"/>
    <w:rsid w:val="00416BB1"/>
    <w:rsid w:val="00417CD7"/>
    <w:rsid w:val="00417DDC"/>
    <w:rsid w:val="00423180"/>
    <w:rsid w:val="00423516"/>
    <w:rsid w:val="00426E9C"/>
    <w:rsid w:val="00440C1B"/>
    <w:rsid w:val="0045027C"/>
    <w:rsid w:val="00461F26"/>
    <w:rsid w:val="00464A46"/>
    <w:rsid w:val="004652F6"/>
    <w:rsid w:val="00466190"/>
    <w:rsid w:val="00466D1A"/>
    <w:rsid w:val="00470AB1"/>
    <w:rsid w:val="0047306A"/>
    <w:rsid w:val="004779F6"/>
    <w:rsid w:val="00477D5B"/>
    <w:rsid w:val="004802C1"/>
    <w:rsid w:val="004808E4"/>
    <w:rsid w:val="00481146"/>
    <w:rsid w:val="00485B4D"/>
    <w:rsid w:val="00487107"/>
    <w:rsid w:val="00491739"/>
    <w:rsid w:val="00494DB7"/>
    <w:rsid w:val="0049513F"/>
    <w:rsid w:val="00496A06"/>
    <w:rsid w:val="004979A6"/>
    <w:rsid w:val="004A4E0A"/>
    <w:rsid w:val="004A5DD3"/>
    <w:rsid w:val="004A6B7F"/>
    <w:rsid w:val="004A7F51"/>
    <w:rsid w:val="004B1878"/>
    <w:rsid w:val="004B5F76"/>
    <w:rsid w:val="004B6B5A"/>
    <w:rsid w:val="004C44F4"/>
    <w:rsid w:val="004C5271"/>
    <w:rsid w:val="004C55E0"/>
    <w:rsid w:val="004E5E2A"/>
    <w:rsid w:val="004E5EC2"/>
    <w:rsid w:val="004E6101"/>
    <w:rsid w:val="004E6E6D"/>
    <w:rsid w:val="004F19DF"/>
    <w:rsid w:val="004F3918"/>
    <w:rsid w:val="004F61E9"/>
    <w:rsid w:val="004F7CC8"/>
    <w:rsid w:val="004F7D75"/>
    <w:rsid w:val="00503BAB"/>
    <w:rsid w:val="005047DF"/>
    <w:rsid w:val="00510B96"/>
    <w:rsid w:val="00511292"/>
    <w:rsid w:val="0051352C"/>
    <w:rsid w:val="00516F27"/>
    <w:rsid w:val="00523FC9"/>
    <w:rsid w:val="0052636A"/>
    <w:rsid w:val="00534247"/>
    <w:rsid w:val="00534F79"/>
    <w:rsid w:val="005351A5"/>
    <w:rsid w:val="005426E8"/>
    <w:rsid w:val="005441E1"/>
    <w:rsid w:val="005546FB"/>
    <w:rsid w:val="00557245"/>
    <w:rsid w:val="00557A51"/>
    <w:rsid w:val="00561D83"/>
    <w:rsid w:val="00565CA0"/>
    <w:rsid w:val="0056630B"/>
    <w:rsid w:val="0056745A"/>
    <w:rsid w:val="00570B7D"/>
    <w:rsid w:val="0057156B"/>
    <w:rsid w:val="00571EFC"/>
    <w:rsid w:val="00574347"/>
    <w:rsid w:val="005847D9"/>
    <w:rsid w:val="00585D43"/>
    <w:rsid w:val="00587E8F"/>
    <w:rsid w:val="00591D56"/>
    <w:rsid w:val="00593AE9"/>
    <w:rsid w:val="005966E7"/>
    <w:rsid w:val="005A0CB9"/>
    <w:rsid w:val="005A7C36"/>
    <w:rsid w:val="005B0479"/>
    <w:rsid w:val="005B2C81"/>
    <w:rsid w:val="005C13FD"/>
    <w:rsid w:val="005C206D"/>
    <w:rsid w:val="005D0A79"/>
    <w:rsid w:val="005D402E"/>
    <w:rsid w:val="005D5F56"/>
    <w:rsid w:val="005E0158"/>
    <w:rsid w:val="005E0B1E"/>
    <w:rsid w:val="005E3984"/>
    <w:rsid w:val="005F4B46"/>
    <w:rsid w:val="005F701C"/>
    <w:rsid w:val="006000CB"/>
    <w:rsid w:val="00601CFA"/>
    <w:rsid w:val="0060223B"/>
    <w:rsid w:val="006055C8"/>
    <w:rsid w:val="00612E43"/>
    <w:rsid w:val="00617BEF"/>
    <w:rsid w:val="0062257A"/>
    <w:rsid w:val="006226F2"/>
    <w:rsid w:val="00623420"/>
    <w:rsid w:val="00623BE7"/>
    <w:rsid w:val="006255AD"/>
    <w:rsid w:val="00625674"/>
    <w:rsid w:val="00630730"/>
    <w:rsid w:val="00631507"/>
    <w:rsid w:val="006331AD"/>
    <w:rsid w:val="00634B60"/>
    <w:rsid w:val="0063607D"/>
    <w:rsid w:val="00641CD2"/>
    <w:rsid w:val="00646266"/>
    <w:rsid w:val="006463E1"/>
    <w:rsid w:val="006508F2"/>
    <w:rsid w:val="00652CE2"/>
    <w:rsid w:val="00653917"/>
    <w:rsid w:val="00661A7F"/>
    <w:rsid w:val="0066711C"/>
    <w:rsid w:val="00671A62"/>
    <w:rsid w:val="006828D7"/>
    <w:rsid w:val="00682C49"/>
    <w:rsid w:val="00697757"/>
    <w:rsid w:val="006A3787"/>
    <w:rsid w:val="006B063C"/>
    <w:rsid w:val="006B7A8F"/>
    <w:rsid w:val="006C059B"/>
    <w:rsid w:val="006C35CA"/>
    <w:rsid w:val="006C4F01"/>
    <w:rsid w:val="006C511B"/>
    <w:rsid w:val="006C7733"/>
    <w:rsid w:val="006D357D"/>
    <w:rsid w:val="006D4674"/>
    <w:rsid w:val="006D5B4A"/>
    <w:rsid w:val="006D7EC2"/>
    <w:rsid w:val="006E145C"/>
    <w:rsid w:val="006E21EC"/>
    <w:rsid w:val="006F03F1"/>
    <w:rsid w:val="00702D39"/>
    <w:rsid w:val="00702F24"/>
    <w:rsid w:val="00705D8C"/>
    <w:rsid w:val="00707211"/>
    <w:rsid w:val="00707976"/>
    <w:rsid w:val="00710521"/>
    <w:rsid w:val="00710D7F"/>
    <w:rsid w:val="007140DD"/>
    <w:rsid w:val="00715AE4"/>
    <w:rsid w:val="00716D4F"/>
    <w:rsid w:val="00717550"/>
    <w:rsid w:val="007210A7"/>
    <w:rsid w:val="0073167B"/>
    <w:rsid w:val="0073221F"/>
    <w:rsid w:val="00737343"/>
    <w:rsid w:val="00740580"/>
    <w:rsid w:val="007422B8"/>
    <w:rsid w:val="007436D4"/>
    <w:rsid w:val="007440FD"/>
    <w:rsid w:val="00746323"/>
    <w:rsid w:val="00747A08"/>
    <w:rsid w:val="00752DF5"/>
    <w:rsid w:val="00752E64"/>
    <w:rsid w:val="00757DDF"/>
    <w:rsid w:val="007611C5"/>
    <w:rsid w:val="00762181"/>
    <w:rsid w:val="0076574A"/>
    <w:rsid w:val="007722A4"/>
    <w:rsid w:val="007726A8"/>
    <w:rsid w:val="0078398E"/>
    <w:rsid w:val="007850B9"/>
    <w:rsid w:val="00787DC2"/>
    <w:rsid w:val="00790F88"/>
    <w:rsid w:val="00792BAC"/>
    <w:rsid w:val="007A27C4"/>
    <w:rsid w:val="007A5674"/>
    <w:rsid w:val="007B0175"/>
    <w:rsid w:val="007B3E2F"/>
    <w:rsid w:val="007B4E16"/>
    <w:rsid w:val="007B6AA8"/>
    <w:rsid w:val="007C3701"/>
    <w:rsid w:val="007C4DCF"/>
    <w:rsid w:val="007C56CE"/>
    <w:rsid w:val="007D16D9"/>
    <w:rsid w:val="007D1D0B"/>
    <w:rsid w:val="007D3668"/>
    <w:rsid w:val="007D4BCD"/>
    <w:rsid w:val="007D4E14"/>
    <w:rsid w:val="007D56C8"/>
    <w:rsid w:val="007D6B4C"/>
    <w:rsid w:val="007E0CF7"/>
    <w:rsid w:val="007E155F"/>
    <w:rsid w:val="007E3E8D"/>
    <w:rsid w:val="007E4AD1"/>
    <w:rsid w:val="007E59F2"/>
    <w:rsid w:val="007F09CE"/>
    <w:rsid w:val="007F0C47"/>
    <w:rsid w:val="007F199A"/>
    <w:rsid w:val="007F45E5"/>
    <w:rsid w:val="007F79E5"/>
    <w:rsid w:val="00803655"/>
    <w:rsid w:val="00810EDA"/>
    <w:rsid w:val="008110E8"/>
    <w:rsid w:val="0081209A"/>
    <w:rsid w:val="00812683"/>
    <w:rsid w:val="00815211"/>
    <w:rsid w:val="00815668"/>
    <w:rsid w:val="0082515C"/>
    <w:rsid w:val="0083291C"/>
    <w:rsid w:val="008334A9"/>
    <w:rsid w:val="008363ED"/>
    <w:rsid w:val="00837D55"/>
    <w:rsid w:val="0084437F"/>
    <w:rsid w:val="00844BBF"/>
    <w:rsid w:val="008566B9"/>
    <w:rsid w:val="008569BA"/>
    <w:rsid w:val="00857A15"/>
    <w:rsid w:val="008626EE"/>
    <w:rsid w:val="00870692"/>
    <w:rsid w:val="00873647"/>
    <w:rsid w:val="008761ED"/>
    <w:rsid w:val="00880BDD"/>
    <w:rsid w:val="00883A2D"/>
    <w:rsid w:val="00884433"/>
    <w:rsid w:val="00885CF2"/>
    <w:rsid w:val="0089049B"/>
    <w:rsid w:val="008A0468"/>
    <w:rsid w:val="008A446D"/>
    <w:rsid w:val="008B0EB9"/>
    <w:rsid w:val="008B158A"/>
    <w:rsid w:val="008B211E"/>
    <w:rsid w:val="008B413F"/>
    <w:rsid w:val="008C0D90"/>
    <w:rsid w:val="008C5929"/>
    <w:rsid w:val="008C7639"/>
    <w:rsid w:val="008D2D20"/>
    <w:rsid w:val="008D7EF3"/>
    <w:rsid w:val="008E4751"/>
    <w:rsid w:val="008E76C6"/>
    <w:rsid w:val="008F324E"/>
    <w:rsid w:val="008F66AF"/>
    <w:rsid w:val="009009D3"/>
    <w:rsid w:val="00904024"/>
    <w:rsid w:val="0090427E"/>
    <w:rsid w:val="009054DE"/>
    <w:rsid w:val="00906009"/>
    <w:rsid w:val="0090696B"/>
    <w:rsid w:val="0091058A"/>
    <w:rsid w:val="00916022"/>
    <w:rsid w:val="0092310A"/>
    <w:rsid w:val="00924592"/>
    <w:rsid w:val="00925665"/>
    <w:rsid w:val="00927DB9"/>
    <w:rsid w:val="0093318E"/>
    <w:rsid w:val="00934A4E"/>
    <w:rsid w:val="00935A60"/>
    <w:rsid w:val="0093700E"/>
    <w:rsid w:val="009376AF"/>
    <w:rsid w:val="00941F12"/>
    <w:rsid w:val="00945352"/>
    <w:rsid w:val="009457B3"/>
    <w:rsid w:val="00947AE6"/>
    <w:rsid w:val="00947D47"/>
    <w:rsid w:val="009553AF"/>
    <w:rsid w:val="009555D4"/>
    <w:rsid w:val="009566C1"/>
    <w:rsid w:val="009660BB"/>
    <w:rsid w:val="0096681C"/>
    <w:rsid w:val="0097257E"/>
    <w:rsid w:val="009764FD"/>
    <w:rsid w:val="00976F69"/>
    <w:rsid w:val="009824CA"/>
    <w:rsid w:val="009849B4"/>
    <w:rsid w:val="00987063"/>
    <w:rsid w:val="00995C97"/>
    <w:rsid w:val="00995E0F"/>
    <w:rsid w:val="009A130D"/>
    <w:rsid w:val="009A15AF"/>
    <w:rsid w:val="009A51B1"/>
    <w:rsid w:val="009A51D3"/>
    <w:rsid w:val="009A67AE"/>
    <w:rsid w:val="009B271F"/>
    <w:rsid w:val="009B72E1"/>
    <w:rsid w:val="009C25E9"/>
    <w:rsid w:val="009C5504"/>
    <w:rsid w:val="009C6373"/>
    <w:rsid w:val="009C7EBA"/>
    <w:rsid w:val="009D3073"/>
    <w:rsid w:val="009D5B8B"/>
    <w:rsid w:val="009D770B"/>
    <w:rsid w:val="009E0BF7"/>
    <w:rsid w:val="009E0F85"/>
    <w:rsid w:val="009E2DA8"/>
    <w:rsid w:val="009E4845"/>
    <w:rsid w:val="009E6AC2"/>
    <w:rsid w:val="009E7671"/>
    <w:rsid w:val="009E768C"/>
    <w:rsid w:val="009F11CE"/>
    <w:rsid w:val="009F1B53"/>
    <w:rsid w:val="009F213C"/>
    <w:rsid w:val="009F3035"/>
    <w:rsid w:val="009F31AB"/>
    <w:rsid w:val="009F41E4"/>
    <w:rsid w:val="009F471B"/>
    <w:rsid w:val="009F5B58"/>
    <w:rsid w:val="00A007B5"/>
    <w:rsid w:val="00A02A54"/>
    <w:rsid w:val="00A04061"/>
    <w:rsid w:val="00A04D1E"/>
    <w:rsid w:val="00A06D21"/>
    <w:rsid w:val="00A07456"/>
    <w:rsid w:val="00A07D7F"/>
    <w:rsid w:val="00A07F90"/>
    <w:rsid w:val="00A1325F"/>
    <w:rsid w:val="00A153EF"/>
    <w:rsid w:val="00A17D54"/>
    <w:rsid w:val="00A20235"/>
    <w:rsid w:val="00A220D4"/>
    <w:rsid w:val="00A243CC"/>
    <w:rsid w:val="00A24F77"/>
    <w:rsid w:val="00A33EE1"/>
    <w:rsid w:val="00A33FD5"/>
    <w:rsid w:val="00A36387"/>
    <w:rsid w:val="00A40062"/>
    <w:rsid w:val="00A421B4"/>
    <w:rsid w:val="00A434D5"/>
    <w:rsid w:val="00A5532E"/>
    <w:rsid w:val="00A55743"/>
    <w:rsid w:val="00A65289"/>
    <w:rsid w:val="00A70BA8"/>
    <w:rsid w:val="00A75DEC"/>
    <w:rsid w:val="00A80005"/>
    <w:rsid w:val="00A86A06"/>
    <w:rsid w:val="00A91FBC"/>
    <w:rsid w:val="00A9550A"/>
    <w:rsid w:val="00A95861"/>
    <w:rsid w:val="00AA1FB2"/>
    <w:rsid w:val="00AA4222"/>
    <w:rsid w:val="00AA4660"/>
    <w:rsid w:val="00AA67B0"/>
    <w:rsid w:val="00AB120F"/>
    <w:rsid w:val="00AB3384"/>
    <w:rsid w:val="00AC6324"/>
    <w:rsid w:val="00AC6947"/>
    <w:rsid w:val="00AC7C94"/>
    <w:rsid w:val="00AD1188"/>
    <w:rsid w:val="00AD5535"/>
    <w:rsid w:val="00AD6D8C"/>
    <w:rsid w:val="00AE1503"/>
    <w:rsid w:val="00AE607D"/>
    <w:rsid w:val="00AE6D14"/>
    <w:rsid w:val="00AE6FA7"/>
    <w:rsid w:val="00AE7056"/>
    <w:rsid w:val="00AE7F4B"/>
    <w:rsid w:val="00AF0E76"/>
    <w:rsid w:val="00AF67BA"/>
    <w:rsid w:val="00AF7049"/>
    <w:rsid w:val="00AF78BD"/>
    <w:rsid w:val="00B00BF1"/>
    <w:rsid w:val="00B036D4"/>
    <w:rsid w:val="00B0523C"/>
    <w:rsid w:val="00B06313"/>
    <w:rsid w:val="00B10DCF"/>
    <w:rsid w:val="00B13F0D"/>
    <w:rsid w:val="00B152E1"/>
    <w:rsid w:val="00B17C09"/>
    <w:rsid w:val="00B232BE"/>
    <w:rsid w:val="00B23D59"/>
    <w:rsid w:val="00B241C5"/>
    <w:rsid w:val="00B243BB"/>
    <w:rsid w:val="00B30DDD"/>
    <w:rsid w:val="00B40292"/>
    <w:rsid w:val="00B45D56"/>
    <w:rsid w:val="00B46E95"/>
    <w:rsid w:val="00B50210"/>
    <w:rsid w:val="00B5234C"/>
    <w:rsid w:val="00B5577B"/>
    <w:rsid w:val="00B56C8C"/>
    <w:rsid w:val="00B62502"/>
    <w:rsid w:val="00B6318B"/>
    <w:rsid w:val="00B71707"/>
    <w:rsid w:val="00B72745"/>
    <w:rsid w:val="00B7324B"/>
    <w:rsid w:val="00B73610"/>
    <w:rsid w:val="00B7367C"/>
    <w:rsid w:val="00B7552A"/>
    <w:rsid w:val="00B77596"/>
    <w:rsid w:val="00B83243"/>
    <w:rsid w:val="00B842C9"/>
    <w:rsid w:val="00B86A58"/>
    <w:rsid w:val="00B8724B"/>
    <w:rsid w:val="00B97271"/>
    <w:rsid w:val="00BA4B15"/>
    <w:rsid w:val="00BA5E5B"/>
    <w:rsid w:val="00BA674F"/>
    <w:rsid w:val="00BB0809"/>
    <w:rsid w:val="00BB2554"/>
    <w:rsid w:val="00BB35DC"/>
    <w:rsid w:val="00BB53DE"/>
    <w:rsid w:val="00BB5666"/>
    <w:rsid w:val="00BB5E5D"/>
    <w:rsid w:val="00BB6C6A"/>
    <w:rsid w:val="00BC1D11"/>
    <w:rsid w:val="00BD164F"/>
    <w:rsid w:val="00BD4DEF"/>
    <w:rsid w:val="00BD73BC"/>
    <w:rsid w:val="00BE0512"/>
    <w:rsid w:val="00BE1346"/>
    <w:rsid w:val="00BE3DDD"/>
    <w:rsid w:val="00BE5B54"/>
    <w:rsid w:val="00BF0F28"/>
    <w:rsid w:val="00BF14B5"/>
    <w:rsid w:val="00BF3A8C"/>
    <w:rsid w:val="00BF679E"/>
    <w:rsid w:val="00BF7F85"/>
    <w:rsid w:val="00C03510"/>
    <w:rsid w:val="00C04FCC"/>
    <w:rsid w:val="00C06512"/>
    <w:rsid w:val="00C07AF4"/>
    <w:rsid w:val="00C11EA6"/>
    <w:rsid w:val="00C12263"/>
    <w:rsid w:val="00C12609"/>
    <w:rsid w:val="00C14E0C"/>
    <w:rsid w:val="00C15624"/>
    <w:rsid w:val="00C15D5D"/>
    <w:rsid w:val="00C31769"/>
    <w:rsid w:val="00C35769"/>
    <w:rsid w:val="00C36918"/>
    <w:rsid w:val="00C377B6"/>
    <w:rsid w:val="00C40566"/>
    <w:rsid w:val="00C4162D"/>
    <w:rsid w:val="00C42636"/>
    <w:rsid w:val="00C45555"/>
    <w:rsid w:val="00C45883"/>
    <w:rsid w:val="00C472C6"/>
    <w:rsid w:val="00C50BB4"/>
    <w:rsid w:val="00C52680"/>
    <w:rsid w:val="00C52E26"/>
    <w:rsid w:val="00C54125"/>
    <w:rsid w:val="00C5436A"/>
    <w:rsid w:val="00C579D2"/>
    <w:rsid w:val="00C64D28"/>
    <w:rsid w:val="00C661CE"/>
    <w:rsid w:val="00C72DC9"/>
    <w:rsid w:val="00C76DB3"/>
    <w:rsid w:val="00C824B0"/>
    <w:rsid w:val="00C83001"/>
    <w:rsid w:val="00C83809"/>
    <w:rsid w:val="00C83CD3"/>
    <w:rsid w:val="00C84E6A"/>
    <w:rsid w:val="00C9000C"/>
    <w:rsid w:val="00C95534"/>
    <w:rsid w:val="00C95B09"/>
    <w:rsid w:val="00C95D59"/>
    <w:rsid w:val="00C97A4F"/>
    <w:rsid w:val="00CA0BB8"/>
    <w:rsid w:val="00CB3C2A"/>
    <w:rsid w:val="00CB5691"/>
    <w:rsid w:val="00CB747D"/>
    <w:rsid w:val="00CC0844"/>
    <w:rsid w:val="00CC3429"/>
    <w:rsid w:val="00CC4A39"/>
    <w:rsid w:val="00CD2370"/>
    <w:rsid w:val="00CD36DD"/>
    <w:rsid w:val="00CD415F"/>
    <w:rsid w:val="00CD52ED"/>
    <w:rsid w:val="00CD66F4"/>
    <w:rsid w:val="00CD7599"/>
    <w:rsid w:val="00CE1148"/>
    <w:rsid w:val="00CE4363"/>
    <w:rsid w:val="00CE4374"/>
    <w:rsid w:val="00CE4CF1"/>
    <w:rsid w:val="00CE4D25"/>
    <w:rsid w:val="00CE6021"/>
    <w:rsid w:val="00CF1A7C"/>
    <w:rsid w:val="00CF5889"/>
    <w:rsid w:val="00D01AB7"/>
    <w:rsid w:val="00D01F78"/>
    <w:rsid w:val="00D03648"/>
    <w:rsid w:val="00D11F40"/>
    <w:rsid w:val="00D24073"/>
    <w:rsid w:val="00D25742"/>
    <w:rsid w:val="00D25A19"/>
    <w:rsid w:val="00D3218E"/>
    <w:rsid w:val="00D32A55"/>
    <w:rsid w:val="00D363A6"/>
    <w:rsid w:val="00D3659E"/>
    <w:rsid w:val="00D36999"/>
    <w:rsid w:val="00D37D81"/>
    <w:rsid w:val="00D43607"/>
    <w:rsid w:val="00D5585F"/>
    <w:rsid w:val="00D5758D"/>
    <w:rsid w:val="00D65EBB"/>
    <w:rsid w:val="00D70082"/>
    <w:rsid w:val="00D70A59"/>
    <w:rsid w:val="00D82B10"/>
    <w:rsid w:val="00D839B3"/>
    <w:rsid w:val="00D841ED"/>
    <w:rsid w:val="00D86616"/>
    <w:rsid w:val="00D91172"/>
    <w:rsid w:val="00DA0B1D"/>
    <w:rsid w:val="00DA13FD"/>
    <w:rsid w:val="00DA322F"/>
    <w:rsid w:val="00DB15AB"/>
    <w:rsid w:val="00DB2A0F"/>
    <w:rsid w:val="00DB5B06"/>
    <w:rsid w:val="00DB67AC"/>
    <w:rsid w:val="00DB6CE8"/>
    <w:rsid w:val="00DC019B"/>
    <w:rsid w:val="00DC24D1"/>
    <w:rsid w:val="00DD1537"/>
    <w:rsid w:val="00DD2DCA"/>
    <w:rsid w:val="00DD2FD0"/>
    <w:rsid w:val="00DD3F36"/>
    <w:rsid w:val="00DD7086"/>
    <w:rsid w:val="00DD7785"/>
    <w:rsid w:val="00DE738C"/>
    <w:rsid w:val="00DF00FB"/>
    <w:rsid w:val="00DF088B"/>
    <w:rsid w:val="00DF1D5B"/>
    <w:rsid w:val="00DF1E54"/>
    <w:rsid w:val="00DF225A"/>
    <w:rsid w:val="00DF451B"/>
    <w:rsid w:val="00DF6447"/>
    <w:rsid w:val="00E0067C"/>
    <w:rsid w:val="00E02A3A"/>
    <w:rsid w:val="00E0319C"/>
    <w:rsid w:val="00E0498C"/>
    <w:rsid w:val="00E04FC1"/>
    <w:rsid w:val="00E06EE3"/>
    <w:rsid w:val="00E11715"/>
    <w:rsid w:val="00E13CAD"/>
    <w:rsid w:val="00E14BD7"/>
    <w:rsid w:val="00E25BED"/>
    <w:rsid w:val="00E273F8"/>
    <w:rsid w:val="00E300E1"/>
    <w:rsid w:val="00E410EE"/>
    <w:rsid w:val="00E42435"/>
    <w:rsid w:val="00E44A2D"/>
    <w:rsid w:val="00E508B5"/>
    <w:rsid w:val="00E52EFE"/>
    <w:rsid w:val="00E543D0"/>
    <w:rsid w:val="00E6345C"/>
    <w:rsid w:val="00E6609E"/>
    <w:rsid w:val="00E66C7F"/>
    <w:rsid w:val="00E71968"/>
    <w:rsid w:val="00E76402"/>
    <w:rsid w:val="00E76E24"/>
    <w:rsid w:val="00E77C00"/>
    <w:rsid w:val="00E80297"/>
    <w:rsid w:val="00E85519"/>
    <w:rsid w:val="00E85D91"/>
    <w:rsid w:val="00E86EDD"/>
    <w:rsid w:val="00E90135"/>
    <w:rsid w:val="00E92E01"/>
    <w:rsid w:val="00E94AA3"/>
    <w:rsid w:val="00E972DB"/>
    <w:rsid w:val="00E97464"/>
    <w:rsid w:val="00E9779B"/>
    <w:rsid w:val="00EA733B"/>
    <w:rsid w:val="00EB0873"/>
    <w:rsid w:val="00EB3106"/>
    <w:rsid w:val="00EB3C21"/>
    <w:rsid w:val="00EB6D6A"/>
    <w:rsid w:val="00EC0C4C"/>
    <w:rsid w:val="00EC6203"/>
    <w:rsid w:val="00EC7CF9"/>
    <w:rsid w:val="00ED485C"/>
    <w:rsid w:val="00ED55DD"/>
    <w:rsid w:val="00ED5FAA"/>
    <w:rsid w:val="00ED71B8"/>
    <w:rsid w:val="00EE161D"/>
    <w:rsid w:val="00EE3C2A"/>
    <w:rsid w:val="00EE5BD3"/>
    <w:rsid w:val="00EE6884"/>
    <w:rsid w:val="00EE76EE"/>
    <w:rsid w:val="00EE7E45"/>
    <w:rsid w:val="00EF0807"/>
    <w:rsid w:val="00EF1553"/>
    <w:rsid w:val="00EF3604"/>
    <w:rsid w:val="00EF3C3B"/>
    <w:rsid w:val="00EF42B7"/>
    <w:rsid w:val="00EF4405"/>
    <w:rsid w:val="00EF4433"/>
    <w:rsid w:val="00EF7B8B"/>
    <w:rsid w:val="00F00A5D"/>
    <w:rsid w:val="00F03334"/>
    <w:rsid w:val="00F04EF5"/>
    <w:rsid w:val="00F06119"/>
    <w:rsid w:val="00F11FD3"/>
    <w:rsid w:val="00F14220"/>
    <w:rsid w:val="00F163ED"/>
    <w:rsid w:val="00F17AED"/>
    <w:rsid w:val="00F25E39"/>
    <w:rsid w:val="00F3285D"/>
    <w:rsid w:val="00F3418C"/>
    <w:rsid w:val="00F342E4"/>
    <w:rsid w:val="00F46145"/>
    <w:rsid w:val="00F46C85"/>
    <w:rsid w:val="00F47A3B"/>
    <w:rsid w:val="00F47DE4"/>
    <w:rsid w:val="00F50160"/>
    <w:rsid w:val="00F51764"/>
    <w:rsid w:val="00F552B4"/>
    <w:rsid w:val="00F55B81"/>
    <w:rsid w:val="00F60C6A"/>
    <w:rsid w:val="00F646DF"/>
    <w:rsid w:val="00F67BC8"/>
    <w:rsid w:val="00F721FA"/>
    <w:rsid w:val="00F725A3"/>
    <w:rsid w:val="00F75D47"/>
    <w:rsid w:val="00F77996"/>
    <w:rsid w:val="00F77B44"/>
    <w:rsid w:val="00F811D1"/>
    <w:rsid w:val="00F847DC"/>
    <w:rsid w:val="00F90CF3"/>
    <w:rsid w:val="00F92966"/>
    <w:rsid w:val="00F92F02"/>
    <w:rsid w:val="00F945C4"/>
    <w:rsid w:val="00F94D53"/>
    <w:rsid w:val="00F9605A"/>
    <w:rsid w:val="00FA36AC"/>
    <w:rsid w:val="00FA3825"/>
    <w:rsid w:val="00FA4A66"/>
    <w:rsid w:val="00FA53F4"/>
    <w:rsid w:val="00FB3CE7"/>
    <w:rsid w:val="00FB6E1B"/>
    <w:rsid w:val="00FB770D"/>
    <w:rsid w:val="00FC18EF"/>
    <w:rsid w:val="00FC2EDF"/>
    <w:rsid w:val="00FC3523"/>
    <w:rsid w:val="00FC572A"/>
    <w:rsid w:val="00FC5942"/>
    <w:rsid w:val="00FC7849"/>
    <w:rsid w:val="00FD14AD"/>
    <w:rsid w:val="00FD4939"/>
    <w:rsid w:val="00FD4F80"/>
    <w:rsid w:val="00FE2080"/>
    <w:rsid w:val="00FE4396"/>
    <w:rsid w:val="00FE7BD5"/>
    <w:rsid w:val="00FF0697"/>
    <w:rsid w:val="00FF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95A8456"/>
  <w15:chartTrackingRefBased/>
  <w15:docId w15:val="{17CE83D6-457E-4BBC-ACE0-E8C0D4608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DengXian" w:hAnsi="Calibri" w:cs="Cordia New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319C"/>
    <w:pPr>
      <w:spacing w:after="200" w:line="276" w:lineRule="auto"/>
    </w:pPr>
    <w:rPr>
      <w:rFonts w:eastAsia="SimSun" w:cs="Times New Roman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2"/>
    <w:qFormat/>
    <w:rsid w:val="000A0225"/>
    <w:pPr>
      <w:keepNext/>
      <w:spacing w:before="240" w:after="60"/>
      <w:outlineLvl w:val="0"/>
    </w:pPr>
    <w:rPr>
      <w:rFonts w:ascii="Calibri Light" w:eastAsia="DengXian Light" w:hAnsi="Calibri Light" w:cs="Angsana New"/>
      <w:b/>
      <w:bCs/>
      <w:kern w:val="32"/>
      <w:sz w:val="32"/>
      <w:szCs w:val="32"/>
    </w:rPr>
  </w:style>
  <w:style w:type="paragraph" w:styleId="Heading2">
    <w:name w:val="heading 2"/>
    <w:basedOn w:val="Normal"/>
    <w:next w:val="para"/>
    <w:link w:val="Heading2Char"/>
    <w:uiPriority w:val="9"/>
    <w:unhideWhenUsed/>
    <w:qFormat/>
    <w:rsid w:val="00B152E1"/>
    <w:pPr>
      <w:keepNext/>
      <w:spacing w:before="240"/>
      <w:outlineLvl w:val="1"/>
    </w:pPr>
    <w:rPr>
      <w:rFonts w:ascii="Arial" w:eastAsia="PMingLiU" w:hAnsi="Arial" w:cs="Arial"/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7AF4"/>
    <w:pPr>
      <w:spacing w:after="220" w:line="360" w:lineRule="auto"/>
      <w:jc w:val="both"/>
      <w:outlineLvl w:val="2"/>
    </w:pPr>
    <w:rPr>
      <w:rFonts w:ascii="Arial" w:eastAsia="Calibri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674F"/>
    <w:pPr>
      <w:ind w:left="720"/>
      <w:contextualSpacing/>
    </w:pPr>
  </w:style>
  <w:style w:type="character" w:customStyle="1" w:styleId="Heading3Char">
    <w:name w:val="Heading 3 Char"/>
    <w:link w:val="Heading3"/>
    <w:uiPriority w:val="9"/>
    <w:rsid w:val="00C07AF4"/>
    <w:rPr>
      <w:rFonts w:ascii="Arial" w:eastAsia="Calibri" w:hAnsi="Arial" w:cs="Arial"/>
      <w:b/>
      <w:sz w:val="22"/>
      <w:szCs w:val="22"/>
      <w:lang w:val="en-US" w:eastAsia="en-US"/>
    </w:rPr>
  </w:style>
  <w:style w:type="character" w:styleId="Hyperlink">
    <w:name w:val="Hyperlink"/>
    <w:uiPriority w:val="99"/>
    <w:unhideWhenUsed/>
    <w:rsid w:val="00E44A2D"/>
    <w:rPr>
      <w:b w:val="0"/>
      <w:bCs w:val="0"/>
      <w:strike w:val="0"/>
      <w:dstrike w:val="0"/>
      <w:color w:val="0062A0"/>
      <w:sz w:val="24"/>
      <w:szCs w:val="24"/>
      <w:u w:val="none"/>
      <w:effect w:val="none"/>
      <w:bdr w:val="none" w:sz="0" w:space="0" w:color="auto" w:frame="1"/>
      <w:vertAlign w:val="baseline"/>
    </w:rPr>
  </w:style>
  <w:style w:type="paragraph" w:styleId="NormalWeb">
    <w:name w:val="Normal (Web)"/>
    <w:basedOn w:val="Normal"/>
    <w:uiPriority w:val="99"/>
    <w:semiHidden/>
    <w:unhideWhenUsed/>
    <w:rsid w:val="00E44A2D"/>
    <w:pPr>
      <w:spacing w:after="0" w:line="240" w:lineRule="auto"/>
      <w:textAlignment w:val="baseline"/>
    </w:pPr>
    <w:rPr>
      <w:rFonts w:ascii="Times New Roman" w:eastAsia="Times New Roman" w:hAnsi="Times New Roman"/>
      <w:sz w:val="23"/>
      <w:szCs w:val="23"/>
      <w:lang w:val="de-DE" w:eastAsia="zh-CN" w:bidi="th-TH"/>
    </w:rPr>
  </w:style>
  <w:style w:type="paragraph" w:customStyle="1" w:styleId="para">
    <w:name w:val="para"/>
    <w:basedOn w:val="Normal"/>
    <w:rsid w:val="00107E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zh-CN" w:bidi="th-TH"/>
    </w:rPr>
  </w:style>
  <w:style w:type="character" w:customStyle="1" w:styleId="st">
    <w:name w:val="st"/>
    <w:rsid w:val="00107E34"/>
  </w:style>
  <w:style w:type="paragraph" w:styleId="NoSpacing">
    <w:name w:val="No Spacing"/>
    <w:uiPriority w:val="1"/>
    <w:qFormat/>
    <w:rsid w:val="00C83809"/>
    <w:rPr>
      <w:rFonts w:eastAsia="SimSun" w:cs="Times New Roman"/>
      <w:sz w:val="22"/>
      <w:szCs w:val="22"/>
      <w:lang w:val="en-US" w:eastAsia="en-US"/>
    </w:rPr>
  </w:style>
  <w:style w:type="character" w:customStyle="1" w:styleId="highlight">
    <w:name w:val="highlight"/>
    <w:rsid w:val="00106CAE"/>
  </w:style>
  <w:style w:type="character" w:styleId="CommentReference">
    <w:name w:val="annotation reference"/>
    <w:uiPriority w:val="99"/>
    <w:semiHidden/>
    <w:unhideWhenUsed/>
    <w:rsid w:val="00D558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585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D5585F"/>
    <w:rPr>
      <w:rFonts w:eastAsia="SimSun" w:cs="Times New Roman"/>
      <w:lang w:val="en-US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85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5585F"/>
    <w:rPr>
      <w:rFonts w:eastAsia="SimSun" w:cs="Times New Roman"/>
      <w:b/>
      <w:bCs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58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5585F"/>
    <w:rPr>
      <w:rFonts w:ascii="Segoe UI" w:eastAsia="SimSun" w:hAnsi="Segoe UI" w:cs="Segoe UI"/>
      <w:sz w:val="18"/>
      <w:szCs w:val="18"/>
      <w:lang w:val="en-US" w:eastAsia="en-US" w:bidi="ar-SA"/>
    </w:rPr>
  </w:style>
  <w:style w:type="character" w:customStyle="1" w:styleId="Heading1Char">
    <w:name w:val="Heading 1 Char"/>
    <w:link w:val="Heading1"/>
    <w:uiPriority w:val="2"/>
    <w:rsid w:val="000A0225"/>
    <w:rPr>
      <w:rFonts w:ascii="Calibri Light" w:eastAsia="DengXian Light" w:hAnsi="Calibri Light" w:cs="Angsana New"/>
      <w:b/>
      <w:bCs/>
      <w:kern w:val="32"/>
      <w:sz w:val="32"/>
      <w:szCs w:val="32"/>
      <w:lang w:val="en-US" w:eastAsia="en-US" w:bidi="ar-SA"/>
    </w:rPr>
  </w:style>
  <w:style w:type="paragraph" w:customStyle="1" w:styleId="EndNoteBibliographyTitle">
    <w:name w:val="EndNote Bibliography Title"/>
    <w:basedOn w:val="Normal"/>
    <w:link w:val="EndNoteBibliographyTitleChar"/>
    <w:rsid w:val="000B325D"/>
    <w:pPr>
      <w:spacing w:after="0"/>
      <w:jc w:val="center"/>
    </w:pPr>
    <w:rPr>
      <w:rFonts w:cs="Calibri"/>
      <w:noProof/>
    </w:rPr>
  </w:style>
  <w:style w:type="character" w:customStyle="1" w:styleId="EndNoteBibliographyTitleChar">
    <w:name w:val="EndNote Bibliography Title Char"/>
    <w:link w:val="EndNoteBibliographyTitle"/>
    <w:rsid w:val="000B325D"/>
    <w:rPr>
      <w:rFonts w:eastAsia="SimSun" w:cs="Calibri"/>
      <w:noProof/>
      <w:sz w:val="22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0B325D"/>
    <w:pPr>
      <w:spacing w:line="240" w:lineRule="auto"/>
      <w:jc w:val="both"/>
    </w:pPr>
    <w:rPr>
      <w:rFonts w:cs="Calibri"/>
      <w:noProof/>
    </w:rPr>
  </w:style>
  <w:style w:type="character" w:customStyle="1" w:styleId="EndNoteBibliographyChar">
    <w:name w:val="EndNote Bibliography Char"/>
    <w:link w:val="EndNoteBibliography"/>
    <w:rsid w:val="000B325D"/>
    <w:rPr>
      <w:rFonts w:eastAsia="SimSun" w:cs="Calibri"/>
      <w:noProof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426E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5426E8"/>
    <w:rPr>
      <w:rFonts w:eastAsia="SimSun" w:cs="Times New Roman"/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426E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426E8"/>
    <w:rPr>
      <w:rFonts w:eastAsia="SimSun" w:cs="Times New Roman"/>
      <w:sz w:val="22"/>
      <w:szCs w:val="22"/>
      <w:lang w:val="en-US" w:eastAsia="en-US"/>
    </w:rPr>
  </w:style>
  <w:style w:type="table" w:styleId="TableGrid">
    <w:name w:val="Table Grid"/>
    <w:basedOn w:val="TableNormal"/>
    <w:uiPriority w:val="39"/>
    <w:rsid w:val="008334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9"/>
    <w:rsid w:val="00B152E1"/>
    <w:rPr>
      <w:rFonts w:ascii="Arial" w:eastAsia="PMingLiU" w:hAnsi="Arial" w:cs="Arial"/>
      <w:b/>
      <w:bCs/>
      <w:i/>
      <w:iCs/>
      <w:sz w:val="22"/>
      <w:szCs w:val="22"/>
      <w:lang w:val="en-US" w:eastAsia="en-US"/>
    </w:rPr>
  </w:style>
  <w:style w:type="character" w:styleId="SubtleEmphasis">
    <w:name w:val="Subtle Emphasis"/>
    <w:uiPriority w:val="19"/>
    <w:qFormat/>
    <w:rsid w:val="00DC019B"/>
    <w:rPr>
      <w:i/>
      <w:iCs/>
      <w:color w:val="404040"/>
    </w:rPr>
  </w:style>
  <w:style w:type="character" w:customStyle="1" w:styleId="UnresolvedMention1">
    <w:name w:val="Unresolved Mention1"/>
    <w:uiPriority w:val="99"/>
    <w:semiHidden/>
    <w:unhideWhenUsed/>
    <w:rsid w:val="00BD73BC"/>
    <w:rPr>
      <w:color w:val="605E5C"/>
      <w:shd w:val="clear" w:color="auto" w:fill="E1DFDD"/>
    </w:rPr>
  </w:style>
  <w:style w:type="character" w:styleId="LineNumber">
    <w:name w:val="line number"/>
    <w:uiPriority w:val="99"/>
    <w:semiHidden/>
    <w:unhideWhenUsed/>
    <w:rsid w:val="0090427E"/>
  </w:style>
  <w:style w:type="paragraph" w:styleId="Revision">
    <w:name w:val="Revision"/>
    <w:hidden/>
    <w:uiPriority w:val="99"/>
    <w:semiHidden/>
    <w:rsid w:val="002A7A64"/>
    <w:rPr>
      <w:rFonts w:eastAsia="SimSun" w:cs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6293">
          <w:marLeft w:val="56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3636">
          <w:marLeft w:val="56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09199">
          <w:marLeft w:val="56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3541">
          <w:marLeft w:val="56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3546">
          <w:marLeft w:val="56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8169">
          <w:marLeft w:val="56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1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2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1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6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46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31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96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800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2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487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7940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64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23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59479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04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622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7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467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713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371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185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694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729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939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2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5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53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48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05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5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364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73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11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065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9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6309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9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7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039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404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691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446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745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050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720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503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8316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9018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261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4504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150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1490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7025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7763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12964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6572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38544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2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2542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4158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47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0303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01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99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6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emf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7.emf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emf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9D60CD2ED204EAFDAF0E3751CDEB7" ma:contentTypeVersion="13" ma:contentTypeDescription="Create a new document." ma:contentTypeScope="" ma:versionID="44a09e9bfa8c22bd7d6b82bd7244cf57">
  <xsd:schema xmlns:xsd="http://www.w3.org/2001/XMLSchema" xmlns:xs="http://www.w3.org/2001/XMLSchema" xmlns:p="http://schemas.microsoft.com/office/2006/metadata/properties" xmlns:ns2="8636c50b-363d-4a7d-adb0-cfd422105622" xmlns:ns3="86f7edec-793f-422f-bf86-565db80f0f0d" targetNamespace="http://schemas.microsoft.com/office/2006/metadata/properties" ma:root="true" ma:fieldsID="6c214664262667ea156df67084953ef7" ns2:_="" ns3:_="">
    <xsd:import namespace="8636c50b-363d-4a7d-adb0-cfd422105622"/>
    <xsd:import namespace="86f7edec-793f-422f-bf86-565db80f0f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6c50b-363d-4a7d-adb0-cfd422105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7edec-793f-422f-bf86-565db80f0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9CF9D-20C4-433B-A12B-9E1C993A41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C6F372-7D43-413D-B17D-5101067E399B}"/>
</file>

<file path=customXml/itemProps3.xml><?xml version="1.0" encoding="utf-8"?>
<ds:datastoreItem xmlns:ds="http://schemas.openxmlformats.org/officeDocument/2006/customXml" ds:itemID="{10F17DCD-A270-4112-8374-2C2F58623D48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cef85c18-2abb-44d9-b52b-ea79bd1f491f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ACCA11A-9385-4B61-86CA-F88974CCD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757</Words>
  <Characters>4446</Characters>
  <Application>Microsoft Office Word</Application>
  <DocSecurity>0</DocSecurity>
  <Lines>88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Boehringer Ingelheim</Company>
  <LinksUpToDate>false</LinksUpToDate>
  <CharactersWithSpaces>5172</CharactersWithSpaces>
  <SharedDoc>false</SharedDoc>
  <HLinks>
    <vt:vector size="6" baseType="variant">
      <vt:variant>
        <vt:i4>1704053</vt:i4>
      </vt:variant>
      <vt:variant>
        <vt:i4>0</vt:i4>
      </vt:variant>
      <vt:variant>
        <vt:i4>0</vt:i4>
      </vt:variant>
      <vt:variant>
        <vt:i4>5</vt:i4>
      </vt:variant>
      <vt:variant>
        <vt:lpwstr>mailto:stefan-lutz.wollin@boehringer-ingelheim.com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Ubieta-Hernandez,Dr.,Kenia (RES I+R) BIP-DE-B</dc:creator>
  <cp:keywords>C_Unrestricted</cp:keywords>
  <dc:description/>
  <cp:lastModifiedBy>Jonathan Brennan  (MTM)</cp:lastModifiedBy>
  <cp:revision>2</cp:revision>
  <cp:lastPrinted>2019-12-09T09:03:00Z</cp:lastPrinted>
  <dcterms:created xsi:type="dcterms:W3CDTF">2020-09-15T13:28:00Z</dcterms:created>
  <dcterms:modified xsi:type="dcterms:W3CDTF">2020-09-15T13:28:00Z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onfidentiality">
    <vt:lpwstr>Unrestricted</vt:lpwstr>
  </property>
  <property fmtid="{D5CDD505-2E9C-101B-9397-08002B2CF9AE}" pid="3" name="Document_Confidentiality">
    <vt:lpwstr>Unrestricted</vt:lpwstr>
  </property>
  <property fmtid="{D5CDD505-2E9C-101B-9397-08002B2CF9AE}" pid="4" name="sodocoClasLang">
    <vt:lpwstr>Unrestricted</vt:lpwstr>
  </property>
  <property fmtid="{D5CDD505-2E9C-101B-9397-08002B2CF9AE}" pid="5" name="sodocoClasLangId">
    <vt:i4>0</vt:i4>
  </property>
  <property fmtid="{D5CDD505-2E9C-101B-9397-08002B2CF9AE}" pid="6" name="sodocoClasId">
    <vt:i4>0</vt:i4>
  </property>
  <property fmtid="{D5CDD505-2E9C-101B-9397-08002B2CF9AE}" pid="7" name="ContentTypeId">
    <vt:lpwstr>0x010100B689D60CD2ED204EAFDAF0E3751CDEB7</vt:lpwstr>
  </property>
</Properties>
</file>