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EBBE33" w14:textId="1C2BCFFE" w:rsidR="00C56193" w:rsidRDefault="00C56193" w:rsidP="000F1607">
      <w:pPr>
        <w:spacing w:after="0" w:line="480" w:lineRule="auto"/>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14:anchorId="3593F335" wp14:editId="1F7D126D">
            <wp:extent cx="5273040" cy="206311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3040" cy="2063115"/>
                    </a:xfrm>
                    <a:prstGeom prst="rect">
                      <a:avLst/>
                    </a:prstGeom>
                    <a:noFill/>
                    <a:ln>
                      <a:noFill/>
                    </a:ln>
                  </pic:spPr>
                </pic:pic>
              </a:graphicData>
            </a:graphic>
          </wp:inline>
        </w:drawing>
      </w:r>
    </w:p>
    <w:p w14:paraId="316FF38B" w14:textId="61AA63FA" w:rsidR="000F1607" w:rsidRDefault="000F1607" w:rsidP="000F1607">
      <w:pPr>
        <w:spacing w:after="0" w:line="480" w:lineRule="auto"/>
        <w:rPr>
          <w:rFonts w:ascii="Times New Roman" w:hAnsi="Times New Roman" w:cs="Times New Roman"/>
          <w:color w:val="000000"/>
          <w:sz w:val="24"/>
          <w:szCs w:val="24"/>
        </w:rPr>
      </w:pPr>
      <w:r w:rsidRPr="00D10943">
        <w:rPr>
          <w:rFonts w:ascii="Times New Roman" w:hAnsi="Times New Roman" w:cs="Times New Roman"/>
          <w:b/>
          <w:bCs/>
          <w:color w:val="000000"/>
          <w:sz w:val="24"/>
          <w:szCs w:val="24"/>
        </w:rPr>
        <w:t>Supplemental Figure S1.</w:t>
      </w:r>
      <w:r w:rsidRPr="00D10943">
        <w:rPr>
          <w:rFonts w:ascii="Times New Roman" w:hAnsi="Times New Roman" w:cs="Times New Roman"/>
          <w:color w:val="000000"/>
          <w:sz w:val="24"/>
          <w:szCs w:val="24"/>
        </w:rPr>
        <w:t xml:space="preserve"> Comparative analysis of gut microbiota at the Phylum level in the mice from all groups. (a) Heatmap of gut microbiota at the Phylum level in the normal or T1DM mice treated with vehicle or CA. (b) Comparative analysis of Deferribacteres abundance in the normal or T1DM mice treated with vehicle or CA. A = control + vehicle group; B = control + CA group; C = T1DM + vehicle group; D = T1MD + CA group.</w:t>
      </w:r>
      <w:r w:rsidRPr="00D10943">
        <w:rPr>
          <w:rFonts w:ascii="Times New Roman" w:hAnsi="Times New Roman" w:cs="Times New Roman"/>
          <w:i/>
          <w:iCs/>
          <w:color w:val="000000"/>
          <w:sz w:val="24"/>
          <w:szCs w:val="24"/>
        </w:rPr>
        <w:t>*</w:t>
      </w:r>
      <w:r w:rsidRPr="00D10943">
        <w:rPr>
          <w:rFonts w:ascii="Times New Roman" w:hAnsi="Times New Roman" w:cs="Times New Roman"/>
          <w:color w:val="000000"/>
          <w:sz w:val="24"/>
          <w:szCs w:val="24"/>
        </w:rPr>
        <w:t>P&lt;0.05.</w:t>
      </w:r>
    </w:p>
    <w:p w14:paraId="1E4888E7" w14:textId="5FB8BB6A" w:rsidR="00980E49" w:rsidRDefault="00980E49" w:rsidP="000F1607">
      <w:pPr>
        <w:spacing w:after="0" w:line="480" w:lineRule="auto"/>
        <w:rPr>
          <w:rFonts w:ascii="Times New Roman" w:hAnsi="Times New Roman" w:cs="Times New Roman"/>
          <w:color w:val="000000"/>
          <w:sz w:val="24"/>
          <w:szCs w:val="24"/>
        </w:rPr>
      </w:pPr>
    </w:p>
    <w:p w14:paraId="4CFAC5DF" w14:textId="77777777" w:rsidR="00980E49" w:rsidRDefault="00980E49" w:rsidP="000F1607">
      <w:pPr>
        <w:spacing w:after="0" w:line="480" w:lineRule="auto"/>
        <w:rPr>
          <w:rFonts w:ascii="Times New Roman" w:hAnsi="Times New Roman" w:cs="Times New Roman"/>
          <w:color w:val="000000"/>
          <w:sz w:val="24"/>
          <w:szCs w:val="24"/>
        </w:rPr>
      </w:pPr>
    </w:p>
    <w:p w14:paraId="7B03B571" w14:textId="5854B400" w:rsidR="00980E49" w:rsidRDefault="00980E49" w:rsidP="000F1607">
      <w:pPr>
        <w:spacing w:after="0" w:line="480" w:lineRule="auto"/>
        <w:rPr>
          <w:rFonts w:ascii="Times New Roman" w:hAnsi="Times New Roman" w:cs="Times New Roman"/>
          <w:color w:val="000000"/>
          <w:sz w:val="24"/>
          <w:szCs w:val="24"/>
        </w:rPr>
      </w:pPr>
    </w:p>
    <w:p w14:paraId="448A38E5" w14:textId="77777777" w:rsidR="00980E49" w:rsidRDefault="00980E49" w:rsidP="000F1607">
      <w:pPr>
        <w:spacing w:after="0" w:line="480" w:lineRule="auto"/>
        <w:rPr>
          <w:rFonts w:ascii="Times New Roman" w:hAnsi="Times New Roman" w:cs="Times New Roman"/>
          <w:color w:val="000000"/>
          <w:sz w:val="24"/>
          <w:szCs w:val="24"/>
        </w:rPr>
      </w:pPr>
    </w:p>
    <w:p w14:paraId="4B1E52FD" w14:textId="08D4D702" w:rsidR="00980E49" w:rsidRDefault="00980E49" w:rsidP="000F1607">
      <w:pPr>
        <w:spacing w:after="0" w:line="480" w:lineRule="auto"/>
        <w:rPr>
          <w:rFonts w:ascii="Times New Roman" w:hAnsi="Times New Roman" w:cs="Times New Roman"/>
          <w:color w:val="000000"/>
          <w:sz w:val="24"/>
          <w:szCs w:val="24"/>
        </w:rPr>
      </w:pPr>
    </w:p>
    <w:p w14:paraId="68491F52" w14:textId="58438473" w:rsidR="00980E49" w:rsidRDefault="00980E49" w:rsidP="000F1607">
      <w:pPr>
        <w:spacing w:after="0" w:line="480" w:lineRule="auto"/>
        <w:rPr>
          <w:rFonts w:ascii="Times New Roman" w:hAnsi="Times New Roman" w:cs="Times New Roman"/>
          <w:color w:val="000000"/>
          <w:sz w:val="24"/>
          <w:szCs w:val="24"/>
        </w:rPr>
      </w:pPr>
    </w:p>
    <w:p w14:paraId="313D0CB1" w14:textId="77777777" w:rsidR="00980E49" w:rsidRPr="00D10943" w:rsidRDefault="00980E49" w:rsidP="000F1607">
      <w:pPr>
        <w:spacing w:after="0" w:line="480" w:lineRule="auto"/>
        <w:rPr>
          <w:rFonts w:ascii="Times New Roman" w:hAnsi="Times New Roman" w:cs="Times New Roman"/>
          <w:color w:val="000000"/>
          <w:sz w:val="24"/>
          <w:szCs w:val="24"/>
        </w:rPr>
      </w:pPr>
    </w:p>
    <w:p w14:paraId="2EDEDC16" w14:textId="60CA572B" w:rsidR="000F1607" w:rsidRPr="00D10943" w:rsidRDefault="00980E49" w:rsidP="000F1607">
      <w:pPr>
        <w:spacing w:after="0" w:line="48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14:anchorId="4D7EF54C" wp14:editId="6661B7B8">
            <wp:extent cx="5274310" cy="2153382"/>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2153382"/>
                    </a:xfrm>
                    <a:prstGeom prst="rect">
                      <a:avLst/>
                    </a:prstGeom>
                    <a:noFill/>
                    <a:ln>
                      <a:noFill/>
                    </a:ln>
                  </pic:spPr>
                </pic:pic>
              </a:graphicData>
            </a:graphic>
          </wp:inline>
        </w:drawing>
      </w:r>
    </w:p>
    <w:p w14:paraId="36AE017F" w14:textId="77777777" w:rsidR="000F1607" w:rsidRPr="00D10943" w:rsidRDefault="000F1607" w:rsidP="000F1607">
      <w:pPr>
        <w:spacing w:after="0" w:line="480" w:lineRule="auto"/>
        <w:rPr>
          <w:rFonts w:ascii="Times New Roman" w:hAnsi="Times New Roman" w:cs="Times New Roman"/>
          <w:color w:val="000000"/>
          <w:sz w:val="24"/>
          <w:szCs w:val="24"/>
        </w:rPr>
      </w:pPr>
      <w:r w:rsidRPr="00D10943">
        <w:rPr>
          <w:rFonts w:ascii="Times New Roman" w:hAnsi="Times New Roman" w:cs="Times New Roman"/>
          <w:b/>
          <w:bCs/>
          <w:color w:val="000000"/>
          <w:sz w:val="24"/>
          <w:szCs w:val="24"/>
        </w:rPr>
        <w:t>Supplemental Figure S2.</w:t>
      </w:r>
      <w:r w:rsidRPr="00D10943">
        <w:rPr>
          <w:rFonts w:ascii="Times New Roman" w:hAnsi="Times New Roman" w:cs="Times New Roman"/>
          <w:color w:val="000000"/>
          <w:sz w:val="24"/>
          <w:szCs w:val="24"/>
        </w:rPr>
        <w:t xml:space="preserve"> Comparative analysis of gut microbiota at the class level in the mice from all groups. (a) Heatmap of gut microbiota at the class level in the normal or T1DM mice treated with vehicle or CA. (b) Comparative analysis of Gammaproteobacteria, Deltaproteobacteria, Deferribacteres, Clostridia, Betaproteobacteria abundance in the normal or T1DM mice treated with vehicle or CA. A = control + vehicle group; B = control + CA group; C = T1DM + vehicle group; D = T1MD + CA group. </w:t>
      </w:r>
      <w:r w:rsidRPr="00D10943">
        <w:rPr>
          <w:rFonts w:ascii="Times New Roman" w:hAnsi="Times New Roman" w:cs="Times New Roman"/>
          <w:i/>
          <w:iCs/>
          <w:color w:val="000000"/>
          <w:sz w:val="24"/>
          <w:szCs w:val="24"/>
        </w:rPr>
        <w:t>*</w:t>
      </w:r>
      <w:r w:rsidRPr="00D10943">
        <w:rPr>
          <w:rFonts w:ascii="Times New Roman" w:hAnsi="Times New Roman" w:cs="Times New Roman"/>
          <w:color w:val="000000"/>
          <w:sz w:val="24"/>
          <w:szCs w:val="24"/>
        </w:rPr>
        <w:t xml:space="preserve">P&lt;0.05, </w:t>
      </w:r>
      <w:r w:rsidRPr="00D10943">
        <w:rPr>
          <w:rFonts w:ascii="Times New Roman" w:hAnsi="Times New Roman" w:cs="Times New Roman"/>
          <w:i/>
          <w:iCs/>
          <w:color w:val="000000"/>
          <w:sz w:val="24"/>
          <w:szCs w:val="24"/>
        </w:rPr>
        <w:t>**</w:t>
      </w:r>
      <w:r w:rsidRPr="00D10943">
        <w:rPr>
          <w:rFonts w:ascii="Times New Roman" w:hAnsi="Times New Roman" w:cs="Times New Roman"/>
          <w:color w:val="000000"/>
          <w:sz w:val="24"/>
          <w:szCs w:val="24"/>
        </w:rPr>
        <w:t xml:space="preserve">P&lt;0.01 and </w:t>
      </w:r>
      <w:r w:rsidRPr="00D10943">
        <w:rPr>
          <w:rFonts w:ascii="Times New Roman" w:hAnsi="Times New Roman" w:cs="Times New Roman"/>
          <w:i/>
          <w:iCs/>
          <w:color w:val="000000"/>
          <w:sz w:val="24"/>
          <w:szCs w:val="24"/>
        </w:rPr>
        <w:t>***</w:t>
      </w:r>
      <w:r w:rsidRPr="00D10943">
        <w:rPr>
          <w:rFonts w:ascii="Times New Roman" w:hAnsi="Times New Roman" w:cs="Times New Roman"/>
          <w:color w:val="000000"/>
          <w:sz w:val="24"/>
          <w:szCs w:val="24"/>
        </w:rPr>
        <w:t>P&lt;0.001.</w:t>
      </w:r>
    </w:p>
    <w:p w14:paraId="4C7C463E" w14:textId="1C38AA74" w:rsidR="000F1607" w:rsidRDefault="000F1607" w:rsidP="000F1607">
      <w:pPr>
        <w:spacing w:after="0" w:line="480" w:lineRule="auto"/>
        <w:rPr>
          <w:rFonts w:ascii="Times New Roman" w:hAnsi="Times New Roman" w:cs="Times New Roman"/>
          <w:color w:val="000000"/>
          <w:sz w:val="24"/>
          <w:szCs w:val="24"/>
        </w:rPr>
      </w:pPr>
    </w:p>
    <w:p w14:paraId="44EFE939" w14:textId="746CCE13" w:rsidR="00980E49" w:rsidRDefault="00980E49" w:rsidP="000F1607">
      <w:pPr>
        <w:spacing w:after="0" w:line="480" w:lineRule="auto"/>
        <w:rPr>
          <w:rFonts w:ascii="Times New Roman" w:hAnsi="Times New Roman" w:cs="Times New Roman"/>
          <w:color w:val="000000"/>
          <w:sz w:val="24"/>
          <w:szCs w:val="24"/>
        </w:rPr>
      </w:pPr>
    </w:p>
    <w:p w14:paraId="0D2A9E2D" w14:textId="3702CDC9" w:rsidR="00980E49" w:rsidRDefault="00980E49" w:rsidP="000F1607">
      <w:pPr>
        <w:spacing w:after="0" w:line="480" w:lineRule="auto"/>
        <w:rPr>
          <w:rFonts w:ascii="Times New Roman" w:hAnsi="Times New Roman" w:cs="Times New Roman"/>
          <w:color w:val="000000"/>
          <w:sz w:val="24"/>
          <w:szCs w:val="24"/>
        </w:rPr>
      </w:pPr>
    </w:p>
    <w:p w14:paraId="019D5CA8" w14:textId="0CF85B32" w:rsidR="00980E49" w:rsidRDefault="00980E49" w:rsidP="000F1607">
      <w:pPr>
        <w:spacing w:after="0" w:line="480" w:lineRule="auto"/>
        <w:rPr>
          <w:rFonts w:ascii="Times New Roman" w:hAnsi="Times New Roman" w:cs="Times New Roman"/>
          <w:color w:val="000000"/>
          <w:sz w:val="24"/>
          <w:szCs w:val="24"/>
        </w:rPr>
      </w:pPr>
    </w:p>
    <w:p w14:paraId="2ECF4F8E" w14:textId="622BB704" w:rsidR="00980E49" w:rsidRDefault="00980E49" w:rsidP="000F1607">
      <w:pPr>
        <w:spacing w:after="0" w:line="480" w:lineRule="auto"/>
        <w:rPr>
          <w:rFonts w:ascii="Times New Roman" w:hAnsi="Times New Roman" w:cs="Times New Roman"/>
          <w:color w:val="000000"/>
          <w:sz w:val="24"/>
          <w:szCs w:val="24"/>
        </w:rPr>
      </w:pPr>
    </w:p>
    <w:p w14:paraId="4218EE08" w14:textId="77777777" w:rsidR="00980E49" w:rsidRDefault="00980E49" w:rsidP="000F1607">
      <w:pPr>
        <w:spacing w:after="0" w:line="480" w:lineRule="auto"/>
        <w:rPr>
          <w:rFonts w:ascii="Times New Roman" w:hAnsi="Times New Roman" w:cs="Times New Roman"/>
          <w:color w:val="000000"/>
          <w:sz w:val="24"/>
          <w:szCs w:val="24"/>
        </w:rPr>
      </w:pPr>
    </w:p>
    <w:p w14:paraId="10499C68" w14:textId="08CFCBAC" w:rsidR="00980E49" w:rsidRPr="00D10943" w:rsidRDefault="00980E49" w:rsidP="000F1607">
      <w:pPr>
        <w:spacing w:after="0" w:line="48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14:anchorId="1C03A149" wp14:editId="3D1F4A29">
            <wp:extent cx="5269230" cy="243903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9230" cy="2439035"/>
                    </a:xfrm>
                    <a:prstGeom prst="rect">
                      <a:avLst/>
                    </a:prstGeom>
                    <a:noFill/>
                    <a:ln>
                      <a:noFill/>
                    </a:ln>
                  </pic:spPr>
                </pic:pic>
              </a:graphicData>
            </a:graphic>
          </wp:inline>
        </w:drawing>
      </w:r>
    </w:p>
    <w:p w14:paraId="569FA1F2" w14:textId="77777777" w:rsidR="000F1607" w:rsidRPr="00D10943" w:rsidRDefault="000F1607" w:rsidP="000F1607">
      <w:pPr>
        <w:spacing w:after="0" w:line="480" w:lineRule="auto"/>
        <w:rPr>
          <w:rFonts w:ascii="Times New Roman" w:hAnsi="Times New Roman" w:cs="Times New Roman"/>
          <w:color w:val="000000"/>
          <w:sz w:val="24"/>
          <w:szCs w:val="24"/>
        </w:rPr>
      </w:pPr>
      <w:r w:rsidRPr="00D10943">
        <w:rPr>
          <w:rFonts w:ascii="Times New Roman" w:hAnsi="Times New Roman" w:cs="Times New Roman"/>
          <w:b/>
          <w:bCs/>
          <w:color w:val="000000"/>
          <w:sz w:val="24"/>
          <w:szCs w:val="24"/>
        </w:rPr>
        <w:t>Supplemental Figure S3.</w:t>
      </w:r>
      <w:r w:rsidRPr="00D10943">
        <w:rPr>
          <w:rFonts w:ascii="Times New Roman" w:hAnsi="Times New Roman" w:cs="Times New Roman"/>
          <w:color w:val="000000"/>
          <w:sz w:val="24"/>
          <w:szCs w:val="24"/>
        </w:rPr>
        <w:t xml:space="preserve"> Comparative analysis of gut microbiota at the order level in the mice from all groups. (a) Heatmap of gut microbiota at the order level in the normal or T1DM mice treated with vehicle or CA. (b) Comparative analysis of gut microbiota abundance at the order level in the normal or T1DM mice treated with vehicle or CA. A = control + vehicle group; B = control + CA group; C = T1DM + vehicle group; D = T1MD + CA group.</w:t>
      </w:r>
      <w:r w:rsidRPr="00D10943">
        <w:rPr>
          <w:rFonts w:ascii="Times New Roman" w:hAnsi="Times New Roman" w:cs="Times New Roman"/>
          <w:i/>
          <w:iCs/>
          <w:color w:val="000000"/>
          <w:sz w:val="24"/>
          <w:szCs w:val="24"/>
        </w:rPr>
        <w:t>*</w:t>
      </w:r>
      <w:r w:rsidRPr="00D10943">
        <w:rPr>
          <w:rFonts w:ascii="Times New Roman" w:hAnsi="Times New Roman" w:cs="Times New Roman"/>
          <w:color w:val="000000"/>
          <w:sz w:val="24"/>
          <w:szCs w:val="24"/>
        </w:rPr>
        <w:t xml:space="preserve">P&lt;0.05, </w:t>
      </w:r>
      <w:r w:rsidRPr="00D10943">
        <w:rPr>
          <w:rFonts w:ascii="Times New Roman" w:hAnsi="Times New Roman" w:cs="Times New Roman"/>
          <w:i/>
          <w:iCs/>
          <w:color w:val="000000"/>
          <w:sz w:val="24"/>
          <w:szCs w:val="24"/>
        </w:rPr>
        <w:t>**</w:t>
      </w:r>
      <w:r w:rsidRPr="00D10943">
        <w:rPr>
          <w:rFonts w:ascii="Times New Roman" w:hAnsi="Times New Roman" w:cs="Times New Roman"/>
          <w:color w:val="000000"/>
          <w:sz w:val="24"/>
          <w:szCs w:val="24"/>
        </w:rPr>
        <w:t xml:space="preserve">P&lt;0.01 and </w:t>
      </w:r>
      <w:r w:rsidRPr="00D10943">
        <w:rPr>
          <w:rFonts w:ascii="Times New Roman" w:hAnsi="Times New Roman" w:cs="Times New Roman"/>
          <w:i/>
          <w:iCs/>
          <w:color w:val="000000"/>
          <w:sz w:val="24"/>
          <w:szCs w:val="24"/>
        </w:rPr>
        <w:t>***</w:t>
      </w:r>
      <w:r w:rsidRPr="00D10943">
        <w:rPr>
          <w:rFonts w:ascii="Times New Roman" w:hAnsi="Times New Roman" w:cs="Times New Roman"/>
          <w:color w:val="000000"/>
          <w:sz w:val="24"/>
          <w:szCs w:val="24"/>
        </w:rPr>
        <w:t>P&lt;0.001.</w:t>
      </w:r>
    </w:p>
    <w:p w14:paraId="4514B08F" w14:textId="5550E2DE" w:rsidR="000F1607" w:rsidRDefault="000F1607" w:rsidP="000F1607">
      <w:pPr>
        <w:spacing w:after="0" w:line="480" w:lineRule="auto"/>
        <w:rPr>
          <w:rFonts w:ascii="Times New Roman" w:hAnsi="Times New Roman" w:cs="Times New Roman"/>
          <w:color w:val="000000"/>
          <w:sz w:val="24"/>
          <w:szCs w:val="24"/>
        </w:rPr>
      </w:pPr>
    </w:p>
    <w:p w14:paraId="1B1C3AAA" w14:textId="25034155" w:rsidR="00980E49" w:rsidRDefault="00980E49" w:rsidP="000F1607">
      <w:pPr>
        <w:spacing w:after="0" w:line="480" w:lineRule="auto"/>
        <w:rPr>
          <w:rFonts w:ascii="Times New Roman" w:hAnsi="Times New Roman" w:cs="Times New Roman"/>
          <w:color w:val="000000"/>
          <w:sz w:val="24"/>
          <w:szCs w:val="24"/>
        </w:rPr>
      </w:pPr>
    </w:p>
    <w:p w14:paraId="08EE2EDA" w14:textId="348813EC" w:rsidR="00980E49" w:rsidRDefault="00980E49" w:rsidP="000F1607">
      <w:pPr>
        <w:spacing w:after="0" w:line="480" w:lineRule="auto"/>
        <w:rPr>
          <w:rFonts w:ascii="Times New Roman" w:hAnsi="Times New Roman" w:cs="Times New Roman"/>
          <w:color w:val="000000"/>
          <w:sz w:val="24"/>
          <w:szCs w:val="24"/>
        </w:rPr>
      </w:pPr>
    </w:p>
    <w:p w14:paraId="63711D73" w14:textId="77777777" w:rsidR="00980E49" w:rsidRDefault="00980E49" w:rsidP="000F1607">
      <w:pPr>
        <w:spacing w:after="0" w:line="480" w:lineRule="auto"/>
        <w:rPr>
          <w:rFonts w:ascii="Times New Roman" w:hAnsi="Times New Roman" w:cs="Times New Roman"/>
          <w:color w:val="000000"/>
          <w:sz w:val="24"/>
          <w:szCs w:val="24"/>
        </w:rPr>
      </w:pPr>
    </w:p>
    <w:p w14:paraId="62522235" w14:textId="5164FC14" w:rsidR="00980E49" w:rsidRPr="00D10943" w:rsidRDefault="00980E49" w:rsidP="000F1607">
      <w:pPr>
        <w:spacing w:after="0" w:line="48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14:anchorId="1FDA7B94" wp14:editId="27AA8F87">
            <wp:extent cx="5271135" cy="2817495"/>
            <wp:effectExtent l="0" t="0" r="571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1135" cy="2817495"/>
                    </a:xfrm>
                    <a:prstGeom prst="rect">
                      <a:avLst/>
                    </a:prstGeom>
                    <a:noFill/>
                    <a:ln>
                      <a:noFill/>
                    </a:ln>
                  </pic:spPr>
                </pic:pic>
              </a:graphicData>
            </a:graphic>
          </wp:inline>
        </w:drawing>
      </w:r>
    </w:p>
    <w:p w14:paraId="45C62A27" w14:textId="77777777" w:rsidR="000F1607" w:rsidRPr="00D10943" w:rsidRDefault="000F1607" w:rsidP="000F1607">
      <w:pPr>
        <w:spacing w:after="0" w:line="480" w:lineRule="auto"/>
        <w:rPr>
          <w:rFonts w:ascii="Times New Roman" w:hAnsi="Times New Roman" w:cs="Times New Roman"/>
          <w:color w:val="000000"/>
          <w:sz w:val="24"/>
          <w:szCs w:val="24"/>
        </w:rPr>
      </w:pPr>
      <w:r w:rsidRPr="00D10943">
        <w:rPr>
          <w:rFonts w:ascii="Times New Roman" w:hAnsi="Times New Roman" w:cs="Times New Roman"/>
          <w:b/>
          <w:bCs/>
          <w:color w:val="000000"/>
          <w:sz w:val="24"/>
          <w:szCs w:val="24"/>
        </w:rPr>
        <w:t>Supplemental Figure S4.</w:t>
      </w:r>
      <w:r w:rsidRPr="00D10943">
        <w:rPr>
          <w:rFonts w:ascii="Times New Roman" w:hAnsi="Times New Roman" w:cs="Times New Roman"/>
          <w:color w:val="000000"/>
          <w:sz w:val="24"/>
          <w:szCs w:val="24"/>
        </w:rPr>
        <w:t xml:space="preserve"> Comparative analysis of gut microbiota at the family level in the mice from all groups. (a) Heatmap of gut microbiota at the family level in the normal or T1DM mice treated with vehicle or CA. (b) Comparative analysis of gut microbiota abundance at the family level in the normal or T1DM mice treated with vehicle or CA. A = control + vehicle group; B = control + CA group; C = T1DM + vehicle group; D = T1MD + CA group. </w:t>
      </w:r>
      <w:r w:rsidRPr="00D10943">
        <w:rPr>
          <w:rFonts w:ascii="Times New Roman" w:hAnsi="Times New Roman" w:cs="Times New Roman"/>
          <w:i/>
          <w:iCs/>
          <w:color w:val="000000"/>
          <w:sz w:val="24"/>
          <w:szCs w:val="24"/>
        </w:rPr>
        <w:t>*</w:t>
      </w:r>
      <w:r w:rsidRPr="00D10943">
        <w:rPr>
          <w:rFonts w:ascii="Times New Roman" w:hAnsi="Times New Roman" w:cs="Times New Roman"/>
          <w:color w:val="000000"/>
          <w:sz w:val="24"/>
          <w:szCs w:val="24"/>
        </w:rPr>
        <w:t xml:space="preserve">P&lt;0.05, </w:t>
      </w:r>
      <w:r w:rsidRPr="00D10943">
        <w:rPr>
          <w:rFonts w:ascii="Times New Roman" w:hAnsi="Times New Roman" w:cs="Times New Roman"/>
          <w:i/>
          <w:iCs/>
          <w:color w:val="000000"/>
          <w:sz w:val="24"/>
          <w:szCs w:val="24"/>
        </w:rPr>
        <w:t>**</w:t>
      </w:r>
      <w:r w:rsidRPr="00D10943">
        <w:rPr>
          <w:rFonts w:ascii="Times New Roman" w:hAnsi="Times New Roman" w:cs="Times New Roman"/>
          <w:color w:val="000000"/>
          <w:sz w:val="24"/>
          <w:szCs w:val="24"/>
        </w:rPr>
        <w:t xml:space="preserve">P&lt;0.01 and </w:t>
      </w:r>
      <w:r w:rsidRPr="00D10943">
        <w:rPr>
          <w:rFonts w:ascii="Times New Roman" w:hAnsi="Times New Roman" w:cs="Times New Roman"/>
          <w:i/>
          <w:iCs/>
          <w:color w:val="000000"/>
          <w:sz w:val="24"/>
          <w:szCs w:val="24"/>
        </w:rPr>
        <w:t>***</w:t>
      </w:r>
      <w:r w:rsidRPr="00D10943">
        <w:rPr>
          <w:rFonts w:ascii="Times New Roman" w:hAnsi="Times New Roman" w:cs="Times New Roman"/>
          <w:color w:val="000000"/>
          <w:sz w:val="24"/>
          <w:szCs w:val="24"/>
        </w:rPr>
        <w:t>P&lt;0.001.</w:t>
      </w:r>
    </w:p>
    <w:p w14:paraId="5E4BE997" w14:textId="46318F52" w:rsidR="000F1607" w:rsidRPr="00D10943" w:rsidRDefault="00980E49" w:rsidP="000F1607">
      <w:pPr>
        <w:spacing w:after="0" w:line="48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14:anchorId="536ECB2C" wp14:editId="5C7DF105">
            <wp:extent cx="3310255" cy="6245225"/>
            <wp:effectExtent l="0" t="0" r="444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0255" cy="6245225"/>
                    </a:xfrm>
                    <a:prstGeom prst="rect">
                      <a:avLst/>
                    </a:prstGeom>
                    <a:noFill/>
                    <a:ln>
                      <a:noFill/>
                    </a:ln>
                  </pic:spPr>
                </pic:pic>
              </a:graphicData>
            </a:graphic>
          </wp:inline>
        </w:drawing>
      </w:r>
    </w:p>
    <w:p w14:paraId="214D3460" w14:textId="77777777" w:rsidR="000F1607" w:rsidRPr="00D10943" w:rsidRDefault="000F1607" w:rsidP="000F1607">
      <w:pPr>
        <w:spacing w:after="0" w:line="480" w:lineRule="auto"/>
        <w:rPr>
          <w:rFonts w:ascii="Times New Roman" w:hAnsi="Times New Roman" w:cs="Times New Roman"/>
          <w:color w:val="000000"/>
          <w:sz w:val="24"/>
          <w:szCs w:val="24"/>
        </w:rPr>
      </w:pPr>
      <w:r w:rsidRPr="00D10943">
        <w:rPr>
          <w:rFonts w:ascii="Times New Roman" w:hAnsi="Times New Roman" w:cs="Times New Roman"/>
          <w:b/>
          <w:bCs/>
          <w:color w:val="000000"/>
          <w:sz w:val="24"/>
          <w:szCs w:val="24"/>
        </w:rPr>
        <w:t>Supplemental Figure S5.</w:t>
      </w:r>
      <w:r w:rsidRPr="00D10943">
        <w:rPr>
          <w:rFonts w:ascii="Times New Roman" w:hAnsi="Times New Roman" w:cs="Times New Roman"/>
          <w:color w:val="000000"/>
          <w:sz w:val="24"/>
          <w:szCs w:val="24"/>
        </w:rPr>
        <w:t xml:space="preserve"> Heatmap clustering of the serum metabolomics in the mice subjected to vehicle or CA treatment. A = control + vehicle group; B = control + CA group; C = T1DM + vehicle group; D = T1MD + CA group.</w:t>
      </w:r>
    </w:p>
    <w:p w14:paraId="21B5AF63" w14:textId="77777777" w:rsidR="00113845" w:rsidRPr="000F1607" w:rsidRDefault="00113845"/>
    <w:sectPr w:rsidR="00113845" w:rsidRPr="000F1607">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878"/>
    <w:rsid w:val="000F1607"/>
    <w:rsid w:val="00113845"/>
    <w:rsid w:val="00153878"/>
    <w:rsid w:val="00980E49"/>
    <w:rsid w:val="00C56193"/>
  </w:rsids>
  <m:mathPr>
    <m:mathFont m:val="Cambria Math"/>
    <m:brkBin m:val="before"/>
    <m:brkBinSub m:val="--"/>
    <m:smallFrac m:val="0"/>
    <m:dispDef/>
    <m:lMargin m:val="0"/>
    <m:rMargin m:val="0"/>
    <m:defJc m:val="centerGroup"/>
    <m:wrapIndent m:val="1440"/>
    <m:intLim m:val="subSup"/>
    <m:naryLim m:val="undOvr"/>
  </m:mathPr>
  <w:themeFontLang w:val="en-HK"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611ED"/>
  <w15:chartTrackingRefBased/>
  <w15:docId w15:val="{77CDE4A4-5E2C-42B5-AE20-CCE000A18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16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607"/>
    <w:rPr>
      <w:rFonts w:ascii="Segoe UI" w:hAnsi="Segoe UI" w:cs="Segoe UI"/>
      <w:sz w:val="18"/>
      <w:szCs w:val="18"/>
    </w:rPr>
  </w:style>
  <w:style w:type="character" w:styleId="CommentReference">
    <w:name w:val="annotation reference"/>
    <w:basedOn w:val="DefaultParagraphFont"/>
    <w:uiPriority w:val="99"/>
    <w:semiHidden/>
    <w:unhideWhenUsed/>
    <w:rsid w:val="000F1607"/>
    <w:rPr>
      <w:sz w:val="21"/>
      <w:szCs w:val="21"/>
    </w:rPr>
  </w:style>
  <w:style w:type="paragraph" w:styleId="CommentText">
    <w:name w:val="annotation text"/>
    <w:basedOn w:val="Normal"/>
    <w:link w:val="CommentTextChar"/>
    <w:uiPriority w:val="99"/>
    <w:semiHidden/>
    <w:unhideWhenUsed/>
    <w:rsid w:val="000F1607"/>
    <w:rPr>
      <w:lang w:val="en-HK"/>
    </w:rPr>
  </w:style>
  <w:style w:type="character" w:customStyle="1" w:styleId="CommentTextChar">
    <w:name w:val="Comment Text Char"/>
    <w:basedOn w:val="DefaultParagraphFont"/>
    <w:link w:val="CommentText"/>
    <w:uiPriority w:val="99"/>
    <w:semiHidden/>
    <w:rsid w:val="000F1607"/>
    <w:rPr>
      <w:lang w:val="en-H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10" Type="http://schemas.openxmlformats.org/officeDocument/2006/relationships/theme" Target="theme/theme1.xml"/><Relationship Id="rId4" Type="http://schemas.openxmlformats.org/officeDocument/2006/relationships/image" Target="media/image1.tif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323</Words>
  <Characters>1844</Characters>
  <Application>Microsoft Office Word</Application>
  <DocSecurity>0</DocSecurity>
  <Lines>15</Lines>
  <Paragraphs>4</Paragraphs>
  <ScaleCrop>false</ScaleCrop>
  <Company/>
  <LinksUpToDate>false</LinksUpToDate>
  <CharactersWithSpaces>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作者</dc:creator>
  <cp:keywords/>
  <dc:description/>
  <cp:lastModifiedBy>作者</cp:lastModifiedBy>
  <cp:revision>4</cp:revision>
  <dcterms:created xsi:type="dcterms:W3CDTF">2020-12-02T06:55:00Z</dcterms:created>
  <dcterms:modified xsi:type="dcterms:W3CDTF">2020-12-02T06:57:00Z</dcterms:modified>
</cp:coreProperties>
</file>