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F0D94" w14:textId="77777777" w:rsidR="00F50712" w:rsidRPr="00475C88" w:rsidRDefault="00F50712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  <w:r w:rsidRPr="0055088C">
        <w:rPr>
          <w:rFonts w:eastAsia="DengXian"/>
          <w:b/>
          <w:kern w:val="0"/>
          <w:sz w:val="20"/>
          <w:szCs w:val="20"/>
        </w:rPr>
        <w:t>Supplemental Table 1</w:t>
      </w:r>
      <w:r w:rsidRPr="00475C88">
        <w:rPr>
          <w:rFonts w:eastAsia="DengXian"/>
          <w:kern w:val="0"/>
          <w:sz w:val="20"/>
          <w:szCs w:val="20"/>
        </w:rPr>
        <w:t xml:space="preserve"> Genetic (G) and environmental (E) factors 2*4 fork analysis.</w:t>
      </w:r>
    </w:p>
    <w:tbl>
      <w:tblPr>
        <w:tblStyle w:val="TableGrid"/>
        <w:tblW w:w="8640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3"/>
        <w:gridCol w:w="709"/>
        <w:gridCol w:w="993"/>
        <w:gridCol w:w="2264"/>
        <w:gridCol w:w="2262"/>
      </w:tblGrid>
      <w:tr w:rsidR="00F50712" w:rsidRPr="00475C88" w14:paraId="662596B9" w14:textId="77777777" w:rsidTr="00D82FA3"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98A8E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</w:t>
            </w:r>
            <w:r w:rsidRPr="00475C88">
              <w:rPr>
                <w:rFonts w:eastAsia="DengXi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9574DA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E</w:t>
            </w:r>
            <w:r w:rsidRPr="00475C88">
              <w:rPr>
                <w:rFonts w:eastAsia="DengXi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B08020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Case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30168D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Control</w:t>
            </w:r>
          </w:p>
        </w:tc>
        <w:tc>
          <w:tcPr>
            <w:tcW w:w="226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4DE11A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 xml:space="preserve">OR (95%CI); </w:t>
            </w:r>
            <w:r w:rsidRPr="00475C88">
              <w:rPr>
                <w:rFonts w:eastAsia="DengXian"/>
                <w:i/>
                <w:iCs/>
                <w:sz w:val="20"/>
                <w:szCs w:val="20"/>
              </w:rPr>
              <w:t>P</w:t>
            </w:r>
            <w:r>
              <w:rPr>
                <w:rFonts w:eastAsia="DengXian" w:hint="eastAsia"/>
                <w:sz w:val="20"/>
                <w:szCs w:val="20"/>
              </w:rPr>
              <w:t>-</w:t>
            </w:r>
            <w:r w:rsidRPr="00475C88">
              <w:rPr>
                <w:rFonts w:eastAsia="DengXian"/>
                <w:sz w:val="20"/>
                <w:szCs w:val="20"/>
              </w:rPr>
              <w:t>value</w:t>
            </w:r>
          </w:p>
        </w:tc>
        <w:tc>
          <w:tcPr>
            <w:tcW w:w="226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57821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Reflecting information</w:t>
            </w:r>
          </w:p>
        </w:tc>
      </w:tr>
      <w:tr w:rsidR="00F50712" w:rsidRPr="00475C88" w14:paraId="21CFC745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41B2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AA vs. GG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2D99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Smoking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41A28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053C3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4E3A04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6B89D57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F50712" w:rsidRPr="00475C88" w14:paraId="559899DE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C780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CBAD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69BB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09C9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40FE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1.74(0.54, 5.57); 0.347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373A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G, E combined effect</w:t>
            </w:r>
          </w:p>
        </w:tc>
      </w:tr>
      <w:tr w:rsidR="00F50712" w:rsidRPr="00475C88" w14:paraId="2F895185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3CF8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CA3B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1762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D90E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BC6C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bCs/>
                <w:color w:val="000000"/>
                <w:sz w:val="20"/>
                <w:szCs w:val="20"/>
              </w:rPr>
              <w:t xml:space="preserve"> 1.95(0.74, 5.14); 0.170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4C1B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 alone effect</w:t>
            </w:r>
          </w:p>
        </w:tc>
      </w:tr>
      <w:tr w:rsidR="00F50712" w:rsidRPr="00475C88" w14:paraId="36E4CC44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9177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6C46A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A0494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E752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93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1861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0.88(0.61, 1.28); 0.508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275F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E alone effect</w:t>
            </w:r>
          </w:p>
        </w:tc>
      </w:tr>
      <w:tr w:rsidR="00F50712" w:rsidRPr="00475C88" w14:paraId="3018D336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D1B7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30750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C373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E4D50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206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8A8DD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1.00 (reference)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305F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Common control</w:t>
            </w:r>
          </w:p>
        </w:tc>
      </w:tr>
      <w:tr w:rsidR="00F50712" w:rsidRPr="00475C88" w14:paraId="75C6DCC7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B8978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GA vs. GG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5AC0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Smoking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25E79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32F55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8FA976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108FC00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F50712" w:rsidRPr="00475C88" w14:paraId="1208779F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0B16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1D67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C7EB8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6589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47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B3C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b/>
                <w:bCs/>
                <w:sz w:val="20"/>
                <w:szCs w:val="20"/>
              </w:rPr>
            </w:pPr>
            <w:r w:rsidRPr="00475C88">
              <w:rPr>
                <w:rFonts w:eastAsia="DengXian"/>
                <w:b/>
                <w:bCs/>
                <w:sz w:val="20"/>
                <w:szCs w:val="20"/>
              </w:rPr>
              <w:t>1.58(1.03, 2.44); 0.037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BD7F4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G, E combined effect</w:t>
            </w:r>
          </w:p>
        </w:tc>
      </w:tr>
      <w:tr w:rsidR="00F50712" w:rsidRPr="00475C88" w14:paraId="2802FEAB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1C94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3A3A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AF97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221D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74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9822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color w:val="000000"/>
                <w:sz w:val="20"/>
                <w:szCs w:val="20"/>
              </w:rPr>
              <w:t xml:space="preserve"> 1.16(0.79, 1.70); 0.459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424C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 alone effect</w:t>
            </w:r>
          </w:p>
        </w:tc>
      </w:tr>
      <w:tr w:rsidR="00F50712" w:rsidRPr="00475C88" w14:paraId="3D6F56BE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0B7F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D7FE0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FA0B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5A5B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93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2FC0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0.88(0.61, 1.28); 0.508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C5CC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E alone effect</w:t>
            </w:r>
          </w:p>
        </w:tc>
      </w:tr>
      <w:tr w:rsidR="00F50712" w:rsidRPr="00475C88" w14:paraId="398A3BAA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8FD0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D01C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A8E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25514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206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6B6F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1.00 (reference)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B4E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Common control</w:t>
            </w:r>
          </w:p>
        </w:tc>
      </w:tr>
      <w:tr w:rsidR="00F50712" w:rsidRPr="00475C88" w14:paraId="5985700C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FCDB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AA vs. GG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2A61D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Drinking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4B83D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0CEE9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52A3F3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0C826CD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F50712" w:rsidRPr="00475C88" w14:paraId="6F62DC64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8539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B18B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067D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BAB7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D0B2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2.00(0.69, 5.75); 0.193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2CA9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G, E combined effect</w:t>
            </w:r>
          </w:p>
        </w:tc>
      </w:tr>
      <w:tr w:rsidR="00F50712" w:rsidRPr="00475C88" w14:paraId="71638560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DEAE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A7704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4A40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576A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519B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bCs/>
                <w:sz w:val="20"/>
                <w:szCs w:val="20"/>
              </w:rPr>
            </w:pPr>
            <w:r w:rsidRPr="00475C88">
              <w:rPr>
                <w:rFonts w:eastAsia="DengXian"/>
                <w:color w:val="000000"/>
                <w:sz w:val="20"/>
                <w:szCs w:val="20"/>
              </w:rPr>
              <w:t xml:space="preserve"> </w:t>
            </w:r>
            <w:r w:rsidRPr="00475C88">
              <w:rPr>
                <w:rFonts w:eastAsia="DengXian"/>
                <w:sz w:val="20"/>
                <w:szCs w:val="20"/>
              </w:rPr>
              <w:t>2.00(0.69, 5.75); 0.193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94F4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 alone effect</w:t>
            </w:r>
          </w:p>
        </w:tc>
      </w:tr>
      <w:tr w:rsidR="00F50712" w:rsidRPr="00475C88" w14:paraId="6CBC63A1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0964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1287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AF3F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E192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126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8DA5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bCs/>
                <w:sz w:val="20"/>
                <w:szCs w:val="20"/>
              </w:rPr>
            </w:pPr>
            <w:r w:rsidRPr="00475C88">
              <w:rPr>
                <w:rFonts w:eastAsia="DengXian"/>
                <w:bCs/>
                <w:sz w:val="20"/>
                <w:szCs w:val="20"/>
              </w:rPr>
              <w:t>1.08(0.76, 1.52); 0.673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E2E1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E alone effect</w:t>
            </w:r>
          </w:p>
        </w:tc>
      </w:tr>
      <w:tr w:rsidR="00F50712" w:rsidRPr="00475C88" w14:paraId="5C76B495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707C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034E7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602E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9F8F6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173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0D34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1.00 (reference)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52EF2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Common control</w:t>
            </w:r>
          </w:p>
        </w:tc>
      </w:tr>
      <w:tr w:rsidR="00F50712" w:rsidRPr="00475C88" w14:paraId="6B0F1B3A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A9A9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GA vs. GG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939E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Drinking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FED20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CBDCC4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2E1019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D0745D8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</w:p>
        </w:tc>
      </w:tr>
      <w:tr w:rsidR="00F50712" w:rsidRPr="00475C88" w14:paraId="743F26BB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473E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289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4906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9D8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41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A605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b/>
                <w:bCs/>
                <w:sz w:val="20"/>
                <w:szCs w:val="20"/>
              </w:rPr>
              <w:t>1.66(1.04, 2.65); 0.035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00C27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G, E combined effect</w:t>
            </w:r>
          </w:p>
        </w:tc>
      </w:tr>
      <w:tr w:rsidR="00F50712" w:rsidRPr="00475C88" w14:paraId="311EDD42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DC9C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3664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8BE5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9E63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0CB8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1.30(0.88, 1.91); 0.186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DD3B1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G alone effect</w:t>
            </w:r>
          </w:p>
        </w:tc>
      </w:tr>
      <w:tr w:rsidR="00F50712" w:rsidRPr="00475C88" w14:paraId="63754758" w14:textId="77777777" w:rsidTr="00D82FA3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AEA0C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1834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55DF4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257D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126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FE8A3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bCs/>
                <w:sz w:val="20"/>
                <w:szCs w:val="20"/>
              </w:rPr>
              <w:t>1.08(0.76, 1.52); 0.673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C646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E alone effect</w:t>
            </w:r>
          </w:p>
        </w:tc>
      </w:tr>
      <w:tr w:rsidR="00F50712" w:rsidRPr="00475C88" w14:paraId="4DA62969" w14:textId="77777777" w:rsidTr="00D82FA3"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3ED915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71AB37F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6650A2B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43F759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173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3750878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1.00 (reference)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BD2B63E" w14:textId="77777777" w:rsidR="00F50712" w:rsidRPr="00475C88" w:rsidRDefault="00F50712" w:rsidP="00D82FA3">
            <w:pPr>
              <w:widowControl/>
              <w:jc w:val="center"/>
              <w:rPr>
                <w:rFonts w:eastAsia="DengXian"/>
                <w:sz w:val="20"/>
                <w:szCs w:val="20"/>
              </w:rPr>
            </w:pPr>
            <w:r w:rsidRPr="00475C88">
              <w:rPr>
                <w:rFonts w:eastAsia="DengXian"/>
                <w:sz w:val="20"/>
                <w:szCs w:val="20"/>
              </w:rPr>
              <w:t>Common control</w:t>
            </w:r>
          </w:p>
        </w:tc>
      </w:tr>
    </w:tbl>
    <w:p w14:paraId="7A8F8685" w14:textId="77777777" w:rsidR="00F50712" w:rsidRPr="00475C88" w:rsidRDefault="00F50712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  <w:r w:rsidRPr="00475C88">
        <w:rPr>
          <w:rFonts w:eastAsia="DengXian"/>
          <w:kern w:val="0"/>
          <w:sz w:val="20"/>
          <w:szCs w:val="20"/>
          <w:vertAlign w:val="superscript"/>
        </w:rPr>
        <w:t xml:space="preserve">a </w:t>
      </w:r>
      <w:r w:rsidRPr="00475C88">
        <w:rPr>
          <w:rFonts w:eastAsia="DengXian"/>
          <w:kern w:val="0"/>
          <w:sz w:val="20"/>
          <w:szCs w:val="20"/>
        </w:rPr>
        <w:t>G (+): TIMD-4 rs7700994 variants (Heterozygous or homozygous); G (-): wild type</w:t>
      </w:r>
    </w:p>
    <w:p w14:paraId="6F28934D" w14:textId="33EF83C7" w:rsidR="00F50712" w:rsidRPr="00475C88" w:rsidRDefault="00F50712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  <w:r w:rsidRPr="00475C88">
        <w:rPr>
          <w:rFonts w:eastAsia="DengXian"/>
          <w:kern w:val="0"/>
          <w:sz w:val="20"/>
          <w:szCs w:val="20"/>
          <w:vertAlign w:val="superscript"/>
        </w:rPr>
        <w:t xml:space="preserve">b </w:t>
      </w:r>
      <w:r w:rsidRPr="00475C88">
        <w:rPr>
          <w:rFonts w:eastAsia="DengXian"/>
          <w:kern w:val="0"/>
          <w:sz w:val="20"/>
          <w:szCs w:val="20"/>
        </w:rPr>
        <w:t>E (+): smoking/</w:t>
      </w:r>
      <w:r w:rsidR="0046392F">
        <w:rPr>
          <w:rFonts w:eastAsia="DengXian" w:hint="eastAsia"/>
          <w:kern w:val="0"/>
          <w:sz w:val="20"/>
          <w:szCs w:val="20"/>
        </w:rPr>
        <w:t>drinking</w:t>
      </w:r>
      <w:r w:rsidRPr="00475C88">
        <w:rPr>
          <w:rFonts w:eastAsia="DengXian"/>
          <w:kern w:val="0"/>
          <w:sz w:val="20"/>
          <w:szCs w:val="20"/>
        </w:rPr>
        <w:t>; E (-): non-smoking/non-drinking</w:t>
      </w:r>
    </w:p>
    <w:p w14:paraId="02A7DBE6" w14:textId="4868881F" w:rsidR="00F50712" w:rsidRDefault="00F50712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  <w:r w:rsidRPr="00475C88">
        <w:rPr>
          <w:rFonts w:eastAsia="DengXian"/>
          <w:kern w:val="0"/>
          <w:sz w:val="20"/>
          <w:szCs w:val="20"/>
        </w:rPr>
        <w:t>Bold values are statistically significant (</w:t>
      </w:r>
      <w:r w:rsidRPr="007E00DC">
        <w:rPr>
          <w:rFonts w:eastAsia="DengXian"/>
          <w:i/>
          <w:iCs/>
          <w:kern w:val="0"/>
          <w:sz w:val="20"/>
          <w:szCs w:val="20"/>
        </w:rPr>
        <w:t>P</w:t>
      </w:r>
      <w:r w:rsidRPr="00475C88">
        <w:rPr>
          <w:rFonts w:eastAsia="DengXian"/>
          <w:kern w:val="0"/>
          <w:sz w:val="20"/>
          <w:szCs w:val="20"/>
        </w:rPr>
        <w:t xml:space="preserve"> &lt; 0.05).</w:t>
      </w:r>
    </w:p>
    <w:p w14:paraId="6D3ADE42" w14:textId="066D7162" w:rsidR="0055088C" w:rsidRDefault="0055088C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</w:p>
    <w:p w14:paraId="2FA36331" w14:textId="2A21172F" w:rsidR="0055088C" w:rsidRDefault="0055088C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</w:p>
    <w:p w14:paraId="52832B62" w14:textId="0D24291E" w:rsidR="0055088C" w:rsidRDefault="0055088C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</w:p>
    <w:p w14:paraId="3F4A278F" w14:textId="1ADC739D" w:rsidR="0055088C" w:rsidRDefault="0055088C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</w:p>
    <w:p w14:paraId="164C1FA3" w14:textId="01665C47" w:rsidR="0055088C" w:rsidRDefault="0055088C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</w:p>
    <w:p w14:paraId="4EEEBBC6" w14:textId="77777777" w:rsidR="0055088C" w:rsidRPr="00475C88" w:rsidRDefault="0055088C" w:rsidP="00F50712">
      <w:pPr>
        <w:widowControl/>
        <w:spacing w:line="256" w:lineRule="auto"/>
        <w:jc w:val="left"/>
        <w:rPr>
          <w:rFonts w:eastAsia="DengXian"/>
          <w:kern w:val="0"/>
          <w:sz w:val="20"/>
          <w:szCs w:val="20"/>
        </w:rPr>
      </w:pPr>
    </w:p>
    <w:p w14:paraId="6683ABAA" w14:textId="0FF018CD" w:rsidR="005C749B" w:rsidRDefault="0055088C">
      <w:r>
        <w:rPr>
          <w:noProof/>
        </w:rPr>
        <w:lastRenderedPageBreak/>
        <w:drawing>
          <wp:inline distT="0" distB="0" distL="0" distR="0" wp14:anchorId="55224396" wp14:editId="57007A81">
            <wp:extent cx="5274310" cy="2718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3D55" w14:textId="215EAD70" w:rsidR="0055088C" w:rsidRPr="0055088C" w:rsidRDefault="0055088C">
      <w:pPr>
        <w:rPr>
          <w:b/>
          <w:bCs/>
        </w:rPr>
      </w:pPr>
    </w:p>
    <w:p w14:paraId="3D794836" w14:textId="1606767A" w:rsidR="0055088C" w:rsidRPr="0055088C" w:rsidRDefault="0055088C" w:rsidP="0055088C">
      <w:r w:rsidRPr="0055088C">
        <w:rPr>
          <w:b/>
          <w:bCs/>
        </w:rPr>
        <w:t>Supplemental figure 1.</w:t>
      </w:r>
      <w:r w:rsidRPr="0055088C">
        <w:t xml:space="preserve"> TIMD-4 interactions with other genes obtained from the String server. The following genes participate in gene-gene interactions: BAI-1, Adhesion G protein-coupled receptor B1; MFGE8, </w:t>
      </w:r>
      <w:proofErr w:type="spellStart"/>
      <w:r w:rsidRPr="0055088C">
        <w:t>Lactadherin</w:t>
      </w:r>
      <w:proofErr w:type="spellEnd"/>
      <w:r w:rsidRPr="0055088C">
        <w:t xml:space="preserve">; STAB2, Stabilin-2; GAS6, Growth arrest-specific protein 6; JMJD6, Bifunctional arginine demethylase and </w:t>
      </w:r>
      <w:proofErr w:type="spellStart"/>
      <w:r w:rsidRPr="0055088C">
        <w:t>lysylhydroxylase</w:t>
      </w:r>
      <w:proofErr w:type="spellEnd"/>
      <w:r w:rsidRPr="0055088C">
        <w:t xml:space="preserve"> JMJD6; CD300LB, CMRF35-like molecule 7; PPP1R3B, Protein phosphatase 1 regulatory subunit 3B; MERTK, Tyrosine-protein kinase Mer; PPP1R8, Nuclear inhibitor of protein phosphatase 1; CMYA5, Cardiomyopathy-associated protein 5</w:t>
      </w:r>
      <w:r>
        <w:t>.</w:t>
      </w:r>
    </w:p>
    <w:p w14:paraId="48306712" w14:textId="77777777" w:rsidR="0055088C" w:rsidRPr="00F50712" w:rsidRDefault="0055088C"/>
    <w:sectPr w:rsidR="0055088C" w:rsidRPr="00F50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C9EFC" w14:textId="77777777" w:rsidR="00E57CE3" w:rsidRDefault="00E57CE3" w:rsidP="00596677">
      <w:r>
        <w:separator/>
      </w:r>
    </w:p>
  </w:endnote>
  <w:endnote w:type="continuationSeparator" w:id="0">
    <w:p w14:paraId="3BC02245" w14:textId="77777777" w:rsidR="00E57CE3" w:rsidRDefault="00E57CE3" w:rsidP="005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328A6" w14:textId="77777777" w:rsidR="00E57CE3" w:rsidRDefault="00E57CE3" w:rsidP="00596677">
      <w:r>
        <w:separator/>
      </w:r>
    </w:p>
  </w:footnote>
  <w:footnote w:type="continuationSeparator" w:id="0">
    <w:p w14:paraId="05073814" w14:textId="77777777" w:rsidR="00E57CE3" w:rsidRDefault="00E57CE3" w:rsidP="0059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9B"/>
    <w:rsid w:val="002D72B1"/>
    <w:rsid w:val="0046392F"/>
    <w:rsid w:val="0055088C"/>
    <w:rsid w:val="00596677"/>
    <w:rsid w:val="005C749B"/>
    <w:rsid w:val="007E00DC"/>
    <w:rsid w:val="00E57CE3"/>
    <w:rsid w:val="00F5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370D27"/>
  <w15:chartTrackingRefBased/>
  <w15:docId w15:val="{14C8B513-A7C9-4B40-87F5-B15E3CA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712"/>
    <w:pPr>
      <w:widowControl w:val="0"/>
      <w:jc w:val="both"/>
    </w:pPr>
    <w:rPr>
      <w:rFonts w:ascii="Times New Roman" w:eastAsia="SimSu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712"/>
    <w:rPr>
      <w:rFonts w:ascii="Calibri" w:eastAsia="Times New Roman" w:hAnsi="Calibri" w:cs="Times New Roman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6677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6677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727633793@qq.com</dc:creator>
  <cp:keywords/>
  <dc:description/>
  <cp:lastModifiedBy>Boon Lee</cp:lastModifiedBy>
  <cp:revision>2</cp:revision>
  <dcterms:created xsi:type="dcterms:W3CDTF">2021-01-27T22:50:00Z</dcterms:created>
  <dcterms:modified xsi:type="dcterms:W3CDTF">2021-01-27T22:50:00Z</dcterms:modified>
</cp:coreProperties>
</file>