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36" w:rsidRDefault="00BB1536" w:rsidP="00BB1536">
      <w:pPr>
        <w:rPr>
          <w:b/>
        </w:rPr>
      </w:pPr>
    </w:p>
    <w:p w:rsidR="00BB1536" w:rsidRDefault="00BB1536" w:rsidP="00BB1536">
      <w:r w:rsidRPr="00F12355">
        <w:rPr>
          <w:b/>
        </w:rPr>
        <w:t>Supplementary Table 1.</w:t>
      </w:r>
      <w:r>
        <w:t xml:space="preserve"> Ratings of the severity (1 = absent, 2 = slight, 3 = moderate, 4 = severe) of symptoms from the headache and eye strain scale reported at the end of each night shift for the two lighting conditions. </w:t>
      </w:r>
    </w:p>
    <w:p w:rsidR="00BB1536" w:rsidRDefault="00BB1536" w:rsidP="00BB15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377"/>
      </w:tblGrid>
      <w:tr w:rsidR="00BB1536" w:rsidRPr="005D0B33" w:rsidTr="00370929">
        <w:trPr>
          <w:trHeight w:val="698"/>
        </w:trPr>
        <w:tc>
          <w:tcPr>
            <w:tcW w:w="2943" w:type="dxa"/>
            <w:tcBorders>
              <w:left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bCs/>
                <w:color w:val="000000"/>
                <w:szCs w:val="20"/>
              </w:rPr>
            </w:pPr>
            <w:r w:rsidRPr="005D0B33">
              <w:rPr>
                <w:rFonts w:eastAsia="MS Mincho" w:cs="Arial"/>
                <w:b/>
                <w:bCs/>
                <w:color w:val="000000"/>
                <w:szCs w:val="20"/>
              </w:rPr>
              <w:t>Symptom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szCs w:val="20"/>
              </w:rPr>
            </w:pPr>
            <w:r w:rsidRPr="005D0B33">
              <w:rPr>
                <w:rFonts w:eastAsia="MS Mincho" w:cs="Arial"/>
                <w:b/>
                <w:szCs w:val="20"/>
              </w:rPr>
              <w:t>Traditional lighting</w:t>
            </w:r>
          </w:p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szCs w:val="20"/>
              </w:rPr>
            </w:pPr>
            <w:r w:rsidRPr="005D0B33">
              <w:rPr>
                <w:rFonts w:eastAsia="MS Mincho" w:cs="Arial"/>
                <w:b/>
                <w:szCs w:val="20"/>
              </w:rPr>
              <w:t xml:space="preserve">Mean </w:t>
            </w:r>
            <w:r w:rsidRPr="005D0B33">
              <w:rPr>
                <w:rFonts w:eastAsia="MS Mincho" w:cs="Arial"/>
                <w:b/>
                <w:color w:val="000000"/>
                <w:szCs w:val="20"/>
              </w:rPr>
              <w:t>± SD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szCs w:val="20"/>
              </w:rPr>
            </w:pPr>
            <w:r w:rsidRPr="005D0B33">
              <w:rPr>
                <w:rFonts w:eastAsia="MS Mincho" w:cs="Arial"/>
                <w:b/>
                <w:szCs w:val="20"/>
              </w:rPr>
              <w:t>Intervention lighting</w:t>
            </w:r>
          </w:p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szCs w:val="20"/>
              </w:rPr>
            </w:pPr>
            <w:r w:rsidRPr="005D0B33">
              <w:rPr>
                <w:rFonts w:eastAsia="MS Mincho" w:cs="Arial"/>
                <w:b/>
                <w:szCs w:val="20"/>
              </w:rPr>
              <w:t xml:space="preserve">Mean </w:t>
            </w:r>
            <w:r w:rsidRPr="005D0B33">
              <w:rPr>
                <w:rFonts w:eastAsia="MS Mincho" w:cs="Arial"/>
                <w:b/>
                <w:color w:val="000000"/>
                <w:szCs w:val="20"/>
              </w:rPr>
              <w:t>± SD</w:t>
            </w:r>
          </w:p>
        </w:tc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b/>
                <w:szCs w:val="20"/>
              </w:rPr>
            </w:pPr>
            <w:r w:rsidRPr="005D0B33">
              <w:rPr>
                <w:rFonts w:eastAsia="MS Mincho" w:cs="Arial"/>
                <w:b/>
                <w:szCs w:val="20"/>
              </w:rPr>
              <w:t>p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Irritability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1.48 ± 0.56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1.56 ± 0.71</w:t>
            </w:r>
          </w:p>
        </w:tc>
        <w:tc>
          <w:tcPr>
            <w:tcW w:w="137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0.667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Headache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1.28 ± 0.45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1.24 ± 0.35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0.731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Eye strain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1.98 ± 0.56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1.74 ± 0.66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0.152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General eye discomfort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2.04 ± 0.60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1.78 ± 0.74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0.152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Eye fatigue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2.20 ± 0.62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2.00 ± 0.62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0.282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Difficulty focusing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1.76 ± 0.58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1.56 ± 0.74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0.234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Difficulty concentrating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1.80 ± 0.67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1.52 ± 0.58</w:t>
            </w: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0.026</w:t>
            </w:r>
          </w:p>
        </w:tc>
      </w:tr>
      <w:tr w:rsidR="00BB1536" w:rsidRPr="005D0B33" w:rsidTr="00370929">
        <w:trPr>
          <w:trHeight w:val="462"/>
        </w:trPr>
        <w:tc>
          <w:tcPr>
            <w:tcW w:w="294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bCs/>
                <w:color w:val="000000"/>
                <w:szCs w:val="20"/>
              </w:rPr>
              <w:t>Blurred vision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1.46 ± 0.54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vAlign w:val="center"/>
          </w:tcPr>
          <w:p w:rsidR="00BB1536" w:rsidRPr="005D0B33" w:rsidRDefault="00BB1536" w:rsidP="00370929">
            <w:pPr>
              <w:spacing w:line="240" w:lineRule="auto"/>
              <w:rPr>
                <w:rFonts w:eastAsia="MS Mincho" w:cs="Arial"/>
                <w:szCs w:val="20"/>
              </w:rPr>
            </w:pPr>
            <w:r w:rsidRPr="005D0B33">
              <w:rPr>
                <w:rFonts w:eastAsia="MS Mincho" w:cs="Arial"/>
                <w:color w:val="000000"/>
                <w:szCs w:val="20"/>
              </w:rPr>
              <w:t>1.46 ± 0.62</w:t>
            </w:r>
          </w:p>
        </w:tc>
        <w:tc>
          <w:tcPr>
            <w:tcW w:w="137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B1536" w:rsidRPr="00663ABC" w:rsidRDefault="00BB1536" w:rsidP="00370929">
            <w:pPr>
              <w:spacing w:line="240" w:lineRule="auto"/>
              <w:rPr>
                <w:rFonts w:eastAsia="MS Mincho" w:cs="Arial"/>
                <w:color w:val="000000"/>
                <w:szCs w:val="20"/>
              </w:rPr>
            </w:pPr>
            <w:r w:rsidRPr="00663ABC">
              <w:rPr>
                <w:rFonts w:eastAsia="MS Mincho" w:cs="Arial"/>
                <w:color w:val="000000"/>
                <w:sz w:val="18"/>
                <w:szCs w:val="18"/>
              </w:rPr>
              <w:t>1.000</w:t>
            </w:r>
          </w:p>
        </w:tc>
      </w:tr>
    </w:tbl>
    <w:p w:rsidR="00BB1536" w:rsidRDefault="00BB1536">
      <w:bookmarkStart w:id="0" w:name="_GoBack"/>
      <w:bookmarkEnd w:id="0"/>
    </w:p>
    <w:sectPr w:rsidR="00BB1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36"/>
    <w:rsid w:val="00B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60EF"/>
  <w15:chartTrackingRefBased/>
  <w15:docId w15:val="{C5CF9996-30BC-4A65-8E54-D20C70F0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536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BB15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B1536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1536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5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Monash University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Sletten</dc:creator>
  <cp:keywords/>
  <dc:description/>
  <cp:lastModifiedBy>Tracey Sletten</cp:lastModifiedBy>
  <cp:revision>1</cp:revision>
  <dcterms:created xsi:type="dcterms:W3CDTF">2021-02-04T00:50:00Z</dcterms:created>
  <dcterms:modified xsi:type="dcterms:W3CDTF">2021-02-04T00:52:00Z</dcterms:modified>
</cp:coreProperties>
</file>