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098E" w:rsidRPr="00F256F4" w:rsidRDefault="00365811">
      <w:pPr>
        <w:pStyle w:val="Caption"/>
        <w:keepNext/>
        <w:spacing w:before="100" w:beforeAutospacing="1" w:after="100" w:afterAutospacing="1"/>
        <w:rPr>
          <w:rFonts w:ascii="Arial" w:hAnsi="Arial" w:cs="Arial"/>
          <w:i w:val="0"/>
          <w:color w:val="auto"/>
          <w:sz w:val="20"/>
          <w:szCs w:val="20"/>
        </w:rPr>
      </w:pPr>
      <w:r w:rsidRPr="00F256F4">
        <w:rPr>
          <w:rFonts w:ascii="Arial" w:hAnsi="Arial" w:cs="Arial"/>
          <w:b/>
          <w:i w:val="0"/>
          <w:color w:val="auto"/>
          <w:sz w:val="20"/>
          <w:szCs w:val="20"/>
        </w:rPr>
        <w:t>Supplementary</w:t>
      </w:r>
      <w:r w:rsidR="00195196">
        <w:rPr>
          <w:rFonts w:ascii="Arial" w:hAnsi="Arial" w:cs="Arial"/>
          <w:b/>
          <w:i w:val="0"/>
          <w:color w:val="auto"/>
          <w:sz w:val="20"/>
          <w:szCs w:val="20"/>
        </w:rPr>
        <w:t xml:space="preserve"> Table </w:t>
      </w:r>
      <w:r w:rsidRPr="00F256F4">
        <w:rPr>
          <w:rFonts w:ascii="Arial" w:hAnsi="Arial" w:cs="Arial"/>
          <w:b/>
          <w:i w:val="0"/>
          <w:color w:val="auto"/>
          <w:sz w:val="20"/>
          <w:szCs w:val="20"/>
        </w:rPr>
        <w:t xml:space="preserve">S1 </w:t>
      </w:r>
      <w:r w:rsidR="007619AD" w:rsidRPr="00F256F4">
        <w:rPr>
          <w:rFonts w:ascii="Arial" w:hAnsi="Arial" w:cs="Arial"/>
          <w:i w:val="0"/>
          <w:color w:val="auto"/>
          <w:sz w:val="20"/>
          <w:szCs w:val="20"/>
        </w:rPr>
        <w:t>Variables</w:t>
      </w:r>
      <w:r w:rsidR="00195196">
        <w:rPr>
          <w:rFonts w:ascii="Arial" w:hAnsi="Arial" w:cs="Arial"/>
          <w:i w:val="0"/>
          <w:color w:val="auto"/>
          <w:sz w:val="20"/>
          <w:szCs w:val="20"/>
        </w:rPr>
        <w:t xml:space="preserve"> definitions</w:t>
      </w:r>
    </w:p>
    <w:tbl>
      <w:tblPr>
        <w:tblStyle w:val="GridTable1Light"/>
        <w:tblW w:w="5000" w:type="pct"/>
        <w:tblLook w:val="04A0" w:firstRow="1" w:lastRow="0" w:firstColumn="1" w:lastColumn="0" w:noHBand="0" w:noVBand="1"/>
      </w:tblPr>
      <w:tblGrid>
        <w:gridCol w:w="2407"/>
        <w:gridCol w:w="14863"/>
      </w:tblGrid>
      <w:tr w:rsidR="00D8098E" w:rsidRPr="00F256F4" w:rsidTr="004177B6">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697" w:type="pct"/>
            <w:vAlign w:val="center"/>
            <w:hideMark/>
          </w:tcPr>
          <w:p w:rsidR="00D8098E" w:rsidRPr="00F256F4" w:rsidRDefault="007619AD">
            <w:pPr>
              <w:rPr>
                <w:rFonts w:ascii="Arial" w:hAnsi="Arial" w:cs="Arial"/>
                <w:b w:val="0"/>
                <w:sz w:val="20"/>
                <w:szCs w:val="20"/>
              </w:rPr>
            </w:pPr>
            <w:r w:rsidRPr="00F256F4">
              <w:rPr>
                <w:rFonts w:ascii="Arial" w:hAnsi="Arial" w:cs="Arial"/>
                <w:b w:val="0"/>
                <w:sz w:val="20"/>
                <w:szCs w:val="20"/>
              </w:rPr>
              <w:t>Variable</w:t>
            </w:r>
          </w:p>
        </w:tc>
        <w:tc>
          <w:tcPr>
            <w:tcW w:w="4303" w:type="pct"/>
            <w:vAlign w:val="center"/>
            <w:hideMark/>
          </w:tcPr>
          <w:p w:rsidR="00D8098E" w:rsidRPr="00F256F4" w:rsidRDefault="007619AD">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F256F4">
              <w:rPr>
                <w:rFonts w:ascii="Arial" w:hAnsi="Arial" w:cs="Arial"/>
                <w:b w:val="0"/>
                <w:sz w:val="20"/>
                <w:szCs w:val="20"/>
              </w:rPr>
              <w:t>Definition</w:t>
            </w:r>
          </w:p>
        </w:tc>
      </w:tr>
      <w:tr w:rsidR="00D8098E" w:rsidRPr="00F256F4" w:rsidTr="004177B6">
        <w:trPr>
          <w:trHeight w:val="21"/>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rsidR="00D8098E" w:rsidRPr="00F256F4" w:rsidRDefault="007619AD">
            <w:pPr>
              <w:rPr>
                <w:rFonts w:ascii="Arial" w:hAnsi="Arial" w:cs="Arial"/>
                <w:b w:val="0"/>
                <w:i/>
                <w:color w:val="000000"/>
                <w:sz w:val="20"/>
                <w:szCs w:val="20"/>
              </w:rPr>
            </w:pPr>
            <w:r w:rsidRPr="00F256F4">
              <w:rPr>
                <w:rFonts w:ascii="Arial" w:hAnsi="Arial" w:cs="Arial"/>
                <w:b w:val="0"/>
                <w:i/>
                <w:color w:val="000000"/>
                <w:sz w:val="20"/>
                <w:szCs w:val="20"/>
              </w:rPr>
              <w:t>Independent</w:t>
            </w:r>
          </w:p>
        </w:tc>
      </w:tr>
      <w:tr w:rsidR="00D8098E" w:rsidRPr="00F256F4" w:rsidTr="004177B6">
        <w:trPr>
          <w:trHeight w:val="35"/>
        </w:trPr>
        <w:tc>
          <w:tcPr>
            <w:cnfStyle w:val="001000000000" w:firstRow="0" w:lastRow="0" w:firstColumn="1" w:lastColumn="0" w:oddVBand="0" w:evenVBand="0" w:oddHBand="0" w:evenHBand="0" w:firstRowFirstColumn="0" w:firstRowLastColumn="0" w:lastRowFirstColumn="0" w:lastRowLastColumn="0"/>
            <w:tcW w:w="697" w:type="pct"/>
            <w:vAlign w:val="center"/>
            <w:hideMark/>
          </w:tcPr>
          <w:p w:rsidR="00D8098E" w:rsidRPr="00F256F4" w:rsidRDefault="007619AD">
            <w:pPr>
              <w:rPr>
                <w:rFonts w:ascii="Arial" w:hAnsi="Arial" w:cs="Arial"/>
                <w:b w:val="0"/>
                <w:sz w:val="20"/>
                <w:szCs w:val="20"/>
              </w:rPr>
            </w:pPr>
            <w:r w:rsidRPr="00F256F4">
              <w:rPr>
                <w:rFonts w:ascii="Arial" w:hAnsi="Arial" w:cs="Arial"/>
                <w:b w:val="0"/>
                <w:sz w:val="20"/>
                <w:szCs w:val="20"/>
              </w:rPr>
              <w:t>Sex</w:t>
            </w:r>
          </w:p>
        </w:tc>
        <w:tc>
          <w:tcPr>
            <w:tcW w:w="4303" w:type="pct"/>
            <w:vAlign w:val="center"/>
            <w:hideMark/>
          </w:tcPr>
          <w:p w:rsidR="00D8098E" w:rsidRPr="00F256F4" w:rsidRDefault="00761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Gender of the respondent: ‘Male’ vs ‘Female’</w:t>
            </w:r>
          </w:p>
        </w:tc>
      </w:tr>
      <w:tr w:rsidR="00D8098E" w:rsidRPr="00F256F4" w:rsidTr="004177B6">
        <w:trPr>
          <w:trHeight w:val="43"/>
        </w:trPr>
        <w:tc>
          <w:tcPr>
            <w:cnfStyle w:val="001000000000" w:firstRow="0" w:lastRow="0" w:firstColumn="1" w:lastColumn="0" w:oddVBand="0" w:evenVBand="0" w:oddHBand="0" w:evenHBand="0" w:firstRowFirstColumn="0" w:firstRowLastColumn="0" w:lastRowFirstColumn="0" w:lastRowLastColumn="0"/>
            <w:tcW w:w="697" w:type="pct"/>
            <w:vAlign w:val="center"/>
            <w:hideMark/>
          </w:tcPr>
          <w:p w:rsidR="00D8098E" w:rsidRPr="00F256F4" w:rsidRDefault="007619AD">
            <w:pPr>
              <w:rPr>
                <w:rFonts w:ascii="Arial" w:hAnsi="Arial" w:cs="Arial"/>
                <w:b w:val="0"/>
                <w:sz w:val="20"/>
                <w:szCs w:val="20"/>
              </w:rPr>
            </w:pPr>
            <w:r w:rsidRPr="00F256F4">
              <w:rPr>
                <w:rFonts w:ascii="Arial" w:hAnsi="Arial" w:cs="Arial"/>
                <w:b w:val="0"/>
                <w:sz w:val="20"/>
                <w:szCs w:val="20"/>
              </w:rPr>
              <w:t>Age</w:t>
            </w:r>
          </w:p>
        </w:tc>
        <w:tc>
          <w:tcPr>
            <w:tcW w:w="4303" w:type="pct"/>
            <w:vAlign w:val="center"/>
            <w:hideMark/>
          </w:tcPr>
          <w:p w:rsidR="00D8098E" w:rsidRPr="00F256F4" w:rsidRDefault="00761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 xml:space="preserve">Age of each respondent (years): ‘Younger’ vs ‘Older’. The category “younger” refers to those </w:t>
            </w:r>
            <w:r w:rsidR="00FC14E8" w:rsidRPr="00F256F4">
              <w:rPr>
                <w:rFonts w:ascii="Arial" w:hAnsi="Arial" w:cs="Arial"/>
                <w:sz w:val="20"/>
                <w:szCs w:val="20"/>
              </w:rPr>
              <w:t>respondent</w:t>
            </w:r>
            <w:r w:rsidR="0018331D" w:rsidRPr="00F256F4">
              <w:rPr>
                <w:rFonts w:ascii="Arial" w:hAnsi="Arial" w:cs="Arial"/>
                <w:sz w:val="20"/>
                <w:szCs w:val="20"/>
              </w:rPr>
              <w:t xml:space="preserve">s </w:t>
            </w:r>
            <w:r w:rsidR="005406C9" w:rsidRPr="00F256F4">
              <w:rPr>
                <w:rFonts w:ascii="Arial" w:hAnsi="Arial" w:cs="Arial"/>
                <w:sz w:val="20"/>
                <w:szCs w:val="20"/>
              </w:rPr>
              <w:t xml:space="preserve">with </w:t>
            </w:r>
            <w:r w:rsidR="00C80DEE" w:rsidRPr="00F256F4">
              <w:rPr>
                <w:rFonts w:ascii="Arial" w:hAnsi="Arial" w:cs="Arial"/>
                <w:sz w:val="20"/>
                <w:szCs w:val="20"/>
              </w:rPr>
              <w:t>less than</w:t>
            </w:r>
            <w:r w:rsidRPr="00F256F4">
              <w:rPr>
                <w:rFonts w:ascii="Arial" w:hAnsi="Arial" w:cs="Arial"/>
                <w:sz w:val="20"/>
                <w:szCs w:val="20"/>
              </w:rPr>
              <w:t xml:space="preserve"> the m</w:t>
            </w:r>
            <w:r w:rsidR="003C5511" w:rsidRPr="00F256F4">
              <w:rPr>
                <w:rFonts w:ascii="Arial" w:hAnsi="Arial" w:cs="Arial"/>
                <w:sz w:val="20"/>
                <w:szCs w:val="20"/>
              </w:rPr>
              <w:t>ean</w:t>
            </w:r>
            <w:r w:rsidR="00B463D0" w:rsidRPr="00F256F4">
              <w:rPr>
                <w:rFonts w:ascii="Arial" w:hAnsi="Arial" w:cs="Arial"/>
                <w:sz w:val="20"/>
                <w:szCs w:val="20"/>
              </w:rPr>
              <w:t xml:space="preserve"> </w:t>
            </w:r>
            <w:r w:rsidR="0055126B" w:rsidRPr="00F256F4">
              <w:rPr>
                <w:rFonts w:ascii="Arial" w:hAnsi="Arial" w:cs="Arial"/>
                <w:sz w:val="20"/>
                <w:szCs w:val="20"/>
              </w:rPr>
              <w:t>ye</w:t>
            </w:r>
            <w:r w:rsidR="00F315CF" w:rsidRPr="00F256F4">
              <w:rPr>
                <w:rFonts w:ascii="Arial" w:hAnsi="Arial" w:cs="Arial"/>
                <w:sz w:val="20"/>
                <w:szCs w:val="20"/>
              </w:rPr>
              <w:t xml:space="preserve">ars of </w:t>
            </w:r>
            <w:r w:rsidRPr="00F256F4">
              <w:rPr>
                <w:rFonts w:ascii="Arial" w:hAnsi="Arial" w:cs="Arial"/>
                <w:sz w:val="20"/>
                <w:szCs w:val="20"/>
              </w:rPr>
              <w:t>age</w:t>
            </w:r>
            <w:r w:rsidR="00866B62" w:rsidRPr="00F256F4">
              <w:rPr>
                <w:rFonts w:ascii="Arial" w:hAnsi="Arial" w:cs="Arial"/>
                <w:sz w:val="20"/>
                <w:szCs w:val="20"/>
              </w:rPr>
              <w:t xml:space="preserve">, </w:t>
            </w:r>
            <w:r w:rsidR="006E336A" w:rsidRPr="00F256F4">
              <w:rPr>
                <w:rFonts w:ascii="Arial" w:hAnsi="Arial" w:cs="Arial"/>
                <w:sz w:val="20"/>
                <w:szCs w:val="20"/>
              </w:rPr>
              <w:t>while t</w:t>
            </w:r>
            <w:r w:rsidR="00866B62" w:rsidRPr="00F256F4">
              <w:rPr>
                <w:rFonts w:ascii="Arial" w:hAnsi="Arial" w:cs="Arial"/>
                <w:sz w:val="20"/>
                <w:szCs w:val="20"/>
              </w:rPr>
              <w:t xml:space="preserve">he rest considered </w:t>
            </w:r>
            <w:r w:rsidR="00D35A93" w:rsidRPr="00F256F4">
              <w:rPr>
                <w:rFonts w:ascii="Arial" w:hAnsi="Arial" w:cs="Arial"/>
                <w:sz w:val="20"/>
                <w:szCs w:val="20"/>
              </w:rPr>
              <w:t>“older”</w:t>
            </w:r>
          </w:p>
        </w:tc>
      </w:tr>
      <w:tr w:rsidR="00D8098E" w:rsidRPr="00F256F4" w:rsidTr="004177B6">
        <w:trPr>
          <w:trHeight w:val="60"/>
        </w:trPr>
        <w:tc>
          <w:tcPr>
            <w:cnfStyle w:val="001000000000" w:firstRow="0" w:lastRow="0" w:firstColumn="1" w:lastColumn="0" w:oddVBand="0" w:evenVBand="0" w:oddHBand="0" w:evenHBand="0" w:firstRowFirstColumn="0" w:firstRowLastColumn="0" w:lastRowFirstColumn="0" w:lastRowLastColumn="0"/>
            <w:tcW w:w="697" w:type="pct"/>
            <w:vAlign w:val="center"/>
            <w:hideMark/>
          </w:tcPr>
          <w:p w:rsidR="00D8098E" w:rsidRPr="00F256F4" w:rsidRDefault="007619AD">
            <w:pPr>
              <w:rPr>
                <w:rFonts w:ascii="Arial" w:hAnsi="Arial" w:cs="Arial"/>
                <w:b w:val="0"/>
                <w:sz w:val="20"/>
                <w:szCs w:val="20"/>
              </w:rPr>
            </w:pPr>
            <w:r w:rsidRPr="00F256F4">
              <w:rPr>
                <w:rFonts w:ascii="Arial" w:hAnsi="Arial" w:cs="Arial"/>
                <w:b w:val="0"/>
                <w:sz w:val="20"/>
                <w:szCs w:val="20"/>
              </w:rPr>
              <w:t>Marital status</w:t>
            </w:r>
          </w:p>
        </w:tc>
        <w:tc>
          <w:tcPr>
            <w:tcW w:w="4303" w:type="pct"/>
            <w:vAlign w:val="center"/>
            <w:hideMark/>
          </w:tcPr>
          <w:p w:rsidR="00D8098E" w:rsidRPr="00F256F4" w:rsidRDefault="00761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Marital status of the respondent: ‘Never married’ vs ‘Ever married’</w:t>
            </w:r>
          </w:p>
        </w:tc>
      </w:tr>
      <w:tr w:rsidR="00D8098E" w:rsidRPr="00F256F4" w:rsidTr="004177B6">
        <w:trPr>
          <w:trHeight w:val="60"/>
        </w:trPr>
        <w:tc>
          <w:tcPr>
            <w:cnfStyle w:val="001000000000" w:firstRow="0" w:lastRow="0" w:firstColumn="1" w:lastColumn="0" w:oddVBand="0" w:evenVBand="0" w:oddHBand="0" w:evenHBand="0" w:firstRowFirstColumn="0" w:firstRowLastColumn="0" w:lastRowFirstColumn="0" w:lastRowLastColumn="0"/>
            <w:tcW w:w="697" w:type="pct"/>
            <w:vAlign w:val="center"/>
            <w:hideMark/>
          </w:tcPr>
          <w:p w:rsidR="00D8098E" w:rsidRPr="00F256F4" w:rsidRDefault="00365811">
            <w:pPr>
              <w:rPr>
                <w:rFonts w:ascii="Arial" w:hAnsi="Arial" w:cs="Arial"/>
                <w:b w:val="0"/>
                <w:sz w:val="20"/>
                <w:szCs w:val="20"/>
              </w:rPr>
            </w:pPr>
            <w:r w:rsidRPr="00F256F4">
              <w:rPr>
                <w:rFonts w:ascii="Arial" w:hAnsi="Arial" w:cs="Arial"/>
                <w:b w:val="0"/>
                <w:sz w:val="20"/>
                <w:szCs w:val="20"/>
              </w:rPr>
              <w:t>Number of p</w:t>
            </w:r>
            <w:r w:rsidR="006B490A" w:rsidRPr="00F256F4">
              <w:rPr>
                <w:rFonts w:ascii="Arial" w:hAnsi="Arial" w:cs="Arial"/>
                <w:b w:val="0"/>
                <w:sz w:val="20"/>
                <w:szCs w:val="20"/>
              </w:rPr>
              <w:t xml:space="preserve">ersons in </w:t>
            </w:r>
            <w:r w:rsidR="007619AD" w:rsidRPr="00F256F4">
              <w:rPr>
                <w:rFonts w:ascii="Arial" w:hAnsi="Arial" w:cs="Arial"/>
                <w:b w:val="0"/>
                <w:sz w:val="20"/>
                <w:szCs w:val="20"/>
              </w:rPr>
              <w:t>household</w:t>
            </w:r>
          </w:p>
        </w:tc>
        <w:tc>
          <w:tcPr>
            <w:tcW w:w="4303" w:type="pct"/>
            <w:vAlign w:val="center"/>
            <w:hideMark/>
          </w:tcPr>
          <w:p w:rsidR="00D8098E" w:rsidRPr="00F256F4" w:rsidRDefault="00761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Number of family members reported in the household of the respondent (number): ‘Low’ [ie, &lt;mean] vs ‘High’ [ie, ≥mean]</w:t>
            </w:r>
          </w:p>
        </w:tc>
      </w:tr>
      <w:tr w:rsidR="00D8098E" w:rsidRPr="00F256F4" w:rsidTr="004177B6">
        <w:trPr>
          <w:trHeight w:val="35"/>
        </w:trPr>
        <w:tc>
          <w:tcPr>
            <w:cnfStyle w:val="001000000000" w:firstRow="0" w:lastRow="0" w:firstColumn="1" w:lastColumn="0" w:oddVBand="0" w:evenVBand="0" w:oddHBand="0" w:evenHBand="0" w:firstRowFirstColumn="0" w:firstRowLastColumn="0" w:lastRowFirstColumn="0" w:lastRowLastColumn="0"/>
            <w:tcW w:w="697" w:type="pct"/>
            <w:vAlign w:val="center"/>
            <w:hideMark/>
          </w:tcPr>
          <w:p w:rsidR="00D8098E" w:rsidRPr="00F256F4" w:rsidRDefault="007619AD">
            <w:pPr>
              <w:rPr>
                <w:rFonts w:ascii="Arial" w:hAnsi="Arial" w:cs="Arial"/>
                <w:b w:val="0"/>
                <w:sz w:val="20"/>
                <w:szCs w:val="20"/>
              </w:rPr>
            </w:pPr>
            <w:r w:rsidRPr="00F256F4">
              <w:rPr>
                <w:rFonts w:ascii="Arial" w:hAnsi="Arial" w:cs="Arial"/>
                <w:b w:val="0"/>
                <w:sz w:val="20"/>
                <w:szCs w:val="20"/>
              </w:rPr>
              <w:t>Income of the respondent</w:t>
            </w:r>
          </w:p>
        </w:tc>
        <w:tc>
          <w:tcPr>
            <w:tcW w:w="4303" w:type="pct"/>
            <w:vAlign w:val="center"/>
            <w:hideMark/>
          </w:tcPr>
          <w:p w:rsidR="00D8098E" w:rsidRPr="00F256F4" w:rsidRDefault="00761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Annual net monthly income of the respondent alone (birr): ‘Lower’ [ie, &lt;mean] vs ‘Higher’ [ie, ≥mean]</w:t>
            </w:r>
          </w:p>
        </w:tc>
      </w:tr>
      <w:tr w:rsidR="00D8098E" w:rsidRPr="00F256F4" w:rsidTr="004177B6">
        <w:trPr>
          <w:trHeight w:val="35"/>
        </w:trPr>
        <w:tc>
          <w:tcPr>
            <w:cnfStyle w:val="001000000000" w:firstRow="0" w:lastRow="0" w:firstColumn="1" w:lastColumn="0" w:oddVBand="0" w:evenVBand="0" w:oddHBand="0" w:evenHBand="0" w:firstRowFirstColumn="0" w:firstRowLastColumn="0" w:lastRowFirstColumn="0" w:lastRowLastColumn="0"/>
            <w:tcW w:w="697" w:type="pct"/>
            <w:vAlign w:val="center"/>
            <w:hideMark/>
          </w:tcPr>
          <w:p w:rsidR="00D8098E" w:rsidRPr="00F256F4" w:rsidRDefault="007619AD">
            <w:pPr>
              <w:rPr>
                <w:rFonts w:ascii="Arial" w:hAnsi="Arial" w:cs="Arial"/>
                <w:b w:val="0"/>
                <w:sz w:val="20"/>
                <w:szCs w:val="20"/>
              </w:rPr>
            </w:pPr>
            <w:r w:rsidRPr="00F256F4">
              <w:rPr>
                <w:rFonts w:ascii="Arial" w:hAnsi="Arial" w:cs="Arial"/>
                <w:b w:val="0"/>
                <w:sz w:val="20"/>
                <w:szCs w:val="20"/>
              </w:rPr>
              <w:t>Income of the household</w:t>
            </w:r>
          </w:p>
        </w:tc>
        <w:tc>
          <w:tcPr>
            <w:tcW w:w="4303" w:type="pct"/>
            <w:vAlign w:val="center"/>
            <w:hideMark/>
          </w:tcPr>
          <w:p w:rsidR="00D8098E" w:rsidRPr="00F256F4" w:rsidRDefault="00761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Annual net monthly income of the household of each respondent (birr): ‘Lower’ [ie, &lt;mean] vs ‘Higher’ [ie, ≥mean]</w:t>
            </w:r>
          </w:p>
        </w:tc>
      </w:tr>
      <w:tr w:rsidR="00D8098E" w:rsidRPr="00F256F4" w:rsidTr="004177B6">
        <w:trPr>
          <w:trHeight w:val="35"/>
        </w:trPr>
        <w:tc>
          <w:tcPr>
            <w:cnfStyle w:val="001000000000" w:firstRow="0" w:lastRow="0" w:firstColumn="1" w:lastColumn="0" w:oddVBand="0" w:evenVBand="0" w:oddHBand="0" w:evenHBand="0" w:firstRowFirstColumn="0" w:firstRowLastColumn="0" w:lastRowFirstColumn="0" w:lastRowLastColumn="0"/>
            <w:tcW w:w="697" w:type="pct"/>
            <w:vAlign w:val="center"/>
            <w:hideMark/>
          </w:tcPr>
          <w:p w:rsidR="00D8098E" w:rsidRPr="00F256F4" w:rsidRDefault="00365811">
            <w:pPr>
              <w:rPr>
                <w:rFonts w:ascii="Arial" w:hAnsi="Arial" w:cs="Arial"/>
                <w:b w:val="0"/>
                <w:sz w:val="20"/>
                <w:szCs w:val="20"/>
              </w:rPr>
            </w:pPr>
            <w:r w:rsidRPr="00F256F4">
              <w:rPr>
                <w:rFonts w:ascii="Arial" w:hAnsi="Arial" w:cs="Arial"/>
                <w:b w:val="0"/>
                <w:sz w:val="20"/>
                <w:szCs w:val="20"/>
              </w:rPr>
              <w:t>Professional q</w:t>
            </w:r>
            <w:r w:rsidR="007619AD" w:rsidRPr="00F256F4">
              <w:rPr>
                <w:rFonts w:ascii="Arial" w:hAnsi="Arial" w:cs="Arial"/>
                <w:b w:val="0"/>
                <w:sz w:val="20"/>
                <w:szCs w:val="20"/>
              </w:rPr>
              <w:t>ualification</w:t>
            </w:r>
          </w:p>
        </w:tc>
        <w:tc>
          <w:tcPr>
            <w:tcW w:w="4303" w:type="pct"/>
            <w:vAlign w:val="center"/>
            <w:hideMark/>
          </w:tcPr>
          <w:p w:rsidR="00D8098E" w:rsidRPr="00F256F4" w:rsidRDefault="00761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Professional qualification level of the respondent in health care: ‘Less than</w:t>
            </w:r>
            <w:r w:rsidR="00E54DC0" w:rsidRPr="00F256F4">
              <w:rPr>
                <w:rFonts w:ascii="Arial" w:hAnsi="Arial" w:cs="Arial"/>
                <w:sz w:val="20"/>
                <w:szCs w:val="20"/>
              </w:rPr>
              <w:t xml:space="preserve"> </w:t>
            </w:r>
            <w:r w:rsidR="00107C2B" w:rsidRPr="00F256F4">
              <w:rPr>
                <w:rFonts w:ascii="Arial" w:hAnsi="Arial" w:cs="Arial"/>
                <w:sz w:val="20"/>
                <w:szCs w:val="20"/>
              </w:rPr>
              <w:t>f</w:t>
            </w:r>
            <w:r w:rsidRPr="00F256F4">
              <w:rPr>
                <w:rFonts w:ascii="Arial" w:hAnsi="Arial" w:cs="Arial"/>
                <w:sz w:val="20"/>
                <w:szCs w:val="20"/>
              </w:rPr>
              <w:t>irst degree</w:t>
            </w:r>
            <w:r w:rsidR="00107C2B" w:rsidRPr="00F256F4">
              <w:rPr>
                <w:rFonts w:ascii="Arial" w:hAnsi="Arial" w:cs="Arial"/>
                <w:sz w:val="20"/>
                <w:szCs w:val="20"/>
              </w:rPr>
              <w:t xml:space="preserve"> (</w:t>
            </w:r>
            <w:r w:rsidR="000762E1" w:rsidRPr="00F256F4">
              <w:rPr>
                <w:rFonts w:ascii="Arial" w:hAnsi="Arial" w:cs="Arial"/>
                <w:sz w:val="20"/>
                <w:szCs w:val="20"/>
              </w:rPr>
              <w:t>&lt;BS)</w:t>
            </w:r>
            <w:r w:rsidRPr="00F256F4">
              <w:rPr>
                <w:rFonts w:ascii="Arial" w:hAnsi="Arial" w:cs="Arial"/>
                <w:sz w:val="20"/>
                <w:szCs w:val="20"/>
              </w:rPr>
              <w:t xml:space="preserve">’ vs ‘First degree </w:t>
            </w:r>
            <w:r w:rsidR="00106C97" w:rsidRPr="00F256F4">
              <w:rPr>
                <w:rFonts w:ascii="Arial" w:hAnsi="Arial" w:cs="Arial"/>
                <w:sz w:val="20"/>
                <w:szCs w:val="20"/>
              </w:rPr>
              <w:t>and</w:t>
            </w:r>
            <w:r w:rsidRPr="00F256F4">
              <w:rPr>
                <w:rFonts w:ascii="Arial" w:hAnsi="Arial" w:cs="Arial"/>
                <w:sz w:val="20"/>
                <w:szCs w:val="20"/>
              </w:rPr>
              <w:t xml:space="preserve"> above</w:t>
            </w:r>
            <w:r w:rsidR="00E2415F" w:rsidRPr="00F256F4">
              <w:rPr>
                <w:rFonts w:ascii="Arial" w:hAnsi="Arial" w:cs="Arial"/>
                <w:sz w:val="20"/>
                <w:szCs w:val="20"/>
              </w:rPr>
              <w:t xml:space="preserve"> </w:t>
            </w:r>
            <w:r w:rsidR="00F01AF8" w:rsidRPr="00F256F4">
              <w:rPr>
                <w:rFonts w:ascii="Arial" w:hAnsi="Arial" w:cs="Arial"/>
                <w:sz w:val="20"/>
                <w:szCs w:val="20"/>
              </w:rPr>
              <w:t>(≥</w:t>
            </w:r>
            <w:r w:rsidR="00E2415F" w:rsidRPr="00F256F4">
              <w:rPr>
                <w:rFonts w:ascii="Arial" w:hAnsi="Arial" w:cs="Arial"/>
                <w:sz w:val="20"/>
                <w:szCs w:val="20"/>
              </w:rPr>
              <w:t>BS)</w:t>
            </w:r>
            <w:r w:rsidRPr="00F256F4">
              <w:rPr>
                <w:rFonts w:ascii="Arial" w:hAnsi="Arial" w:cs="Arial"/>
                <w:sz w:val="20"/>
                <w:szCs w:val="20"/>
              </w:rPr>
              <w:t>’</w:t>
            </w:r>
          </w:p>
        </w:tc>
      </w:tr>
      <w:tr w:rsidR="00D8098E" w:rsidRPr="00F256F4" w:rsidTr="004177B6">
        <w:trPr>
          <w:trHeight w:val="45"/>
        </w:trPr>
        <w:tc>
          <w:tcPr>
            <w:cnfStyle w:val="001000000000" w:firstRow="0" w:lastRow="0" w:firstColumn="1" w:lastColumn="0" w:oddVBand="0" w:evenVBand="0" w:oddHBand="0" w:evenHBand="0" w:firstRowFirstColumn="0" w:firstRowLastColumn="0" w:lastRowFirstColumn="0" w:lastRowLastColumn="0"/>
            <w:tcW w:w="697" w:type="pct"/>
            <w:vAlign w:val="center"/>
            <w:hideMark/>
          </w:tcPr>
          <w:p w:rsidR="00D8098E" w:rsidRPr="00F256F4" w:rsidRDefault="00365811">
            <w:pPr>
              <w:rPr>
                <w:rFonts w:ascii="Arial" w:hAnsi="Arial" w:cs="Arial"/>
                <w:b w:val="0"/>
                <w:sz w:val="20"/>
                <w:szCs w:val="20"/>
              </w:rPr>
            </w:pPr>
            <w:r w:rsidRPr="00F256F4">
              <w:rPr>
                <w:rFonts w:ascii="Arial" w:hAnsi="Arial" w:cs="Arial"/>
                <w:b w:val="0"/>
                <w:sz w:val="20"/>
                <w:szCs w:val="20"/>
              </w:rPr>
              <w:t>Professional r</w:t>
            </w:r>
            <w:r w:rsidR="007619AD" w:rsidRPr="00F256F4">
              <w:rPr>
                <w:rFonts w:ascii="Arial" w:hAnsi="Arial" w:cs="Arial"/>
                <w:b w:val="0"/>
                <w:sz w:val="20"/>
                <w:szCs w:val="20"/>
              </w:rPr>
              <w:t>ole</w:t>
            </w:r>
            <w:r w:rsidRPr="00F256F4">
              <w:rPr>
                <w:rFonts w:ascii="Arial" w:hAnsi="Arial" w:cs="Arial"/>
                <w:b w:val="0"/>
                <w:sz w:val="20"/>
                <w:szCs w:val="20"/>
              </w:rPr>
              <w:t xml:space="preserve"> type</w:t>
            </w:r>
          </w:p>
        </w:tc>
        <w:tc>
          <w:tcPr>
            <w:tcW w:w="4303" w:type="pct"/>
            <w:vAlign w:val="center"/>
            <w:hideMark/>
          </w:tcPr>
          <w:p w:rsidR="00D8098E" w:rsidRPr="00F256F4" w:rsidRDefault="00761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Professional role type of the respondent in health care: ‘Nurse’ vs ‘Other’. The category “other” denoted for all the other baseline categories of the healthcare professional role [</w:t>
            </w:r>
            <w:r w:rsidR="0067044A" w:rsidRPr="00F256F4">
              <w:rPr>
                <w:rFonts w:ascii="Arial" w:hAnsi="Arial" w:cs="Arial"/>
                <w:sz w:val="20"/>
                <w:szCs w:val="20"/>
              </w:rPr>
              <w:t>physician,</w:t>
            </w:r>
            <w:r w:rsidR="0067044A">
              <w:rPr>
                <w:rFonts w:ascii="Arial" w:hAnsi="Arial" w:cs="Arial"/>
                <w:sz w:val="20"/>
                <w:szCs w:val="20"/>
              </w:rPr>
              <w:t xml:space="preserve"> dentist</w:t>
            </w:r>
            <w:r w:rsidR="00BE0B7F">
              <w:rPr>
                <w:rFonts w:ascii="Arial" w:hAnsi="Arial" w:cs="Arial"/>
                <w:sz w:val="20"/>
                <w:szCs w:val="20"/>
              </w:rPr>
              <w:t xml:space="preserve">, </w:t>
            </w:r>
            <w:r w:rsidR="004C41AF" w:rsidRPr="00F256F4">
              <w:rPr>
                <w:rFonts w:ascii="Arial" w:hAnsi="Arial" w:cs="Arial"/>
                <w:sz w:val="20"/>
                <w:szCs w:val="20"/>
              </w:rPr>
              <w:t>midwife, lab technologist/technician, physiotherapist, anesthetist, pharmacist/pharmacy technician, and health officer clinician</w:t>
            </w:r>
            <w:r w:rsidRPr="00F256F4">
              <w:rPr>
                <w:rFonts w:ascii="Arial" w:hAnsi="Arial" w:cs="Arial"/>
                <w:sz w:val="20"/>
                <w:szCs w:val="20"/>
              </w:rPr>
              <w:t xml:space="preserve">] from </w:t>
            </w:r>
            <w:r w:rsidR="008D06AD" w:rsidRPr="00F256F4">
              <w:rPr>
                <w:rFonts w:ascii="Arial" w:hAnsi="Arial" w:cs="Arial"/>
                <w:sz w:val="20"/>
                <w:szCs w:val="20"/>
              </w:rPr>
              <w:t>the</w:t>
            </w:r>
            <w:r w:rsidRPr="00F256F4">
              <w:rPr>
                <w:rFonts w:ascii="Arial" w:hAnsi="Arial" w:cs="Arial"/>
                <w:sz w:val="20"/>
                <w:szCs w:val="20"/>
              </w:rPr>
              <w:t xml:space="preserve"> questioner</w:t>
            </w:r>
          </w:p>
        </w:tc>
      </w:tr>
      <w:tr w:rsidR="00D8098E" w:rsidRPr="00F256F4" w:rsidTr="004177B6">
        <w:trPr>
          <w:trHeight w:val="60"/>
        </w:trPr>
        <w:tc>
          <w:tcPr>
            <w:cnfStyle w:val="001000000000" w:firstRow="0" w:lastRow="0" w:firstColumn="1" w:lastColumn="0" w:oddVBand="0" w:evenVBand="0" w:oddHBand="0" w:evenHBand="0" w:firstRowFirstColumn="0" w:firstRowLastColumn="0" w:lastRowFirstColumn="0" w:lastRowLastColumn="0"/>
            <w:tcW w:w="697" w:type="pct"/>
            <w:vAlign w:val="center"/>
            <w:hideMark/>
          </w:tcPr>
          <w:p w:rsidR="00D8098E" w:rsidRPr="00F256F4" w:rsidRDefault="00365811">
            <w:pPr>
              <w:rPr>
                <w:rFonts w:ascii="Arial" w:hAnsi="Arial" w:cs="Arial"/>
                <w:b w:val="0"/>
                <w:sz w:val="20"/>
                <w:szCs w:val="20"/>
              </w:rPr>
            </w:pPr>
            <w:r w:rsidRPr="00F256F4">
              <w:rPr>
                <w:rFonts w:ascii="Arial" w:hAnsi="Arial" w:cs="Arial"/>
                <w:b w:val="0"/>
                <w:sz w:val="20"/>
                <w:szCs w:val="20"/>
              </w:rPr>
              <w:t>Professional e</w:t>
            </w:r>
            <w:r w:rsidR="007619AD" w:rsidRPr="00F256F4">
              <w:rPr>
                <w:rFonts w:ascii="Arial" w:hAnsi="Arial" w:cs="Arial"/>
                <w:b w:val="0"/>
                <w:sz w:val="20"/>
                <w:szCs w:val="20"/>
              </w:rPr>
              <w:t xml:space="preserve">xperience </w:t>
            </w:r>
          </w:p>
        </w:tc>
        <w:tc>
          <w:tcPr>
            <w:tcW w:w="4303" w:type="pct"/>
            <w:vAlign w:val="center"/>
            <w:hideMark/>
          </w:tcPr>
          <w:p w:rsidR="00D8098E" w:rsidRPr="00F256F4" w:rsidRDefault="00761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 xml:space="preserve">Professional experience level of the respondent in health care (years): ‘Junior’ vs ‘Senior’. The category “junior” refers to participants </w:t>
            </w:r>
            <w:r w:rsidR="00CD4B45" w:rsidRPr="00F256F4">
              <w:rPr>
                <w:rFonts w:ascii="Arial" w:hAnsi="Arial" w:cs="Arial"/>
                <w:sz w:val="20"/>
                <w:szCs w:val="20"/>
              </w:rPr>
              <w:t>who had</w:t>
            </w:r>
            <w:r w:rsidR="008A2012">
              <w:rPr>
                <w:rFonts w:ascii="Arial" w:hAnsi="Arial" w:cs="Arial"/>
                <w:sz w:val="20"/>
                <w:szCs w:val="20"/>
              </w:rPr>
              <w:t xml:space="preserve"> </w:t>
            </w:r>
            <w:r w:rsidRPr="00F256F4">
              <w:rPr>
                <w:rFonts w:ascii="Arial" w:hAnsi="Arial" w:cs="Arial"/>
                <w:sz w:val="20"/>
                <w:szCs w:val="20"/>
              </w:rPr>
              <w:t xml:space="preserve">&lt;4 years of professional experience, </w:t>
            </w:r>
            <w:r w:rsidR="00402B2E" w:rsidRPr="00F256F4">
              <w:rPr>
                <w:rFonts w:ascii="Arial" w:hAnsi="Arial" w:cs="Arial"/>
                <w:sz w:val="20"/>
                <w:szCs w:val="20"/>
              </w:rPr>
              <w:t xml:space="preserve">whereas </w:t>
            </w:r>
            <w:r w:rsidRPr="00F256F4">
              <w:rPr>
                <w:rFonts w:ascii="Arial" w:hAnsi="Arial" w:cs="Arial"/>
                <w:sz w:val="20"/>
                <w:szCs w:val="20"/>
              </w:rPr>
              <w:t xml:space="preserve">“senior” refers to those </w:t>
            </w:r>
            <w:r w:rsidR="00402B2E" w:rsidRPr="00F256F4">
              <w:rPr>
                <w:rFonts w:ascii="Arial" w:hAnsi="Arial" w:cs="Arial"/>
                <w:sz w:val="20"/>
                <w:szCs w:val="20"/>
              </w:rPr>
              <w:t>who had</w:t>
            </w:r>
            <w:r w:rsidR="008A2012">
              <w:rPr>
                <w:rFonts w:ascii="Arial" w:hAnsi="Arial" w:cs="Arial"/>
                <w:sz w:val="20"/>
                <w:szCs w:val="20"/>
              </w:rPr>
              <w:t xml:space="preserve"> </w:t>
            </w:r>
            <w:r w:rsidRPr="00F256F4">
              <w:rPr>
                <w:rFonts w:ascii="Arial" w:hAnsi="Arial" w:cs="Arial"/>
                <w:sz w:val="20"/>
                <w:szCs w:val="20"/>
              </w:rPr>
              <w:t>≥4 years of professional experience</w:t>
            </w:r>
          </w:p>
        </w:tc>
      </w:tr>
      <w:tr w:rsidR="00D8098E" w:rsidRPr="00F256F4" w:rsidTr="004177B6">
        <w:trPr>
          <w:trHeight w:val="60"/>
        </w:trPr>
        <w:tc>
          <w:tcPr>
            <w:cnfStyle w:val="001000000000" w:firstRow="0" w:lastRow="0" w:firstColumn="1" w:lastColumn="0" w:oddVBand="0" w:evenVBand="0" w:oddHBand="0" w:evenHBand="0" w:firstRowFirstColumn="0" w:firstRowLastColumn="0" w:lastRowFirstColumn="0" w:lastRowLastColumn="0"/>
            <w:tcW w:w="697" w:type="pct"/>
            <w:vAlign w:val="center"/>
            <w:hideMark/>
          </w:tcPr>
          <w:p w:rsidR="00D8098E" w:rsidRPr="00F256F4" w:rsidRDefault="007619AD">
            <w:pPr>
              <w:rPr>
                <w:rFonts w:ascii="Arial" w:hAnsi="Arial" w:cs="Arial"/>
                <w:b w:val="0"/>
                <w:sz w:val="20"/>
                <w:szCs w:val="20"/>
              </w:rPr>
            </w:pPr>
            <w:r w:rsidRPr="00F256F4">
              <w:rPr>
                <w:rFonts w:ascii="Arial" w:hAnsi="Arial" w:cs="Arial"/>
                <w:b w:val="0"/>
                <w:sz w:val="20"/>
                <w:szCs w:val="20"/>
              </w:rPr>
              <w:t xml:space="preserve">Sector </w:t>
            </w:r>
            <w:r w:rsidR="00365811" w:rsidRPr="00F256F4">
              <w:rPr>
                <w:rFonts w:ascii="Arial" w:hAnsi="Arial" w:cs="Arial"/>
                <w:b w:val="0"/>
                <w:sz w:val="20"/>
                <w:szCs w:val="20"/>
              </w:rPr>
              <w:t>of workplace</w:t>
            </w:r>
          </w:p>
        </w:tc>
        <w:tc>
          <w:tcPr>
            <w:tcW w:w="4303" w:type="pct"/>
            <w:vAlign w:val="center"/>
            <w:hideMark/>
          </w:tcPr>
          <w:p w:rsidR="00D8098E" w:rsidRPr="00F256F4" w:rsidRDefault="00761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Sector of the healthcare facility as the respondent’s current workplace: ‘Public’ vs ‘Private’</w:t>
            </w:r>
          </w:p>
        </w:tc>
      </w:tr>
      <w:tr w:rsidR="00D8098E" w:rsidRPr="00F256F4" w:rsidTr="004177B6">
        <w:trPr>
          <w:trHeight w:val="60"/>
        </w:trPr>
        <w:tc>
          <w:tcPr>
            <w:cnfStyle w:val="001000000000" w:firstRow="0" w:lastRow="0" w:firstColumn="1" w:lastColumn="0" w:oddVBand="0" w:evenVBand="0" w:oddHBand="0" w:evenHBand="0" w:firstRowFirstColumn="0" w:firstRowLastColumn="0" w:lastRowFirstColumn="0" w:lastRowLastColumn="0"/>
            <w:tcW w:w="697" w:type="pct"/>
            <w:vAlign w:val="center"/>
            <w:hideMark/>
          </w:tcPr>
          <w:p w:rsidR="00D8098E" w:rsidRPr="00F256F4" w:rsidRDefault="007619AD">
            <w:pPr>
              <w:rPr>
                <w:rFonts w:ascii="Arial" w:hAnsi="Arial" w:cs="Arial"/>
                <w:b w:val="0"/>
                <w:sz w:val="20"/>
                <w:szCs w:val="20"/>
              </w:rPr>
            </w:pPr>
            <w:r w:rsidRPr="00F256F4">
              <w:rPr>
                <w:rFonts w:ascii="Arial" w:hAnsi="Arial" w:cs="Arial"/>
                <w:b w:val="0"/>
                <w:sz w:val="20"/>
                <w:szCs w:val="20"/>
              </w:rPr>
              <w:t>Department</w:t>
            </w:r>
            <w:r w:rsidR="00365811" w:rsidRPr="00F256F4">
              <w:rPr>
                <w:rFonts w:ascii="Arial" w:hAnsi="Arial" w:cs="Arial"/>
                <w:b w:val="0"/>
                <w:sz w:val="20"/>
                <w:szCs w:val="20"/>
              </w:rPr>
              <w:t xml:space="preserve"> of workplace</w:t>
            </w:r>
          </w:p>
        </w:tc>
        <w:tc>
          <w:tcPr>
            <w:tcW w:w="4303" w:type="pct"/>
            <w:vAlign w:val="center"/>
            <w:hideMark/>
          </w:tcPr>
          <w:p w:rsidR="00D8098E" w:rsidRPr="00F256F4" w:rsidRDefault="00761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The participant’s current department or unit of work: ‘Emergency’ vs ‘Other’</w:t>
            </w:r>
          </w:p>
        </w:tc>
      </w:tr>
      <w:tr w:rsidR="00D8098E" w:rsidRPr="00F256F4" w:rsidTr="004177B6">
        <w:trPr>
          <w:trHeight w:val="35"/>
        </w:trPr>
        <w:tc>
          <w:tcPr>
            <w:cnfStyle w:val="001000000000" w:firstRow="0" w:lastRow="0" w:firstColumn="1" w:lastColumn="0" w:oddVBand="0" w:evenVBand="0" w:oddHBand="0" w:evenHBand="0" w:firstRowFirstColumn="0" w:firstRowLastColumn="0" w:lastRowFirstColumn="0" w:lastRowLastColumn="0"/>
            <w:tcW w:w="697" w:type="pct"/>
            <w:vAlign w:val="center"/>
          </w:tcPr>
          <w:p w:rsidR="00D8098E" w:rsidRPr="00F256F4" w:rsidRDefault="007619AD">
            <w:pPr>
              <w:rPr>
                <w:rFonts w:ascii="Arial" w:hAnsi="Arial" w:cs="Arial"/>
                <w:b w:val="0"/>
                <w:sz w:val="20"/>
                <w:szCs w:val="20"/>
              </w:rPr>
            </w:pPr>
            <w:r w:rsidRPr="00F256F4">
              <w:rPr>
                <w:rFonts w:ascii="Arial" w:hAnsi="Arial" w:cs="Arial"/>
                <w:b w:val="0"/>
                <w:sz w:val="20"/>
                <w:szCs w:val="20"/>
              </w:rPr>
              <w:t>Workload status</w:t>
            </w:r>
          </w:p>
        </w:tc>
        <w:tc>
          <w:tcPr>
            <w:tcW w:w="4303" w:type="pct"/>
            <w:vAlign w:val="center"/>
          </w:tcPr>
          <w:p w:rsidR="00D8098E" w:rsidRPr="00F256F4" w:rsidRDefault="00761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Self-estimated average daily amount of work throughout employment history as a healthcare staff in the current workplace (hours); then based on the actual response of the participants, the variable workload was</w:t>
            </w:r>
            <w:r w:rsidR="00AA30DF" w:rsidRPr="00F256F4">
              <w:rPr>
                <w:rFonts w:ascii="Arial" w:hAnsi="Arial" w:cs="Arial"/>
                <w:sz w:val="20"/>
                <w:szCs w:val="20"/>
              </w:rPr>
              <w:t xml:space="preserve"> </w:t>
            </w:r>
            <w:r w:rsidRPr="00F256F4">
              <w:rPr>
                <w:rFonts w:ascii="Arial" w:hAnsi="Arial" w:cs="Arial"/>
                <w:sz w:val="20"/>
                <w:szCs w:val="20"/>
              </w:rPr>
              <w:t>transformed into dummy: ‘High’ [≥12] vs ‘Low' [&lt;12]</w:t>
            </w:r>
          </w:p>
        </w:tc>
      </w:tr>
      <w:tr w:rsidR="00D8098E" w:rsidRPr="00F256F4" w:rsidTr="004177B6">
        <w:trPr>
          <w:trHeight w:val="35"/>
        </w:trPr>
        <w:tc>
          <w:tcPr>
            <w:cnfStyle w:val="001000000000" w:firstRow="0" w:lastRow="0" w:firstColumn="1" w:lastColumn="0" w:oddVBand="0" w:evenVBand="0" w:oddHBand="0" w:evenHBand="0" w:firstRowFirstColumn="0" w:firstRowLastColumn="0" w:lastRowFirstColumn="0" w:lastRowLastColumn="0"/>
            <w:tcW w:w="697" w:type="pct"/>
            <w:vAlign w:val="center"/>
          </w:tcPr>
          <w:p w:rsidR="00D8098E" w:rsidRPr="00F256F4" w:rsidRDefault="007619AD">
            <w:pPr>
              <w:rPr>
                <w:rFonts w:ascii="Arial" w:hAnsi="Arial" w:cs="Arial"/>
                <w:b w:val="0"/>
                <w:sz w:val="20"/>
                <w:szCs w:val="20"/>
              </w:rPr>
            </w:pPr>
            <w:r w:rsidRPr="00F256F4">
              <w:rPr>
                <w:rFonts w:ascii="Arial" w:hAnsi="Arial" w:cs="Arial"/>
                <w:b w:val="0"/>
                <w:sz w:val="20"/>
                <w:szCs w:val="20"/>
              </w:rPr>
              <w:t>RIIP presence</w:t>
            </w:r>
            <w:r w:rsidR="006B490A" w:rsidRPr="00F256F4">
              <w:rPr>
                <w:rFonts w:ascii="Arial" w:hAnsi="Arial" w:cs="Arial"/>
                <w:b w:val="0"/>
                <w:sz w:val="20"/>
                <w:szCs w:val="20"/>
              </w:rPr>
              <w:t xml:space="preserve"> in </w:t>
            </w:r>
            <w:r w:rsidR="00365811" w:rsidRPr="00F256F4">
              <w:rPr>
                <w:rFonts w:ascii="Arial" w:hAnsi="Arial" w:cs="Arial"/>
                <w:b w:val="0"/>
                <w:sz w:val="20"/>
                <w:szCs w:val="20"/>
              </w:rPr>
              <w:t>workplace</w:t>
            </w:r>
          </w:p>
        </w:tc>
        <w:tc>
          <w:tcPr>
            <w:tcW w:w="4303" w:type="pct"/>
            <w:vAlign w:val="center"/>
          </w:tcPr>
          <w:p w:rsidR="00D8098E" w:rsidRPr="00F256F4" w:rsidRDefault="00761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Is there any available RIIP in your workplace (at the facility level): ‘Yes’ vs ‘No’</w:t>
            </w:r>
          </w:p>
        </w:tc>
      </w:tr>
      <w:tr w:rsidR="00D8098E" w:rsidRPr="00F256F4" w:rsidTr="004177B6">
        <w:trPr>
          <w:trHeight w:val="70"/>
        </w:trPr>
        <w:tc>
          <w:tcPr>
            <w:cnfStyle w:val="001000000000" w:firstRow="0" w:lastRow="0" w:firstColumn="1" w:lastColumn="0" w:oddVBand="0" w:evenVBand="0" w:oddHBand="0" w:evenHBand="0" w:firstRowFirstColumn="0" w:firstRowLastColumn="0" w:lastRowFirstColumn="0" w:lastRowLastColumn="0"/>
            <w:tcW w:w="697" w:type="pct"/>
            <w:vAlign w:val="center"/>
            <w:hideMark/>
          </w:tcPr>
          <w:p w:rsidR="00D8098E" w:rsidRPr="00F256F4" w:rsidRDefault="007619AD">
            <w:pPr>
              <w:rPr>
                <w:rFonts w:ascii="Arial" w:hAnsi="Arial" w:cs="Arial"/>
                <w:b w:val="0"/>
                <w:sz w:val="20"/>
                <w:szCs w:val="20"/>
              </w:rPr>
            </w:pPr>
            <w:r w:rsidRPr="00F256F4">
              <w:rPr>
                <w:rFonts w:ascii="Arial" w:hAnsi="Arial" w:cs="Arial"/>
                <w:b w:val="0"/>
                <w:sz w:val="20"/>
                <w:szCs w:val="20"/>
              </w:rPr>
              <w:t>Perceived susceptibility to infection</w:t>
            </w:r>
          </w:p>
        </w:tc>
        <w:tc>
          <w:tcPr>
            <w:tcW w:w="4303" w:type="pct"/>
            <w:vAlign w:val="center"/>
            <w:hideMark/>
          </w:tcPr>
          <w:p w:rsidR="00D8098E" w:rsidRPr="00F256F4" w:rsidRDefault="00761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 xml:space="preserve">The </w:t>
            </w:r>
            <w:r w:rsidR="008D2278" w:rsidRPr="00F256F4">
              <w:rPr>
                <w:rFonts w:ascii="Arial" w:hAnsi="Arial" w:cs="Arial"/>
                <w:sz w:val="20"/>
                <w:szCs w:val="20"/>
              </w:rPr>
              <w:t>participant</w:t>
            </w:r>
            <w:r w:rsidRPr="00F256F4">
              <w:rPr>
                <w:rFonts w:ascii="Arial" w:hAnsi="Arial" w:cs="Arial"/>
                <w:sz w:val="20"/>
                <w:szCs w:val="20"/>
              </w:rPr>
              <w:t>’</w:t>
            </w:r>
            <w:r w:rsidR="005C2F67" w:rsidRPr="00F256F4">
              <w:rPr>
                <w:rFonts w:ascii="Arial" w:hAnsi="Arial" w:cs="Arial"/>
                <w:sz w:val="20"/>
                <w:szCs w:val="20"/>
              </w:rPr>
              <w:t xml:space="preserve">s </w:t>
            </w:r>
            <w:r w:rsidRPr="00F256F4">
              <w:rPr>
                <w:rFonts w:ascii="Arial" w:hAnsi="Arial" w:cs="Arial"/>
                <w:sz w:val="20"/>
                <w:szCs w:val="20"/>
              </w:rPr>
              <w:t>perceived level of susceptibility to occupational blood-borne infection (ranging from 0</w:t>
            </w:r>
            <w:r w:rsidR="005E4B6C" w:rsidRPr="00F256F4">
              <w:rPr>
                <w:rFonts w:ascii="Arial" w:hAnsi="Arial" w:cs="Arial"/>
                <w:sz w:val="20"/>
                <w:szCs w:val="20"/>
              </w:rPr>
              <w:t>=</w:t>
            </w:r>
            <w:r w:rsidRPr="00F256F4">
              <w:rPr>
                <w:rFonts w:ascii="Arial" w:hAnsi="Arial" w:cs="Arial"/>
                <w:sz w:val="20"/>
                <w:szCs w:val="20"/>
              </w:rPr>
              <w:t>very low to 10</w:t>
            </w:r>
            <w:r w:rsidR="005E4B6C" w:rsidRPr="00F256F4">
              <w:rPr>
                <w:rFonts w:ascii="Arial" w:hAnsi="Arial" w:cs="Arial"/>
                <w:sz w:val="20"/>
                <w:szCs w:val="20"/>
              </w:rPr>
              <w:t>=</w:t>
            </w:r>
            <w:r w:rsidRPr="00F256F4">
              <w:rPr>
                <w:rFonts w:ascii="Arial" w:hAnsi="Arial" w:cs="Arial"/>
                <w:sz w:val="20"/>
                <w:szCs w:val="20"/>
              </w:rPr>
              <w:t>very high). Then considering the me</w:t>
            </w:r>
            <w:r w:rsidR="006576A1" w:rsidRPr="00F256F4">
              <w:rPr>
                <w:rFonts w:ascii="Arial" w:hAnsi="Arial" w:cs="Arial"/>
                <w:sz w:val="20"/>
                <w:szCs w:val="20"/>
              </w:rPr>
              <w:t>an</w:t>
            </w:r>
            <w:r w:rsidRPr="00F256F4">
              <w:rPr>
                <w:rFonts w:ascii="Arial" w:hAnsi="Arial" w:cs="Arial"/>
                <w:sz w:val="20"/>
                <w:szCs w:val="20"/>
              </w:rPr>
              <w:t xml:space="preserve"> response value among </w:t>
            </w:r>
            <w:r w:rsidR="00C07233" w:rsidRPr="00F256F4">
              <w:rPr>
                <w:rFonts w:ascii="Arial" w:hAnsi="Arial" w:cs="Arial"/>
                <w:sz w:val="20"/>
                <w:szCs w:val="20"/>
              </w:rPr>
              <w:t xml:space="preserve">all </w:t>
            </w:r>
            <w:r w:rsidR="005C2F67" w:rsidRPr="00F256F4">
              <w:rPr>
                <w:rFonts w:ascii="Arial" w:hAnsi="Arial" w:cs="Arial"/>
                <w:sz w:val="20"/>
                <w:szCs w:val="20"/>
              </w:rPr>
              <w:t>participants</w:t>
            </w:r>
            <w:r w:rsidR="00D801D8" w:rsidRPr="00F256F4">
              <w:rPr>
                <w:rFonts w:ascii="Arial" w:hAnsi="Arial" w:cs="Arial"/>
                <w:sz w:val="20"/>
                <w:szCs w:val="20"/>
              </w:rPr>
              <w:t xml:space="preserve">, </w:t>
            </w:r>
            <w:r w:rsidRPr="00F256F4">
              <w:rPr>
                <w:rFonts w:ascii="Arial" w:hAnsi="Arial" w:cs="Arial"/>
                <w:sz w:val="20"/>
                <w:szCs w:val="20"/>
              </w:rPr>
              <w:t>the variable perceived susceptibility was</w:t>
            </w:r>
            <w:r w:rsidR="003857FD" w:rsidRPr="00F256F4">
              <w:rPr>
                <w:rFonts w:ascii="Arial" w:hAnsi="Arial" w:cs="Arial"/>
                <w:sz w:val="20"/>
                <w:szCs w:val="20"/>
              </w:rPr>
              <w:t xml:space="preserve"> t</w:t>
            </w:r>
            <w:r w:rsidRPr="00F256F4">
              <w:rPr>
                <w:rFonts w:ascii="Arial" w:hAnsi="Arial" w:cs="Arial"/>
                <w:sz w:val="20"/>
                <w:szCs w:val="20"/>
              </w:rPr>
              <w:t>ransformed into dummy for analysis purpose: ‘High’ [ie, ≥me</w:t>
            </w:r>
            <w:r w:rsidR="006576A1" w:rsidRPr="00F256F4">
              <w:rPr>
                <w:rFonts w:ascii="Arial" w:hAnsi="Arial" w:cs="Arial"/>
                <w:sz w:val="20"/>
                <w:szCs w:val="20"/>
              </w:rPr>
              <w:t>an</w:t>
            </w:r>
            <w:r w:rsidRPr="00F256F4">
              <w:rPr>
                <w:rFonts w:ascii="Arial" w:hAnsi="Arial" w:cs="Arial"/>
                <w:sz w:val="20"/>
                <w:szCs w:val="20"/>
              </w:rPr>
              <w:t>] vs ‘Low’ [ie, &lt;me</w:t>
            </w:r>
            <w:r w:rsidR="006576A1" w:rsidRPr="00F256F4">
              <w:rPr>
                <w:rFonts w:ascii="Arial" w:hAnsi="Arial" w:cs="Arial"/>
                <w:sz w:val="20"/>
                <w:szCs w:val="20"/>
              </w:rPr>
              <w:t>an</w:t>
            </w:r>
            <w:r w:rsidRPr="00F256F4">
              <w:rPr>
                <w:rFonts w:ascii="Arial" w:hAnsi="Arial" w:cs="Arial"/>
                <w:sz w:val="20"/>
                <w:szCs w:val="20"/>
              </w:rPr>
              <w:t>]</w:t>
            </w:r>
          </w:p>
        </w:tc>
      </w:tr>
      <w:tr w:rsidR="00D8098E" w:rsidRPr="00F256F4" w:rsidTr="004177B6">
        <w:trPr>
          <w:trHeight w:val="35"/>
        </w:trPr>
        <w:tc>
          <w:tcPr>
            <w:cnfStyle w:val="001000000000" w:firstRow="0" w:lastRow="0" w:firstColumn="1" w:lastColumn="0" w:oddVBand="0" w:evenVBand="0" w:oddHBand="0" w:evenHBand="0" w:firstRowFirstColumn="0" w:firstRowLastColumn="0" w:lastRowFirstColumn="0" w:lastRowLastColumn="0"/>
            <w:tcW w:w="697" w:type="pct"/>
            <w:vAlign w:val="center"/>
            <w:hideMark/>
          </w:tcPr>
          <w:p w:rsidR="00D8098E" w:rsidRPr="00F256F4" w:rsidRDefault="007619AD">
            <w:pPr>
              <w:rPr>
                <w:rFonts w:ascii="Arial" w:hAnsi="Arial" w:cs="Arial"/>
                <w:b w:val="0"/>
                <w:sz w:val="20"/>
                <w:szCs w:val="20"/>
              </w:rPr>
            </w:pPr>
            <w:r w:rsidRPr="00F256F4">
              <w:rPr>
                <w:rFonts w:ascii="Arial" w:hAnsi="Arial" w:cs="Arial"/>
                <w:b w:val="0"/>
                <w:sz w:val="20"/>
                <w:szCs w:val="20"/>
              </w:rPr>
              <w:t>Perceived severity of infection</w:t>
            </w:r>
          </w:p>
        </w:tc>
        <w:tc>
          <w:tcPr>
            <w:tcW w:w="4303" w:type="pct"/>
            <w:vAlign w:val="center"/>
            <w:hideMark/>
          </w:tcPr>
          <w:p w:rsidR="00D8098E" w:rsidRPr="00F256F4" w:rsidRDefault="00761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 xml:space="preserve">The </w:t>
            </w:r>
            <w:r w:rsidR="005C2F67" w:rsidRPr="00F256F4">
              <w:rPr>
                <w:rFonts w:ascii="Arial" w:hAnsi="Arial" w:cs="Arial"/>
                <w:sz w:val="20"/>
                <w:szCs w:val="20"/>
              </w:rPr>
              <w:t>participant's</w:t>
            </w:r>
            <w:r w:rsidRPr="00F256F4">
              <w:rPr>
                <w:rFonts w:ascii="Arial" w:hAnsi="Arial" w:cs="Arial"/>
                <w:sz w:val="20"/>
                <w:szCs w:val="20"/>
              </w:rPr>
              <w:t xml:space="preserve"> perceived severity of HB infection (from 0</w:t>
            </w:r>
            <w:r w:rsidR="005E4B6C" w:rsidRPr="00F256F4">
              <w:rPr>
                <w:rFonts w:ascii="Arial" w:hAnsi="Arial" w:cs="Arial"/>
                <w:sz w:val="20"/>
                <w:szCs w:val="20"/>
              </w:rPr>
              <w:t>=</w:t>
            </w:r>
            <w:r w:rsidRPr="00F256F4">
              <w:rPr>
                <w:rFonts w:ascii="Arial" w:hAnsi="Arial" w:cs="Arial"/>
                <w:sz w:val="20"/>
                <w:szCs w:val="20"/>
              </w:rPr>
              <w:t>very lenient to 10</w:t>
            </w:r>
            <w:r w:rsidR="005E4B6C" w:rsidRPr="00F256F4">
              <w:rPr>
                <w:rFonts w:ascii="Arial" w:hAnsi="Arial" w:cs="Arial"/>
                <w:sz w:val="20"/>
                <w:szCs w:val="20"/>
              </w:rPr>
              <w:t>=v</w:t>
            </w:r>
            <w:r w:rsidRPr="00F256F4">
              <w:rPr>
                <w:rFonts w:ascii="Arial" w:hAnsi="Arial" w:cs="Arial"/>
                <w:sz w:val="20"/>
                <w:szCs w:val="20"/>
              </w:rPr>
              <w:t>ery harsh). Then considering the me</w:t>
            </w:r>
            <w:r w:rsidR="005F5125" w:rsidRPr="00F256F4">
              <w:rPr>
                <w:rFonts w:ascii="Arial" w:hAnsi="Arial" w:cs="Arial"/>
                <w:sz w:val="20"/>
                <w:szCs w:val="20"/>
              </w:rPr>
              <w:t>a</w:t>
            </w:r>
            <w:r w:rsidRPr="00F256F4">
              <w:rPr>
                <w:rFonts w:ascii="Arial" w:hAnsi="Arial" w:cs="Arial"/>
                <w:sz w:val="20"/>
                <w:szCs w:val="20"/>
              </w:rPr>
              <w:t>n response value, the variable perceived severity was transformed into dummy: ‘Harsh’ vs ‘Lenient’</w:t>
            </w:r>
          </w:p>
        </w:tc>
      </w:tr>
      <w:tr w:rsidR="00D8098E" w:rsidRPr="00F256F4" w:rsidTr="004177B6">
        <w:trPr>
          <w:trHeight w:val="60"/>
        </w:trPr>
        <w:tc>
          <w:tcPr>
            <w:cnfStyle w:val="001000000000" w:firstRow="0" w:lastRow="0" w:firstColumn="1" w:lastColumn="0" w:oddVBand="0" w:evenVBand="0" w:oddHBand="0" w:evenHBand="0" w:firstRowFirstColumn="0" w:firstRowLastColumn="0" w:lastRowFirstColumn="0" w:lastRowLastColumn="0"/>
            <w:tcW w:w="697" w:type="pct"/>
            <w:vAlign w:val="center"/>
            <w:hideMark/>
          </w:tcPr>
          <w:p w:rsidR="00D8098E" w:rsidRPr="00F256F4" w:rsidRDefault="007619AD">
            <w:pPr>
              <w:rPr>
                <w:rFonts w:ascii="Arial" w:hAnsi="Arial" w:cs="Arial"/>
                <w:b w:val="0"/>
                <w:sz w:val="20"/>
                <w:szCs w:val="20"/>
              </w:rPr>
            </w:pPr>
            <w:r w:rsidRPr="00F256F4">
              <w:rPr>
                <w:rFonts w:ascii="Arial" w:hAnsi="Arial" w:cs="Arial"/>
                <w:b w:val="0"/>
                <w:sz w:val="20"/>
                <w:szCs w:val="20"/>
              </w:rPr>
              <w:t>Perceived efficacy of vaccine</w:t>
            </w:r>
          </w:p>
        </w:tc>
        <w:tc>
          <w:tcPr>
            <w:tcW w:w="4303" w:type="pct"/>
            <w:vAlign w:val="center"/>
            <w:hideMark/>
          </w:tcPr>
          <w:p w:rsidR="00D8098E" w:rsidRPr="00F256F4" w:rsidRDefault="00761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 xml:space="preserve">The </w:t>
            </w:r>
            <w:r w:rsidR="005C2F67" w:rsidRPr="00F256F4">
              <w:rPr>
                <w:rFonts w:ascii="Arial" w:hAnsi="Arial" w:cs="Arial"/>
                <w:sz w:val="20"/>
                <w:szCs w:val="20"/>
              </w:rPr>
              <w:t>participant's</w:t>
            </w:r>
            <w:r w:rsidRPr="00F256F4">
              <w:rPr>
                <w:rFonts w:ascii="Arial" w:hAnsi="Arial" w:cs="Arial"/>
                <w:sz w:val="20"/>
                <w:szCs w:val="20"/>
              </w:rPr>
              <w:t xml:space="preserve"> perceived effectiveness of HB vaccine against HB virus infection (ranging from 0</w:t>
            </w:r>
            <w:r w:rsidR="00785F19" w:rsidRPr="00F256F4">
              <w:rPr>
                <w:rFonts w:ascii="Arial" w:hAnsi="Arial" w:cs="Arial"/>
                <w:sz w:val="20"/>
                <w:szCs w:val="20"/>
              </w:rPr>
              <w:t>=</w:t>
            </w:r>
            <w:r w:rsidRPr="00F256F4">
              <w:rPr>
                <w:rFonts w:ascii="Arial" w:hAnsi="Arial" w:cs="Arial"/>
                <w:sz w:val="20"/>
                <w:szCs w:val="20"/>
              </w:rPr>
              <w:t>very ineffective to 10</w:t>
            </w:r>
            <w:r w:rsidR="00785F19" w:rsidRPr="00F256F4">
              <w:rPr>
                <w:rFonts w:ascii="Arial" w:hAnsi="Arial" w:cs="Arial"/>
                <w:sz w:val="20"/>
                <w:szCs w:val="20"/>
              </w:rPr>
              <w:t>=v</w:t>
            </w:r>
            <w:r w:rsidRPr="00F256F4">
              <w:rPr>
                <w:rFonts w:ascii="Arial" w:hAnsi="Arial" w:cs="Arial"/>
                <w:sz w:val="20"/>
                <w:szCs w:val="20"/>
              </w:rPr>
              <w:t>ery effective). Then considering the mean response value, the variable was transformed into dummy: ‘Effective’ vs ‘Ineffective’</w:t>
            </w:r>
          </w:p>
        </w:tc>
      </w:tr>
      <w:tr w:rsidR="00D8098E" w:rsidRPr="00F256F4" w:rsidTr="004177B6">
        <w:trPr>
          <w:trHeight w:val="35"/>
        </w:trPr>
        <w:tc>
          <w:tcPr>
            <w:cnfStyle w:val="001000000000" w:firstRow="0" w:lastRow="0" w:firstColumn="1" w:lastColumn="0" w:oddVBand="0" w:evenVBand="0" w:oddHBand="0" w:evenHBand="0" w:firstRowFirstColumn="0" w:firstRowLastColumn="0" w:lastRowFirstColumn="0" w:lastRowLastColumn="0"/>
            <w:tcW w:w="697" w:type="pct"/>
            <w:vAlign w:val="center"/>
            <w:hideMark/>
          </w:tcPr>
          <w:p w:rsidR="00D8098E" w:rsidRPr="00F256F4" w:rsidRDefault="007619AD">
            <w:pPr>
              <w:rPr>
                <w:rFonts w:ascii="Arial" w:hAnsi="Arial" w:cs="Arial"/>
                <w:b w:val="0"/>
                <w:sz w:val="20"/>
                <w:szCs w:val="20"/>
              </w:rPr>
            </w:pPr>
            <w:r w:rsidRPr="00F256F4">
              <w:rPr>
                <w:rFonts w:ascii="Arial" w:hAnsi="Arial" w:cs="Arial"/>
                <w:b w:val="0"/>
                <w:sz w:val="20"/>
                <w:szCs w:val="20"/>
              </w:rPr>
              <w:t>Perceived safety of vaccine</w:t>
            </w:r>
          </w:p>
        </w:tc>
        <w:tc>
          <w:tcPr>
            <w:tcW w:w="4303" w:type="pct"/>
            <w:vAlign w:val="center"/>
            <w:hideMark/>
          </w:tcPr>
          <w:p w:rsidR="00D8098E" w:rsidRPr="00F256F4" w:rsidRDefault="00761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 xml:space="preserve">The </w:t>
            </w:r>
            <w:r w:rsidR="005C2F67" w:rsidRPr="00F256F4">
              <w:rPr>
                <w:rFonts w:ascii="Arial" w:hAnsi="Arial" w:cs="Arial"/>
                <w:sz w:val="20"/>
                <w:szCs w:val="20"/>
              </w:rPr>
              <w:t>participant's</w:t>
            </w:r>
            <w:r w:rsidRPr="00F256F4">
              <w:rPr>
                <w:rFonts w:ascii="Arial" w:hAnsi="Arial" w:cs="Arial"/>
                <w:sz w:val="20"/>
                <w:szCs w:val="20"/>
              </w:rPr>
              <w:t xml:space="preserve"> perceived safety of HB vaccine concerning its side effects (ranging from 0</w:t>
            </w:r>
            <w:r w:rsidR="007948AE" w:rsidRPr="00F256F4">
              <w:rPr>
                <w:rFonts w:ascii="Arial" w:hAnsi="Arial" w:cs="Arial"/>
                <w:sz w:val="20"/>
                <w:szCs w:val="20"/>
              </w:rPr>
              <w:t>=</w:t>
            </w:r>
            <w:r w:rsidRPr="00F256F4">
              <w:rPr>
                <w:rFonts w:ascii="Arial" w:hAnsi="Arial" w:cs="Arial"/>
                <w:sz w:val="20"/>
                <w:szCs w:val="20"/>
              </w:rPr>
              <w:t>extremely unsafe to 10</w:t>
            </w:r>
            <w:r w:rsidR="007948AE" w:rsidRPr="00F256F4">
              <w:rPr>
                <w:rFonts w:ascii="Arial" w:hAnsi="Arial" w:cs="Arial"/>
                <w:sz w:val="20"/>
                <w:szCs w:val="20"/>
              </w:rPr>
              <w:t>=e</w:t>
            </w:r>
            <w:r w:rsidRPr="00F256F4">
              <w:rPr>
                <w:rFonts w:ascii="Arial" w:hAnsi="Arial" w:cs="Arial"/>
                <w:sz w:val="20"/>
                <w:szCs w:val="20"/>
              </w:rPr>
              <w:t>xtremely safe). Then considering the mean response value, the variable was transformed into dummy: ‘Safe’ vs ‘Unsafe’</w:t>
            </w:r>
          </w:p>
        </w:tc>
      </w:tr>
      <w:tr w:rsidR="00D8098E" w:rsidRPr="00F256F4" w:rsidTr="004177B6">
        <w:trPr>
          <w:trHeight w:val="43"/>
        </w:trPr>
        <w:tc>
          <w:tcPr>
            <w:cnfStyle w:val="001000000000" w:firstRow="0" w:lastRow="0" w:firstColumn="1" w:lastColumn="0" w:oddVBand="0" w:evenVBand="0" w:oddHBand="0" w:evenHBand="0" w:firstRowFirstColumn="0" w:firstRowLastColumn="0" w:lastRowFirstColumn="0" w:lastRowLastColumn="0"/>
            <w:tcW w:w="697" w:type="pct"/>
            <w:vAlign w:val="center"/>
            <w:hideMark/>
          </w:tcPr>
          <w:p w:rsidR="00D8098E" w:rsidRPr="00F256F4" w:rsidRDefault="007619AD">
            <w:pPr>
              <w:rPr>
                <w:rFonts w:ascii="Arial" w:hAnsi="Arial" w:cs="Arial"/>
                <w:b w:val="0"/>
                <w:sz w:val="20"/>
                <w:szCs w:val="20"/>
              </w:rPr>
            </w:pPr>
            <w:r w:rsidRPr="00F256F4">
              <w:rPr>
                <w:rFonts w:ascii="Arial" w:hAnsi="Arial" w:cs="Arial"/>
                <w:b w:val="0"/>
                <w:sz w:val="20"/>
                <w:szCs w:val="20"/>
              </w:rPr>
              <w:t>Perceived affordability of vaccine</w:t>
            </w:r>
          </w:p>
        </w:tc>
        <w:tc>
          <w:tcPr>
            <w:tcW w:w="4303" w:type="pct"/>
            <w:vAlign w:val="center"/>
            <w:hideMark/>
          </w:tcPr>
          <w:p w:rsidR="00D8098E" w:rsidRPr="00F256F4" w:rsidRDefault="00761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 xml:space="preserve">The </w:t>
            </w:r>
            <w:r w:rsidR="00625C2D" w:rsidRPr="00F256F4">
              <w:rPr>
                <w:rFonts w:ascii="Arial" w:hAnsi="Arial" w:cs="Arial"/>
                <w:sz w:val="20"/>
                <w:szCs w:val="20"/>
              </w:rPr>
              <w:t>participant's</w:t>
            </w:r>
            <w:r w:rsidRPr="00F256F4">
              <w:rPr>
                <w:rFonts w:ascii="Arial" w:hAnsi="Arial" w:cs="Arial"/>
                <w:sz w:val="20"/>
                <w:szCs w:val="20"/>
              </w:rPr>
              <w:t xml:space="preserve"> perceived cost affordability of the HB vaccine (ranging from 0</w:t>
            </w:r>
            <w:r w:rsidR="000320EE" w:rsidRPr="00F256F4">
              <w:rPr>
                <w:rFonts w:ascii="Arial" w:hAnsi="Arial" w:cs="Arial"/>
                <w:sz w:val="20"/>
                <w:szCs w:val="20"/>
              </w:rPr>
              <w:t>=v</w:t>
            </w:r>
            <w:r w:rsidRPr="00F256F4">
              <w:rPr>
                <w:rFonts w:ascii="Arial" w:hAnsi="Arial" w:cs="Arial"/>
                <w:sz w:val="20"/>
                <w:szCs w:val="20"/>
              </w:rPr>
              <w:t>ery expensive to 10</w:t>
            </w:r>
            <w:r w:rsidR="000320EE" w:rsidRPr="00F256F4">
              <w:rPr>
                <w:rFonts w:ascii="Arial" w:hAnsi="Arial" w:cs="Arial"/>
                <w:sz w:val="20"/>
                <w:szCs w:val="20"/>
              </w:rPr>
              <w:t>=ve</w:t>
            </w:r>
            <w:r w:rsidRPr="00F256F4">
              <w:rPr>
                <w:rFonts w:ascii="Arial" w:hAnsi="Arial" w:cs="Arial"/>
                <w:sz w:val="20"/>
                <w:szCs w:val="20"/>
              </w:rPr>
              <w:t>ry cheap). Then considering the mean response value, the variable was transformed into dummy: ‘Expensive’ vs ‘Cheap’</w:t>
            </w:r>
          </w:p>
        </w:tc>
      </w:tr>
      <w:tr w:rsidR="00D8098E" w:rsidRPr="00F256F4" w:rsidTr="004177B6">
        <w:trPr>
          <w:trHeight w:val="35"/>
        </w:trPr>
        <w:tc>
          <w:tcPr>
            <w:cnfStyle w:val="001000000000" w:firstRow="0" w:lastRow="0" w:firstColumn="1" w:lastColumn="0" w:oddVBand="0" w:evenVBand="0" w:oddHBand="0" w:evenHBand="0" w:firstRowFirstColumn="0" w:firstRowLastColumn="0" w:lastRowFirstColumn="0" w:lastRowLastColumn="0"/>
            <w:tcW w:w="697" w:type="pct"/>
            <w:vAlign w:val="center"/>
            <w:hideMark/>
          </w:tcPr>
          <w:p w:rsidR="00D8098E" w:rsidRPr="00F256F4" w:rsidRDefault="007619AD">
            <w:pPr>
              <w:rPr>
                <w:rFonts w:ascii="Arial" w:hAnsi="Arial" w:cs="Arial"/>
                <w:b w:val="0"/>
                <w:sz w:val="20"/>
                <w:szCs w:val="20"/>
              </w:rPr>
            </w:pPr>
            <w:r w:rsidRPr="00F256F4">
              <w:rPr>
                <w:rFonts w:ascii="Arial" w:hAnsi="Arial" w:cs="Arial"/>
                <w:b w:val="0"/>
                <w:sz w:val="20"/>
                <w:szCs w:val="20"/>
              </w:rPr>
              <w:t>Perceived accessibility of vaccine</w:t>
            </w:r>
          </w:p>
        </w:tc>
        <w:tc>
          <w:tcPr>
            <w:tcW w:w="4303" w:type="pct"/>
            <w:vAlign w:val="center"/>
            <w:hideMark/>
          </w:tcPr>
          <w:p w:rsidR="00D8098E" w:rsidRPr="00F256F4" w:rsidRDefault="00761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 xml:space="preserve">The </w:t>
            </w:r>
            <w:r w:rsidR="00625C2D" w:rsidRPr="00F256F4">
              <w:rPr>
                <w:rFonts w:ascii="Arial" w:hAnsi="Arial" w:cs="Arial"/>
                <w:sz w:val="20"/>
                <w:szCs w:val="20"/>
              </w:rPr>
              <w:t>participant's</w:t>
            </w:r>
            <w:r w:rsidRPr="00F256F4">
              <w:rPr>
                <w:rFonts w:ascii="Arial" w:hAnsi="Arial" w:cs="Arial"/>
                <w:sz w:val="20"/>
                <w:szCs w:val="20"/>
              </w:rPr>
              <w:t xml:space="preserve"> perceived accessibility of HB vaccine in the nearby health facility (ranging from 0</w:t>
            </w:r>
            <w:r w:rsidR="00B02FBA" w:rsidRPr="00F256F4">
              <w:rPr>
                <w:rFonts w:ascii="Arial" w:hAnsi="Arial" w:cs="Arial"/>
                <w:sz w:val="20"/>
                <w:szCs w:val="20"/>
              </w:rPr>
              <w:t>=</w:t>
            </w:r>
            <w:r w:rsidRPr="00F256F4">
              <w:rPr>
                <w:rFonts w:ascii="Arial" w:hAnsi="Arial" w:cs="Arial"/>
                <w:sz w:val="20"/>
                <w:szCs w:val="20"/>
              </w:rPr>
              <w:t>very difficult to 10</w:t>
            </w:r>
            <w:r w:rsidR="00B02FBA" w:rsidRPr="00F256F4">
              <w:rPr>
                <w:rFonts w:ascii="Arial" w:hAnsi="Arial" w:cs="Arial"/>
                <w:sz w:val="20"/>
                <w:szCs w:val="20"/>
              </w:rPr>
              <w:t>=</w:t>
            </w:r>
            <w:r w:rsidRPr="00F256F4">
              <w:rPr>
                <w:rFonts w:ascii="Arial" w:hAnsi="Arial" w:cs="Arial"/>
                <w:sz w:val="20"/>
                <w:szCs w:val="20"/>
              </w:rPr>
              <w:t>very easy). Then considering the mean response value, the variable was transformed into dummy: ‘Easy’ vs ‘Difficult’</w:t>
            </w:r>
          </w:p>
        </w:tc>
      </w:tr>
      <w:tr w:rsidR="00D8098E" w:rsidRPr="00F256F4" w:rsidTr="004177B6">
        <w:trPr>
          <w:trHeight w:val="60"/>
        </w:trPr>
        <w:tc>
          <w:tcPr>
            <w:cnfStyle w:val="001000000000" w:firstRow="0" w:lastRow="0" w:firstColumn="1" w:lastColumn="0" w:oddVBand="0" w:evenVBand="0" w:oddHBand="0" w:evenHBand="0" w:firstRowFirstColumn="0" w:firstRowLastColumn="0" w:lastRowFirstColumn="0" w:lastRowLastColumn="0"/>
            <w:tcW w:w="697" w:type="pct"/>
            <w:vAlign w:val="center"/>
            <w:hideMark/>
          </w:tcPr>
          <w:p w:rsidR="00D8098E" w:rsidRPr="00F256F4" w:rsidRDefault="007619AD">
            <w:pPr>
              <w:rPr>
                <w:rFonts w:ascii="Arial" w:hAnsi="Arial" w:cs="Arial"/>
                <w:b w:val="0"/>
                <w:sz w:val="20"/>
                <w:szCs w:val="20"/>
              </w:rPr>
            </w:pPr>
            <w:r w:rsidRPr="00F256F4">
              <w:rPr>
                <w:rFonts w:ascii="Arial" w:hAnsi="Arial" w:cs="Arial"/>
                <w:b w:val="0"/>
                <w:sz w:val="20"/>
                <w:szCs w:val="20"/>
              </w:rPr>
              <w:lastRenderedPageBreak/>
              <w:t>Perceived efficacy of PPE</w:t>
            </w:r>
          </w:p>
        </w:tc>
        <w:tc>
          <w:tcPr>
            <w:tcW w:w="4303" w:type="pct"/>
            <w:vAlign w:val="center"/>
            <w:hideMark/>
          </w:tcPr>
          <w:p w:rsidR="00D8098E" w:rsidRPr="00F256F4" w:rsidRDefault="00761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The participant</w:t>
            </w:r>
            <w:r w:rsidR="00625C2D" w:rsidRPr="00F256F4">
              <w:rPr>
                <w:rFonts w:ascii="Arial" w:hAnsi="Arial" w:cs="Arial"/>
                <w:sz w:val="20"/>
                <w:szCs w:val="20"/>
              </w:rPr>
              <w:t xml:space="preserve">’s </w:t>
            </w:r>
            <w:r w:rsidRPr="00F256F4">
              <w:rPr>
                <w:rFonts w:ascii="Arial" w:hAnsi="Arial" w:cs="Arial"/>
                <w:sz w:val="20"/>
                <w:szCs w:val="20"/>
              </w:rPr>
              <w:t xml:space="preserve">perceived efficacy of PPE (eg, glove, </w:t>
            </w:r>
            <w:r w:rsidR="004E2418" w:rsidRPr="00F256F4">
              <w:rPr>
                <w:rFonts w:ascii="Arial" w:hAnsi="Arial" w:cs="Arial"/>
                <w:sz w:val="20"/>
                <w:szCs w:val="20"/>
              </w:rPr>
              <w:t xml:space="preserve">mask, </w:t>
            </w:r>
            <w:r w:rsidRPr="00F256F4">
              <w:rPr>
                <w:rFonts w:ascii="Arial" w:hAnsi="Arial" w:cs="Arial"/>
                <w:sz w:val="20"/>
                <w:szCs w:val="20"/>
              </w:rPr>
              <w:t>face shield) against occupational or nosocomial HB virus infection (ranging from 0</w:t>
            </w:r>
            <w:r w:rsidR="00364A57" w:rsidRPr="00F256F4">
              <w:rPr>
                <w:rFonts w:ascii="Arial" w:hAnsi="Arial" w:cs="Arial"/>
                <w:sz w:val="20"/>
                <w:szCs w:val="20"/>
              </w:rPr>
              <w:t>=</w:t>
            </w:r>
            <w:r w:rsidRPr="00F256F4">
              <w:rPr>
                <w:rFonts w:ascii="Arial" w:hAnsi="Arial" w:cs="Arial"/>
                <w:sz w:val="20"/>
                <w:szCs w:val="20"/>
              </w:rPr>
              <w:t>very ineffective to 10</w:t>
            </w:r>
            <w:r w:rsidR="00364A57" w:rsidRPr="00F256F4">
              <w:rPr>
                <w:rFonts w:ascii="Arial" w:hAnsi="Arial" w:cs="Arial"/>
                <w:sz w:val="20"/>
                <w:szCs w:val="20"/>
              </w:rPr>
              <w:t>=</w:t>
            </w:r>
            <w:r w:rsidRPr="00F256F4">
              <w:rPr>
                <w:rFonts w:ascii="Arial" w:hAnsi="Arial" w:cs="Arial"/>
                <w:sz w:val="20"/>
                <w:szCs w:val="20"/>
              </w:rPr>
              <w:t>very effective). Then considering the me</w:t>
            </w:r>
            <w:r w:rsidR="005F5125" w:rsidRPr="00F256F4">
              <w:rPr>
                <w:rFonts w:ascii="Arial" w:hAnsi="Arial" w:cs="Arial"/>
                <w:sz w:val="20"/>
                <w:szCs w:val="20"/>
              </w:rPr>
              <w:t>a</w:t>
            </w:r>
            <w:r w:rsidRPr="00F256F4">
              <w:rPr>
                <w:rFonts w:ascii="Arial" w:hAnsi="Arial" w:cs="Arial"/>
                <w:sz w:val="20"/>
                <w:szCs w:val="20"/>
              </w:rPr>
              <w:t>n response value, the variable was transformed into dummy: ‘Effective’ vs ‘Ineffective’</w:t>
            </w:r>
          </w:p>
        </w:tc>
      </w:tr>
      <w:tr w:rsidR="00D8098E" w:rsidRPr="00F256F4" w:rsidTr="004177B6">
        <w:trPr>
          <w:trHeight w:val="60"/>
        </w:trPr>
        <w:tc>
          <w:tcPr>
            <w:cnfStyle w:val="001000000000" w:firstRow="0" w:lastRow="0" w:firstColumn="1" w:lastColumn="0" w:oddVBand="0" w:evenVBand="0" w:oddHBand="0" w:evenHBand="0" w:firstRowFirstColumn="0" w:firstRowLastColumn="0" w:lastRowFirstColumn="0" w:lastRowLastColumn="0"/>
            <w:tcW w:w="697" w:type="pct"/>
            <w:vAlign w:val="center"/>
            <w:hideMark/>
          </w:tcPr>
          <w:p w:rsidR="00D8098E" w:rsidRPr="00F256F4" w:rsidRDefault="007619AD">
            <w:pPr>
              <w:rPr>
                <w:rFonts w:ascii="Arial" w:hAnsi="Arial" w:cs="Arial"/>
                <w:b w:val="0"/>
                <w:sz w:val="20"/>
                <w:szCs w:val="20"/>
              </w:rPr>
            </w:pPr>
            <w:r w:rsidRPr="00F256F4">
              <w:rPr>
                <w:rFonts w:ascii="Arial" w:hAnsi="Arial" w:cs="Arial"/>
                <w:b w:val="0"/>
                <w:sz w:val="20"/>
                <w:szCs w:val="20"/>
              </w:rPr>
              <w:t>Perceived efficacy of PEP</w:t>
            </w:r>
          </w:p>
        </w:tc>
        <w:tc>
          <w:tcPr>
            <w:tcW w:w="4303" w:type="pct"/>
            <w:vAlign w:val="center"/>
            <w:hideMark/>
          </w:tcPr>
          <w:p w:rsidR="00D8098E" w:rsidRPr="00F256F4" w:rsidRDefault="00761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 xml:space="preserve">The </w:t>
            </w:r>
            <w:r w:rsidR="00625C2D" w:rsidRPr="00F256F4">
              <w:rPr>
                <w:rFonts w:ascii="Arial" w:hAnsi="Arial" w:cs="Arial"/>
                <w:sz w:val="20"/>
                <w:szCs w:val="20"/>
              </w:rPr>
              <w:t>participant's</w:t>
            </w:r>
            <w:r w:rsidRPr="00F256F4">
              <w:rPr>
                <w:rFonts w:ascii="Arial" w:hAnsi="Arial" w:cs="Arial"/>
                <w:sz w:val="20"/>
                <w:szCs w:val="20"/>
              </w:rPr>
              <w:t xml:space="preserve"> perceived efficacy of PEP against HB infection–after someone exposed to the infected blood (ranging from 0</w:t>
            </w:r>
            <w:r w:rsidR="00364A57" w:rsidRPr="00F256F4">
              <w:rPr>
                <w:rFonts w:ascii="Arial" w:hAnsi="Arial" w:cs="Arial"/>
                <w:sz w:val="20"/>
                <w:szCs w:val="20"/>
              </w:rPr>
              <w:t>=</w:t>
            </w:r>
            <w:r w:rsidRPr="00F256F4">
              <w:rPr>
                <w:rFonts w:ascii="Arial" w:hAnsi="Arial" w:cs="Arial"/>
                <w:sz w:val="20"/>
                <w:szCs w:val="20"/>
              </w:rPr>
              <w:t>very ineffective to 10</w:t>
            </w:r>
            <w:r w:rsidR="00364A57" w:rsidRPr="00F256F4">
              <w:rPr>
                <w:rFonts w:ascii="Arial" w:hAnsi="Arial" w:cs="Arial"/>
                <w:sz w:val="20"/>
                <w:szCs w:val="20"/>
              </w:rPr>
              <w:t>=</w:t>
            </w:r>
            <w:r w:rsidRPr="00F256F4">
              <w:rPr>
                <w:rFonts w:ascii="Arial" w:hAnsi="Arial" w:cs="Arial"/>
                <w:sz w:val="20"/>
                <w:szCs w:val="20"/>
              </w:rPr>
              <w:t>very effective). Then considering the mean response value, the variable was transformed into dummy: ‘Effective’ vs ‘Ineffective’</w:t>
            </w:r>
          </w:p>
        </w:tc>
      </w:tr>
      <w:tr w:rsidR="00D8098E" w:rsidRPr="00F256F4" w:rsidTr="004177B6">
        <w:trPr>
          <w:trHeight w:val="60"/>
        </w:trPr>
        <w:tc>
          <w:tcPr>
            <w:cnfStyle w:val="001000000000" w:firstRow="0" w:lastRow="0" w:firstColumn="1" w:lastColumn="0" w:oddVBand="0" w:evenVBand="0" w:oddHBand="0" w:evenHBand="0" w:firstRowFirstColumn="0" w:firstRowLastColumn="0" w:lastRowFirstColumn="0" w:lastRowLastColumn="0"/>
            <w:tcW w:w="697" w:type="pct"/>
            <w:vAlign w:val="center"/>
            <w:hideMark/>
          </w:tcPr>
          <w:p w:rsidR="00D8098E" w:rsidRPr="00F256F4" w:rsidRDefault="007619AD">
            <w:pPr>
              <w:rPr>
                <w:rFonts w:ascii="Arial" w:hAnsi="Arial" w:cs="Arial"/>
                <w:b w:val="0"/>
                <w:sz w:val="20"/>
                <w:szCs w:val="20"/>
              </w:rPr>
            </w:pPr>
            <w:r w:rsidRPr="00F256F4">
              <w:rPr>
                <w:rFonts w:ascii="Arial" w:hAnsi="Arial" w:cs="Arial"/>
                <w:b w:val="0"/>
                <w:sz w:val="20"/>
                <w:szCs w:val="20"/>
              </w:rPr>
              <w:t>Ever tested for HIV</w:t>
            </w:r>
          </w:p>
        </w:tc>
        <w:tc>
          <w:tcPr>
            <w:tcW w:w="4303" w:type="pct"/>
            <w:vAlign w:val="center"/>
            <w:hideMark/>
          </w:tcPr>
          <w:p w:rsidR="00D8098E" w:rsidRPr="00F256F4" w:rsidRDefault="00761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Did you ever tested for HIV: ‘Yes’ vs ‘No’</w:t>
            </w:r>
          </w:p>
        </w:tc>
      </w:tr>
      <w:tr w:rsidR="00D8098E" w:rsidRPr="00F256F4" w:rsidTr="004177B6">
        <w:trPr>
          <w:trHeight w:val="60"/>
        </w:trPr>
        <w:tc>
          <w:tcPr>
            <w:cnfStyle w:val="001000000000" w:firstRow="0" w:lastRow="0" w:firstColumn="1" w:lastColumn="0" w:oddVBand="0" w:evenVBand="0" w:oddHBand="0" w:evenHBand="0" w:firstRowFirstColumn="0" w:firstRowLastColumn="0" w:lastRowFirstColumn="0" w:lastRowLastColumn="0"/>
            <w:tcW w:w="697" w:type="pct"/>
            <w:vAlign w:val="center"/>
            <w:hideMark/>
          </w:tcPr>
          <w:p w:rsidR="00D8098E" w:rsidRPr="00F256F4" w:rsidRDefault="007619AD">
            <w:pPr>
              <w:rPr>
                <w:rFonts w:ascii="Arial" w:hAnsi="Arial" w:cs="Arial"/>
                <w:b w:val="0"/>
                <w:sz w:val="20"/>
                <w:szCs w:val="20"/>
              </w:rPr>
            </w:pPr>
            <w:r w:rsidRPr="00F256F4">
              <w:rPr>
                <w:rFonts w:ascii="Arial" w:hAnsi="Arial" w:cs="Arial"/>
                <w:b w:val="0"/>
                <w:sz w:val="20"/>
                <w:szCs w:val="20"/>
              </w:rPr>
              <w:t>Tobacco use</w:t>
            </w:r>
          </w:p>
        </w:tc>
        <w:tc>
          <w:tcPr>
            <w:tcW w:w="4303" w:type="pct"/>
            <w:vAlign w:val="center"/>
            <w:hideMark/>
          </w:tcPr>
          <w:p w:rsidR="00D8098E" w:rsidRPr="00F256F4" w:rsidRDefault="00761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History of active tobacco smoking: ‘Ever’ vs ‘Never’</w:t>
            </w:r>
          </w:p>
        </w:tc>
      </w:tr>
      <w:tr w:rsidR="00D8098E" w:rsidRPr="00F256F4" w:rsidTr="004177B6">
        <w:trPr>
          <w:trHeight w:val="60"/>
        </w:trPr>
        <w:tc>
          <w:tcPr>
            <w:cnfStyle w:val="001000000000" w:firstRow="0" w:lastRow="0" w:firstColumn="1" w:lastColumn="0" w:oddVBand="0" w:evenVBand="0" w:oddHBand="0" w:evenHBand="0" w:firstRowFirstColumn="0" w:firstRowLastColumn="0" w:lastRowFirstColumn="0" w:lastRowLastColumn="0"/>
            <w:tcW w:w="697" w:type="pct"/>
            <w:vAlign w:val="center"/>
            <w:hideMark/>
          </w:tcPr>
          <w:p w:rsidR="00D8098E" w:rsidRPr="00F256F4" w:rsidRDefault="007619AD">
            <w:pPr>
              <w:rPr>
                <w:rFonts w:ascii="Arial" w:hAnsi="Arial" w:cs="Arial"/>
                <w:b w:val="0"/>
                <w:sz w:val="20"/>
                <w:szCs w:val="20"/>
              </w:rPr>
            </w:pPr>
            <w:r w:rsidRPr="00F256F4">
              <w:rPr>
                <w:rFonts w:ascii="Arial" w:hAnsi="Arial" w:cs="Arial"/>
                <w:b w:val="0"/>
                <w:sz w:val="20"/>
                <w:szCs w:val="20"/>
              </w:rPr>
              <w:t>Alcohol use</w:t>
            </w:r>
          </w:p>
        </w:tc>
        <w:tc>
          <w:tcPr>
            <w:tcW w:w="4303" w:type="pct"/>
            <w:vAlign w:val="center"/>
            <w:hideMark/>
          </w:tcPr>
          <w:p w:rsidR="00D8098E" w:rsidRPr="00F256F4" w:rsidRDefault="00761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History of alcohol drinking: ‘Ever’ vs ‘Never’</w:t>
            </w:r>
          </w:p>
        </w:tc>
      </w:tr>
      <w:tr w:rsidR="00D8098E" w:rsidRPr="00F256F4" w:rsidTr="004177B6">
        <w:trPr>
          <w:trHeight w:val="241"/>
        </w:trPr>
        <w:tc>
          <w:tcPr>
            <w:cnfStyle w:val="001000000000" w:firstRow="0" w:lastRow="0" w:firstColumn="1" w:lastColumn="0" w:oddVBand="0" w:evenVBand="0" w:oddHBand="0" w:evenHBand="0" w:firstRowFirstColumn="0" w:firstRowLastColumn="0" w:lastRowFirstColumn="0" w:lastRowLastColumn="0"/>
            <w:tcW w:w="697" w:type="pct"/>
            <w:vMerge w:val="restart"/>
            <w:vAlign w:val="center"/>
            <w:hideMark/>
          </w:tcPr>
          <w:p w:rsidR="00D8098E" w:rsidRPr="00F256F4" w:rsidRDefault="007619AD">
            <w:pPr>
              <w:rPr>
                <w:rFonts w:ascii="Arial" w:hAnsi="Arial" w:cs="Arial"/>
                <w:b w:val="0"/>
                <w:sz w:val="20"/>
                <w:szCs w:val="20"/>
              </w:rPr>
            </w:pPr>
            <w:r w:rsidRPr="00F256F4">
              <w:rPr>
                <w:rFonts w:ascii="Arial" w:hAnsi="Arial" w:cs="Arial"/>
                <w:b w:val="0"/>
                <w:sz w:val="20"/>
                <w:szCs w:val="20"/>
              </w:rPr>
              <w:t>Prior OE to blood</w:t>
            </w:r>
          </w:p>
        </w:tc>
        <w:tc>
          <w:tcPr>
            <w:tcW w:w="4303" w:type="pct"/>
            <w:vAlign w:val="center"/>
            <w:hideMark/>
          </w:tcPr>
          <w:p w:rsidR="00D8098E" w:rsidRPr="00F256F4" w:rsidRDefault="00761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History of</w:t>
            </w:r>
            <w:r w:rsidR="0072129C">
              <w:rPr>
                <w:rFonts w:ascii="Arial" w:hAnsi="Arial" w:cs="Arial"/>
                <w:sz w:val="20"/>
                <w:szCs w:val="20"/>
              </w:rPr>
              <w:t xml:space="preserve"> p</w:t>
            </w:r>
            <w:r w:rsidRPr="00F256F4">
              <w:rPr>
                <w:rFonts w:ascii="Arial" w:hAnsi="Arial" w:cs="Arial"/>
                <w:sz w:val="20"/>
                <w:szCs w:val="20"/>
              </w:rPr>
              <w:t>otentially hazardous OEs with the patients’ blood: ‘Yes’ vs ‘No’. According to our survey questioner used, the</w:t>
            </w:r>
            <w:r w:rsidR="00BB1C02" w:rsidRPr="00F256F4">
              <w:rPr>
                <w:rFonts w:ascii="Arial" w:hAnsi="Arial" w:cs="Arial"/>
                <w:sz w:val="20"/>
                <w:szCs w:val="20"/>
              </w:rPr>
              <w:t xml:space="preserve"> variable</w:t>
            </w:r>
            <w:r w:rsidR="009908C2" w:rsidRPr="00F256F4">
              <w:rPr>
                <w:rFonts w:ascii="Arial" w:hAnsi="Arial" w:cs="Arial"/>
                <w:sz w:val="20"/>
                <w:szCs w:val="20"/>
              </w:rPr>
              <w:t>’s</w:t>
            </w:r>
            <w:r w:rsidRPr="00F256F4">
              <w:rPr>
                <w:rFonts w:ascii="Arial" w:hAnsi="Arial" w:cs="Arial"/>
                <w:sz w:val="20"/>
                <w:szCs w:val="20"/>
              </w:rPr>
              <w:t xml:space="preserve"> category “yes” refers to</w:t>
            </w:r>
            <w:r w:rsidR="00DF6111" w:rsidRPr="00F256F4">
              <w:rPr>
                <w:rFonts w:ascii="Arial" w:hAnsi="Arial" w:cs="Arial"/>
                <w:sz w:val="20"/>
                <w:szCs w:val="20"/>
              </w:rPr>
              <w:t xml:space="preserve"> </w:t>
            </w:r>
            <w:r w:rsidRPr="00F256F4">
              <w:rPr>
                <w:rFonts w:ascii="Arial" w:hAnsi="Arial" w:cs="Arial"/>
                <w:sz w:val="20"/>
                <w:szCs w:val="20"/>
              </w:rPr>
              <w:t>participants</w:t>
            </w:r>
            <w:r w:rsidR="0099688C" w:rsidRPr="00F256F4">
              <w:rPr>
                <w:rFonts w:ascii="Arial" w:hAnsi="Arial" w:cs="Arial"/>
                <w:sz w:val="20"/>
                <w:szCs w:val="20"/>
              </w:rPr>
              <w:t xml:space="preserve"> those</w:t>
            </w:r>
            <w:r w:rsidRPr="00F256F4">
              <w:rPr>
                <w:rFonts w:ascii="Arial" w:hAnsi="Arial" w:cs="Arial"/>
                <w:sz w:val="20"/>
                <w:szCs w:val="20"/>
              </w:rPr>
              <w:t xml:space="preserve"> who ever had a history of one or more of the following percutaneous or permucosal modes of accidental exposures on </w:t>
            </w:r>
            <w:r w:rsidR="0099688C" w:rsidRPr="00F256F4">
              <w:rPr>
                <w:rFonts w:ascii="Arial" w:hAnsi="Arial" w:cs="Arial"/>
                <w:sz w:val="20"/>
                <w:szCs w:val="20"/>
              </w:rPr>
              <w:t>the</w:t>
            </w:r>
            <w:r w:rsidRPr="00F256F4">
              <w:rPr>
                <w:rFonts w:ascii="Arial" w:hAnsi="Arial" w:cs="Arial"/>
                <w:sz w:val="20"/>
                <w:szCs w:val="20"/>
              </w:rPr>
              <w:t xml:space="preserve"> job.</w:t>
            </w:r>
          </w:p>
        </w:tc>
      </w:tr>
      <w:tr w:rsidR="00D8098E" w:rsidRPr="00F256F4" w:rsidTr="004177B6">
        <w:trPr>
          <w:trHeight w:val="60"/>
        </w:trPr>
        <w:tc>
          <w:tcPr>
            <w:cnfStyle w:val="001000000000" w:firstRow="0" w:lastRow="0" w:firstColumn="1" w:lastColumn="0" w:oddVBand="0" w:evenVBand="0" w:oddHBand="0" w:evenHBand="0" w:firstRowFirstColumn="0" w:firstRowLastColumn="0" w:lastRowFirstColumn="0" w:lastRowLastColumn="0"/>
            <w:tcW w:w="697" w:type="pct"/>
            <w:vMerge/>
            <w:vAlign w:val="center"/>
            <w:hideMark/>
          </w:tcPr>
          <w:p w:rsidR="00D8098E" w:rsidRPr="00F256F4" w:rsidRDefault="00D8098E">
            <w:pPr>
              <w:rPr>
                <w:rFonts w:ascii="Arial" w:hAnsi="Arial" w:cs="Arial"/>
                <w:b w:val="0"/>
                <w:sz w:val="20"/>
                <w:szCs w:val="20"/>
              </w:rPr>
            </w:pPr>
          </w:p>
        </w:tc>
        <w:tc>
          <w:tcPr>
            <w:tcW w:w="4303" w:type="pct"/>
            <w:vAlign w:val="center"/>
            <w:hideMark/>
          </w:tcPr>
          <w:p w:rsidR="00D8098E" w:rsidRPr="00F256F4" w:rsidRDefault="007619A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 xml:space="preserve">Contaminated needle prick (stick) injury </w:t>
            </w:r>
          </w:p>
        </w:tc>
      </w:tr>
      <w:tr w:rsidR="00D8098E" w:rsidRPr="00F256F4" w:rsidTr="004177B6">
        <w:trPr>
          <w:trHeight w:val="60"/>
        </w:trPr>
        <w:tc>
          <w:tcPr>
            <w:cnfStyle w:val="001000000000" w:firstRow="0" w:lastRow="0" w:firstColumn="1" w:lastColumn="0" w:oddVBand="0" w:evenVBand="0" w:oddHBand="0" w:evenHBand="0" w:firstRowFirstColumn="0" w:firstRowLastColumn="0" w:lastRowFirstColumn="0" w:lastRowLastColumn="0"/>
            <w:tcW w:w="697" w:type="pct"/>
            <w:vMerge/>
            <w:vAlign w:val="center"/>
            <w:hideMark/>
          </w:tcPr>
          <w:p w:rsidR="00D8098E" w:rsidRPr="00F256F4" w:rsidRDefault="00D8098E">
            <w:pPr>
              <w:rPr>
                <w:rFonts w:ascii="Arial" w:hAnsi="Arial" w:cs="Arial"/>
                <w:b w:val="0"/>
                <w:sz w:val="20"/>
                <w:szCs w:val="20"/>
              </w:rPr>
            </w:pPr>
          </w:p>
        </w:tc>
        <w:tc>
          <w:tcPr>
            <w:tcW w:w="4303" w:type="pct"/>
            <w:vAlign w:val="center"/>
            <w:hideMark/>
          </w:tcPr>
          <w:p w:rsidR="00D8098E" w:rsidRPr="00F256F4" w:rsidRDefault="007619A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Contaminated scalpel cut (sharp) injury</w:t>
            </w:r>
          </w:p>
        </w:tc>
      </w:tr>
      <w:tr w:rsidR="00D8098E" w:rsidRPr="00F256F4" w:rsidTr="004177B6">
        <w:trPr>
          <w:trHeight w:val="60"/>
        </w:trPr>
        <w:tc>
          <w:tcPr>
            <w:cnfStyle w:val="001000000000" w:firstRow="0" w:lastRow="0" w:firstColumn="1" w:lastColumn="0" w:oddVBand="0" w:evenVBand="0" w:oddHBand="0" w:evenHBand="0" w:firstRowFirstColumn="0" w:firstRowLastColumn="0" w:lastRowFirstColumn="0" w:lastRowLastColumn="0"/>
            <w:tcW w:w="697" w:type="pct"/>
            <w:vMerge/>
            <w:vAlign w:val="center"/>
            <w:hideMark/>
          </w:tcPr>
          <w:p w:rsidR="00D8098E" w:rsidRPr="00F256F4" w:rsidRDefault="00D8098E">
            <w:pPr>
              <w:rPr>
                <w:rFonts w:ascii="Arial" w:hAnsi="Arial" w:cs="Arial"/>
                <w:b w:val="0"/>
                <w:sz w:val="20"/>
                <w:szCs w:val="20"/>
              </w:rPr>
            </w:pPr>
          </w:p>
        </w:tc>
        <w:tc>
          <w:tcPr>
            <w:tcW w:w="4303" w:type="pct"/>
            <w:vAlign w:val="center"/>
            <w:hideMark/>
          </w:tcPr>
          <w:p w:rsidR="00D8098E" w:rsidRPr="00F256F4" w:rsidRDefault="007619A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Direct splash of blood or other bodily fluids into the eyes and/or mouth</w:t>
            </w:r>
          </w:p>
        </w:tc>
      </w:tr>
      <w:tr w:rsidR="00D8098E" w:rsidRPr="00F256F4" w:rsidTr="004177B6">
        <w:trPr>
          <w:trHeight w:val="60"/>
        </w:trPr>
        <w:tc>
          <w:tcPr>
            <w:cnfStyle w:val="001000000000" w:firstRow="0" w:lastRow="0" w:firstColumn="1" w:lastColumn="0" w:oddVBand="0" w:evenVBand="0" w:oddHBand="0" w:evenHBand="0" w:firstRowFirstColumn="0" w:firstRowLastColumn="0" w:lastRowFirstColumn="0" w:lastRowLastColumn="0"/>
            <w:tcW w:w="697" w:type="pct"/>
            <w:vMerge/>
            <w:vAlign w:val="center"/>
            <w:hideMark/>
          </w:tcPr>
          <w:p w:rsidR="00D8098E" w:rsidRPr="00F256F4" w:rsidRDefault="00D8098E">
            <w:pPr>
              <w:rPr>
                <w:rFonts w:ascii="Arial" w:hAnsi="Arial" w:cs="Arial"/>
                <w:b w:val="0"/>
                <w:sz w:val="20"/>
                <w:szCs w:val="20"/>
              </w:rPr>
            </w:pPr>
          </w:p>
        </w:tc>
        <w:tc>
          <w:tcPr>
            <w:tcW w:w="4303" w:type="pct"/>
            <w:vAlign w:val="center"/>
            <w:hideMark/>
          </w:tcPr>
          <w:p w:rsidR="00D8098E" w:rsidRPr="00F256F4" w:rsidRDefault="007619A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Direct splash of blood or other bodily fluids into impaired (wounded) skin</w:t>
            </w:r>
          </w:p>
        </w:tc>
      </w:tr>
      <w:tr w:rsidR="00D8098E" w:rsidRPr="00F256F4" w:rsidTr="004177B6">
        <w:trPr>
          <w:trHeight w:val="60"/>
        </w:trPr>
        <w:tc>
          <w:tcPr>
            <w:cnfStyle w:val="001000000000" w:firstRow="0" w:lastRow="0" w:firstColumn="1" w:lastColumn="0" w:oddVBand="0" w:evenVBand="0" w:oddHBand="0" w:evenHBand="0" w:firstRowFirstColumn="0" w:firstRowLastColumn="0" w:lastRowFirstColumn="0" w:lastRowLastColumn="0"/>
            <w:tcW w:w="697" w:type="pct"/>
            <w:vMerge/>
            <w:vAlign w:val="center"/>
            <w:hideMark/>
          </w:tcPr>
          <w:p w:rsidR="00D8098E" w:rsidRPr="00F256F4" w:rsidRDefault="00D8098E">
            <w:pPr>
              <w:rPr>
                <w:rFonts w:ascii="Arial" w:hAnsi="Arial" w:cs="Arial"/>
                <w:b w:val="0"/>
                <w:sz w:val="20"/>
                <w:szCs w:val="20"/>
              </w:rPr>
            </w:pPr>
          </w:p>
        </w:tc>
        <w:tc>
          <w:tcPr>
            <w:tcW w:w="4303" w:type="pct"/>
            <w:vAlign w:val="center"/>
            <w:hideMark/>
          </w:tcPr>
          <w:p w:rsidR="00D8098E" w:rsidRPr="00F256F4" w:rsidRDefault="007619A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Direct splash of blood or other bodily fluids into intact (unwounded) skin</w:t>
            </w:r>
          </w:p>
        </w:tc>
      </w:tr>
      <w:tr w:rsidR="00D8098E" w:rsidRPr="00F256F4" w:rsidTr="004177B6">
        <w:trPr>
          <w:trHeight w:val="60"/>
        </w:trPr>
        <w:tc>
          <w:tcPr>
            <w:cnfStyle w:val="001000000000" w:firstRow="0" w:lastRow="0" w:firstColumn="1" w:lastColumn="0" w:oddVBand="0" w:evenVBand="0" w:oddHBand="0" w:evenHBand="0" w:firstRowFirstColumn="0" w:firstRowLastColumn="0" w:lastRowFirstColumn="0" w:lastRowLastColumn="0"/>
            <w:tcW w:w="697" w:type="pct"/>
            <w:vAlign w:val="center"/>
          </w:tcPr>
          <w:p w:rsidR="00D8098E" w:rsidRPr="00F256F4" w:rsidRDefault="007619AD">
            <w:pPr>
              <w:rPr>
                <w:rFonts w:ascii="Arial" w:hAnsi="Arial" w:cs="Arial"/>
                <w:b w:val="0"/>
                <w:sz w:val="20"/>
                <w:szCs w:val="20"/>
              </w:rPr>
            </w:pPr>
            <w:r w:rsidRPr="00F256F4">
              <w:rPr>
                <w:rFonts w:ascii="Arial" w:hAnsi="Arial" w:cs="Arial"/>
                <w:b w:val="0"/>
                <w:sz w:val="20"/>
                <w:szCs w:val="20"/>
              </w:rPr>
              <w:t>Adherence in practicing UP</w:t>
            </w:r>
          </w:p>
        </w:tc>
        <w:tc>
          <w:tcPr>
            <w:tcW w:w="4303" w:type="pct"/>
            <w:vAlign w:val="center"/>
          </w:tcPr>
          <w:p w:rsidR="00D8098E" w:rsidRPr="00F256F4" w:rsidRDefault="00761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 xml:space="preserve">The </w:t>
            </w:r>
            <w:r w:rsidR="00E82AE7" w:rsidRPr="00F256F4">
              <w:rPr>
                <w:rFonts w:ascii="Arial" w:hAnsi="Arial" w:cs="Arial"/>
                <w:sz w:val="20"/>
                <w:szCs w:val="20"/>
              </w:rPr>
              <w:t>participant's</w:t>
            </w:r>
            <w:r w:rsidRPr="00F256F4">
              <w:rPr>
                <w:rFonts w:ascii="Arial" w:hAnsi="Arial" w:cs="Arial"/>
                <w:sz w:val="20"/>
                <w:szCs w:val="20"/>
              </w:rPr>
              <w:t xml:space="preserve"> self-rated adherence in practicing UP on the job (from 0</w:t>
            </w:r>
            <w:r w:rsidR="00C426AD" w:rsidRPr="00F256F4">
              <w:rPr>
                <w:rFonts w:ascii="Arial" w:hAnsi="Arial" w:cs="Arial"/>
                <w:sz w:val="20"/>
                <w:szCs w:val="20"/>
              </w:rPr>
              <w:t>=</w:t>
            </w:r>
            <w:r w:rsidRPr="00F256F4">
              <w:rPr>
                <w:rFonts w:ascii="Arial" w:hAnsi="Arial" w:cs="Arial"/>
                <w:sz w:val="20"/>
                <w:szCs w:val="20"/>
              </w:rPr>
              <w:t>very poor to 10</w:t>
            </w:r>
            <w:r w:rsidR="00C426AD" w:rsidRPr="00F256F4">
              <w:rPr>
                <w:rFonts w:ascii="Arial" w:hAnsi="Arial" w:cs="Arial"/>
                <w:sz w:val="20"/>
                <w:szCs w:val="20"/>
              </w:rPr>
              <w:t>=</w:t>
            </w:r>
            <w:r w:rsidRPr="00F256F4">
              <w:rPr>
                <w:rFonts w:ascii="Arial" w:hAnsi="Arial" w:cs="Arial"/>
                <w:sz w:val="20"/>
                <w:szCs w:val="20"/>
              </w:rPr>
              <w:t xml:space="preserve">very good). Then considering the mean response </w:t>
            </w:r>
            <w:r w:rsidR="006872E5" w:rsidRPr="00F256F4">
              <w:rPr>
                <w:rFonts w:ascii="Arial" w:hAnsi="Arial" w:cs="Arial"/>
                <w:sz w:val="20"/>
                <w:szCs w:val="20"/>
              </w:rPr>
              <w:t>value among all participants</w:t>
            </w:r>
            <w:r w:rsidRPr="00F256F4">
              <w:rPr>
                <w:rFonts w:ascii="Arial" w:hAnsi="Arial" w:cs="Arial"/>
                <w:sz w:val="20"/>
                <w:szCs w:val="20"/>
              </w:rPr>
              <w:t>, the variable self-rated adherence in UP was transformed into dummy: ‘Good’ vs ‘Poor’</w:t>
            </w:r>
          </w:p>
        </w:tc>
      </w:tr>
      <w:tr w:rsidR="00D8098E" w:rsidRPr="00F256F4" w:rsidTr="004177B6">
        <w:trPr>
          <w:trHeight w:val="60"/>
        </w:trPr>
        <w:tc>
          <w:tcPr>
            <w:cnfStyle w:val="001000000000" w:firstRow="0" w:lastRow="0" w:firstColumn="1" w:lastColumn="0" w:oddVBand="0" w:evenVBand="0" w:oddHBand="0" w:evenHBand="0" w:firstRowFirstColumn="0" w:firstRowLastColumn="0" w:lastRowFirstColumn="0" w:lastRowLastColumn="0"/>
            <w:tcW w:w="697" w:type="pct"/>
            <w:vAlign w:val="center"/>
            <w:hideMark/>
          </w:tcPr>
          <w:p w:rsidR="00D8098E" w:rsidRPr="00F256F4" w:rsidRDefault="007619AD">
            <w:pPr>
              <w:rPr>
                <w:rFonts w:ascii="Arial" w:hAnsi="Arial" w:cs="Arial"/>
                <w:b w:val="0"/>
                <w:sz w:val="20"/>
                <w:szCs w:val="20"/>
              </w:rPr>
            </w:pPr>
            <w:r w:rsidRPr="00F256F4">
              <w:rPr>
                <w:rFonts w:ascii="Arial" w:hAnsi="Arial" w:cs="Arial"/>
                <w:b w:val="0"/>
                <w:sz w:val="20"/>
                <w:szCs w:val="20"/>
              </w:rPr>
              <w:t>History of jaundice</w:t>
            </w:r>
          </w:p>
        </w:tc>
        <w:tc>
          <w:tcPr>
            <w:tcW w:w="4303" w:type="pct"/>
            <w:vAlign w:val="center"/>
            <w:hideMark/>
          </w:tcPr>
          <w:p w:rsidR="00D8098E" w:rsidRPr="00F256F4" w:rsidRDefault="00761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Personal history of yellow eyes: ‘Yes’ vs ‘No’</w:t>
            </w:r>
          </w:p>
        </w:tc>
      </w:tr>
      <w:tr w:rsidR="00D8098E" w:rsidRPr="00F256F4" w:rsidTr="004177B6">
        <w:trPr>
          <w:trHeight w:val="60"/>
        </w:trPr>
        <w:tc>
          <w:tcPr>
            <w:cnfStyle w:val="001000000000" w:firstRow="0" w:lastRow="0" w:firstColumn="1" w:lastColumn="0" w:oddVBand="0" w:evenVBand="0" w:oddHBand="0" w:evenHBand="0" w:firstRowFirstColumn="0" w:firstRowLastColumn="0" w:lastRowFirstColumn="0" w:lastRowLastColumn="0"/>
            <w:tcW w:w="697" w:type="pct"/>
            <w:vAlign w:val="center"/>
            <w:hideMark/>
          </w:tcPr>
          <w:p w:rsidR="00D8098E" w:rsidRPr="00F256F4" w:rsidRDefault="007619AD">
            <w:pPr>
              <w:rPr>
                <w:rFonts w:ascii="Arial" w:hAnsi="Arial" w:cs="Arial"/>
                <w:b w:val="0"/>
                <w:sz w:val="20"/>
                <w:szCs w:val="20"/>
              </w:rPr>
            </w:pPr>
            <w:r w:rsidRPr="00F256F4">
              <w:rPr>
                <w:rFonts w:ascii="Arial" w:hAnsi="Arial" w:cs="Arial"/>
                <w:b w:val="0"/>
                <w:sz w:val="20"/>
                <w:szCs w:val="20"/>
              </w:rPr>
              <w:t>Taken training on UP</w:t>
            </w:r>
          </w:p>
        </w:tc>
        <w:tc>
          <w:tcPr>
            <w:tcW w:w="4303" w:type="pct"/>
            <w:vAlign w:val="center"/>
            <w:hideMark/>
          </w:tcPr>
          <w:p w:rsidR="00D8098E" w:rsidRPr="00F256F4" w:rsidRDefault="00365811" w:rsidP="0036581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 xml:space="preserve">Taken routine on-job training on </w:t>
            </w:r>
            <w:r w:rsidR="007619AD" w:rsidRPr="00F256F4">
              <w:rPr>
                <w:rFonts w:ascii="Arial" w:hAnsi="Arial" w:cs="Arial"/>
                <w:sz w:val="20"/>
                <w:szCs w:val="20"/>
              </w:rPr>
              <w:t>UP: ‘Ever’ vs ‘Never’</w:t>
            </w:r>
          </w:p>
        </w:tc>
      </w:tr>
      <w:tr w:rsidR="00D8098E" w:rsidRPr="00F256F4" w:rsidTr="004177B6">
        <w:trPr>
          <w:trHeight w:val="60"/>
        </w:trPr>
        <w:tc>
          <w:tcPr>
            <w:cnfStyle w:val="001000000000" w:firstRow="0" w:lastRow="0" w:firstColumn="1" w:lastColumn="0" w:oddVBand="0" w:evenVBand="0" w:oddHBand="0" w:evenHBand="0" w:firstRowFirstColumn="0" w:firstRowLastColumn="0" w:lastRowFirstColumn="0" w:lastRowLastColumn="0"/>
            <w:tcW w:w="697" w:type="pct"/>
            <w:vMerge w:val="restart"/>
            <w:vAlign w:val="center"/>
            <w:hideMark/>
          </w:tcPr>
          <w:p w:rsidR="00D8098E" w:rsidRPr="00F256F4" w:rsidRDefault="007619AD">
            <w:pPr>
              <w:rPr>
                <w:rFonts w:ascii="Arial" w:hAnsi="Arial" w:cs="Arial"/>
                <w:b w:val="0"/>
                <w:sz w:val="20"/>
                <w:szCs w:val="20"/>
              </w:rPr>
            </w:pPr>
            <w:r w:rsidRPr="00F256F4">
              <w:rPr>
                <w:rFonts w:ascii="Arial" w:hAnsi="Arial" w:cs="Arial"/>
                <w:b w:val="0"/>
                <w:sz w:val="20"/>
                <w:szCs w:val="20"/>
              </w:rPr>
              <w:t>Know HB infected persons</w:t>
            </w:r>
          </w:p>
        </w:tc>
        <w:tc>
          <w:tcPr>
            <w:tcW w:w="4303" w:type="pct"/>
            <w:vAlign w:val="center"/>
            <w:hideMark/>
          </w:tcPr>
          <w:p w:rsidR="00D8098E" w:rsidRPr="00F256F4" w:rsidRDefault="00761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Knowing persons diagnosed with HB virus infection: ‘Yes’ vs ‘No’. The</w:t>
            </w:r>
            <w:r w:rsidR="002D1875" w:rsidRPr="00F256F4">
              <w:rPr>
                <w:rFonts w:ascii="Arial" w:hAnsi="Arial" w:cs="Arial"/>
                <w:sz w:val="20"/>
                <w:szCs w:val="20"/>
              </w:rPr>
              <w:t xml:space="preserve"> variable’</w:t>
            </w:r>
            <w:r w:rsidR="00985DE4" w:rsidRPr="00F256F4">
              <w:rPr>
                <w:rFonts w:ascii="Arial" w:hAnsi="Arial" w:cs="Arial"/>
                <w:sz w:val="20"/>
                <w:szCs w:val="20"/>
              </w:rPr>
              <w:t>s</w:t>
            </w:r>
            <w:r w:rsidRPr="00F256F4">
              <w:rPr>
                <w:rFonts w:ascii="Arial" w:hAnsi="Arial" w:cs="Arial"/>
                <w:sz w:val="20"/>
                <w:szCs w:val="20"/>
              </w:rPr>
              <w:t xml:space="preserve"> category “yes” refers to</w:t>
            </w:r>
            <w:r w:rsidR="00904F9F" w:rsidRPr="00F256F4">
              <w:rPr>
                <w:rFonts w:ascii="Arial" w:hAnsi="Arial" w:cs="Arial"/>
                <w:sz w:val="20"/>
                <w:szCs w:val="20"/>
              </w:rPr>
              <w:t xml:space="preserve"> </w:t>
            </w:r>
            <w:r w:rsidR="0012713F" w:rsidRPr="00F256F4">
              <w:rPr>
                <w:rFonts w:ascii="Arial" w:hAnsi="Arial" w:cs="Arial"/>
                <w:sz w:val="20"/>
                <w:szCs w:val="20"/>
              </w:rPr>
              <w:t xml:space="preserve">participants </w:t>
            </w:r>
            <w:r w:rsidRPr="00F256F4">
              <w:rPr>
                <w:rFonts w:ascii="Arial" w:hAnsi="Arial" w:cs="Arial"/>
                <w:sz w:val="20"/>
                <w:szCs w:val="20"/>
              </w:rPr>
              <w:t>who responded as yes to one or more of the following items.</w:t>
            </w:r>
          </w:p>
        </w:tc>
      </w:tr>
      <w:tr w:rsidR="00D8098E" w:rsidRPr="00F256F4" w:rsidTr="004177B6">
        <w:trPr>
          <w:trHeight w:val="60"/>
        </w:trPr>
        <w:tc>
          <w:tcPr>
            <w:cnfStyle w:val="001000000000" w:firstRow="0" w:lastRow="0" w:firstColumn="1" w:lastColumn="0" w:oddVBand="0" w:evenVBand="0" w:oddHBand="0" w:evenHBand="0" w:firstRowFirstColumn="0" w:firstRowLastColumn="0" w:lastRowFirstColumn="0" w:lastRowLastColumn="0"/>
            <w:tcW w:w="697" w:type="pct"/>
            <w:vMerge/>
            <w:vAlign w:val="center"/>
            <w:hideMark/>
          </w:tcPr>
          <w:p w:rsidR="00D8098E" w:rsidRPr="00F256F4" w:rsidRDefault="00D8098E">
            <w:pPr>
              <w:rPr>
                <w:rFonts w:ascii="Arial" w:hAnsi="Arial" w:cs="Arial"/>
                <w:b w:val="0"/>
                <w:sz w:val="20"/>
                <w:szCs w:val="20"/>
              </w:rPr>
            </w:pPr>
          </w:p>
        </w:tc>
        <w:tc>
          <w:tcPr>
            <w:tcW w:w="4303" w:type="pct"/>
            <w:vAlign w:val="center"/>
            <w:hideMark/>
          </w:tcPr>
          <w:p w:rsidR="00D8098E" w:rsidRPr="00F256F4" w:rsidRDefault="004B1575">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w:t>
            </w:r>
            <w:r w:rsidR="007B3B4F" w:rsidRPr="00F256F4">
              <w:rPr>
                <w:rFonts w:ascii="Arial" w:hAnsi="Arial" w:cs="Arial"/>
                <w:sz w:val="20"/>
                <w:szCs w:val="20"/>
              </w:rPr>
              <w:t>amily</w:t>
            </w:r>
            <w:r w:rsidR="007619AD" w:rsidRPr="00F256F4">
              <w:rPr>
                <w:rFonts w:ascii="Arial" w:hAnsi="Arial" w:cs="Arial"/>
                <w:sz w:val="20"/>
                <w:szCs w:val="20"/>
              </w:rPr>
              <w:t xml:space="preserve"> history of HB</w:t>
            </w:r>
          </w:p>
        </w:tc>
      </w:tr>
      <w:tr w:rsidR="00D8098E" w:rsidRPr="00F256F4" w:rsidTr="004177B6">
        <w:trPr>
          <w:trHeight w:val="35"/>
        </w:trPr>
        <w:tc>
          <w:tcPr>
            <w:cnfStyle w:val="001000000000" w:firstRow="0" w:lastRow="0" w:firstColumn="1" w:lastColumn="0" w:oddVBand="0" w:evenVBand="0" w:oddHBand="0" w:evenHBand="0" w:firstRowFirstColumn="0" w:firstRowLastColumn="0" w:lastRowFirstColumn="0" w:lastRowLastColumn="0"/>
            <w:tcW w:w="697" w:type="pct"/>
            <w:vMerge/>
            <w:vAlign w:val="center"/>
            <w:hideMark/>
          </w:tcPr>
          <w:p w:rsidR="00D8098E" w:rsidRPr="00F256F4" w:rsidRDefault="00D8098E">
            <w:pPr>
              <w:rPr>
                <w:rFonts w:ascii="Arial" w:hAnsi="Arial" w:cs="Arial"/>
                <w:b w:val="0"/>
                <w:sz w:val="20"/>
                <w:szCs w:val="20"/>
              </w:rPr>
            </w:pPr>
          </w:p>
        </w:tc>
        <w:tc>
          <w:tcPr>
            <w:tcW w:w="4303" w:type="pct"/>
            <w:vAlign w:val="center"/>
            <w:hideMark/>
          </w:tcPr>
          <w:p w:rsidR="00D8098E" w:rsidRPr="00F256F4" w:rsidRDefault="00E173D3">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A</w:t>
            </w:r>
            <w:r w:rsidR="007619AD" w:rsidRPr="00F256F4">
              <w:rPr>
                <w:rFonts w:ascii="Arial" w:hAnsi="Arial" w:cs="Arial"/>
                <w:sz w:val="20"/>
                <w:szCs w:val="20"/>
              </w:rPr>
              <w:t>cquaintance history of HB</w:t>
            </w:r>
          </w:p>
        </w:tc>
      </w:tr>
      <w:tr w:rsidR="00D8098E" w:rsidRPr="00F256F4" w:rsidTr="004177B6">
        <w:trPr>
          <w:trHeight w:val="35"/>
        </w:trPr>
        <w:tc>
          <w:tcPr>
            <w:cnfStyle w:val="001000000000" w:firstRow="0" w:lastRow="0" w:firstColumn="1" w:lastColumn="0" w:oddVBand="0" w:evenVBand="0" w:oddHBand="0" w:evenHBand="0" w:firstRowFirstColumn="0" w:firstRowLastColumn="0" w:lastRowFirstColumn="0" w:lastRowLastColumn="0"/>
            <w:tcW w:w="697" w:type="pct"/>
            <w:vMerge/>
            <w:vAlign w:val="center"/>
            <w:hideMark/>
          </w:tcPr>
          <w:p w:rsidR="00D8098E" w:rsidRPr="00F256F4" w:rsidRDefault="00D8098E">
            <w:pPr>
              <w:rPr>
                <w:rFonts w:ascii="Arial" w:hAnsi="Arial" w:cs="Arial"/>
                <w:b w:val="0"/>
                <w:sz w:val="20"/>
                <w:szCs w:val="20"/>
              </w:rPr>
            </w:pPr>
          </w:p>
        </w:tc>
        <w:tc>
          <w:tcPr>
            <w:tcW w:w="4303" w:type="pct"/>
            <w:vAlign w:val="center"/>
            <w:hideMark/>
          </w:tcPr>
          <w:p w:rsidR="00D8098E" w:rsidRPr="00F256F4" w:rsidRDefault="00E173D3">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E</w:t>
            </w:r>
            <w:r w:rsidR="007619AD" w:rsidRPr="00F256F4">
              <w:rPr>
                <w:rFonts w:ascii="Arial" w:hAnsi="Arial" w:cs="Arial"/>
                <w:sz w:val="20"/>
                <w:szCs w:val="20"/>
              </w:rPr>
              <w:t>ver seen any person/patient with HB</w:t>
            </w:r>
          </w:p>
        </w:tc>
      </w:tr>
      <w:tr w:rsidR="00D8098E" w:rsidRPr="00F256F4" w:rsidTr="004177B6">
        <w:trPr>
          <w:trHeight w:val="60"/>
        </w:trPr>
        <w:tc>
          <w:tcPr>
            <w:cnfStyle w:val="001000000000" w:firstRow="0" w:lastRow="0" w:firstColumn="1" w:lastColumn="0" w:oddVBand="0" w:evenVBand="0" w:oddHBand="0" w:evenHBand="0" w:firstRowFirstColumn="0" w:firstRowLastColumn="0" w:lastRowFirstColumn="0" w:lastRowLastColumn="0"/>
            <w:tcW w:w="697" w:type="pct"/>
            <w:vAlign w:val="center"/>
            <w:hideMark/>
          </w:tcPr>
          <w:p w:rsidR="00D8098E" w:rsidRPr="00F256F4" w:rsidRDefault="00365811">
            <w:pPr>
              <w:rPr>
                <w:rFonts w:ascii="Arial" w:hAnsi="Arial" w:cs="Arial"/>
                <w:b w:val="0"/>
                <w:sz w:val="20"/>
                <w:szCs w:val="20"/>
              </w:rPr>
            </w:pPr>
            <w:r w:rsidRPr="00F256F4">
              <w:rPr>
                <w:rFonts w:ascii="Arial" w:hAnsi="Arial" w:cs="Arial"/>
                <w:b w:val="0"/>
                <w:sz w:val="20"/>
                <w:szCs w:val="20"/>
              </w:rPr>
              <w:t>Ever gets c</w:t>
            </w:r>
            <w:r w:rsidR="007619AD" w:rsidRPr="00F256F4">
              <w:rPr>
                <w:rFonts w:ascii="Arial" w:hAnsi="Arial" w:cs="Arial"/>
                <w:b w:val="0"/>
                <w:sz w:val="20"/>
                <w:szCs w:val="20"/>
              </w:rPr>
              <w:t>olleagues’ suggestion</w:t>
            </w:r>
          </w:p>
        </w:tc>
        <w:tc>
          <w:tcPr>
            <w:tcW w:w="4303" w:type="pct"/>
            <w:vAlign w:val="center"/>
            <w:hideMark/>
          </w:tcPr>
          <w:p w:rsidR="00D8098E" w:rsidRPr="00F256F4" w:rsidRDefault="007619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56F4">
              <w:rPr>
                <w:rFonts w:ascii="Arial" w:hAnsi="Arial" w:cs="Arial"/>
                <w:sz w:val="20"/>
                <w:szCs w:val="20"/>
              </w:rPr>
              <w:t>Does one or more of your collogues suggesting you to receive the HB vaccination: ‘Yes’ vs ‘No’</w:t>
            </w:r>
          </w:p>
        </w:tc>
      </w:tr>
      <w:tr w:rsidR="00D8098E" w:rsidRPr="00F256F4" w:rsidTr="004177B6">
        <w:trPr>
          <w:trHeight w:val="6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rsidR="00D8098E" w:rsidRPr="00F256F4" w:rsidRDefault="007619AD">
            <w:pPr>
              <w:rPr>
                <w:rFonts w:ascii="Arial" w:hAnsi="Arial" w:cs="Arial"/>
                <w:b w:val="0"/>
                <w:i/>
                <w:color w:val="7F7F7F"/>
                <w:sz w:val="20"/>
                <w:szCs w:val="20"/>
              </w:rPr>
            </w:pPr>
            <w:r w:rsidRPr="00F256F4">
              <w:rPr>
                <w:rFonts w:ascii="Arial" w:hAnsi="Arial" w:cs="Arial"/>
                <w:b w:val="0"/>
                <w:i/>
                <w:sz w:val="20"/>
                <w:szCs w:val="20"/>
              </w:rPr>
              <w:t>Dependent</w:t>
            </w:r>
          </w:p>
        </w:tc>
      </w:tr>
      <w:tr w:rsidR="00D8098E" w:rsidRPr="00F256F4" w:rsidTr="004177B6">
        <w:trPr>
          <w:trHeight w:val="304"/>
        </w:trPr>
        <w:tc>
          <w:tcPr>
            <w:cnfStyle w:val="001000000000" w:firstRow="0" w:lastRow="0" w:firstColumn="1" w:lastColumn="0" w:oddVBand="0" w:evenVBand="0" w:oddHBand="0" w:evenHBand="0" w:firstRowFirstColumn="0" w:firstRowLastColumn="0" w:lastRowFirstColumn="0" w:lastRowLastColumn="0"/>
            <w:tcW w:w="697" w:type="pct"/>
            <w:vAlign w:val="center"/>
          </w:tcPr>
          <w:p w:rsidR="00D8098E" w:rsidRPr="00F256F4" w:rsidRDefault="007619AD">
            <w:pPr>
              <w:rPr>
                <w:rFonts w:ascii="Arial" w:hAnsi="Arial" w:cs="Arial"/>
                <w:b w:val="0"/>
                <w:iCs/>
                <w:sz w:val="20"/>
                <w:szCs w:val="20"/>
              </w:rPr>
            </w:pPr>
            <w:r w:rsidRPr="00F256F4">
              <w:rPr>
                <w:rFonts w:ascii="Arial" w:hAnsi="Arial" w:cs="Arial"/>
                <w:b w:val="0"/>
                <w:iCs/>
                <w:sz w:val="20"/>
                <w:szCs w:val="20"/>
              </w:rPr>
              <w:t>HB vaccination uptake</w:t>
            </w:r>
          </w:p>
        </w:tc>
        <w:tc>
          <w:tcPr>
            <w:tcW w:w="4303" w:type="pct"/>
            <w:vAlign w:val="center"/>
          </w:tcPr>
          <w:p w:rsidR="00D8098E" w:rsidRPr="00F256F4" w:rsidRDefault="007619AD">
            <w:pP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F256F4">
              <w:rPr>
                <w:rFonts w:ascii="Arial" w:hAnsi="Arial" w:cs="Arial"/>
                <w:iCs/>
                <w:sz w:val="20"/>
                <w:szCs w:val="20"/>
              </w:rPr>
              <w:t xml:space="preserve">The dependent variable of this study was HB vaccination uptake. Primary data were elicited on whether the respondent had ever vaccinated and the number of doses received. For analysis purpose, the HB vaccination uptake was also reclassified into binary outcome: ‘Complete’ vs ‘Noncomplete’. The category “complete” was defined as the proportion of participants who had received ≥3 doses of HB vaccination, </w:t>
            </w:r>
            <w:r w:rsidR="001E77EF" w:rsidRPr="00F256F4">
              <w:rPr>
                <w:rFonts w:ascii="Arial" w:hAnsi="Arial" w:cs="Arial"/>
                <w:iCs/>
                <w:sz w:val="20"/>
                <w:szCs w:val="20"/>
              </w:rPr>
              <w:t>and</w:t>
            </w:r>
            <w:r w:rsidRPr="00F256F4">
              <w:rPr>
                <w:rFonts w:ascii="Arial" w:hAnsi="Arial" w:cs="Arial"/>
                <w:iCs/>
                <w:sz w:val="20"/>
                <w:szCs w:val="20"/>
              </w:rPr>
              <w:t xml:space="preserve"> the rest considered “noncomplete”. This was noted for each participant and was analyzed with regard to the</w:t>
            </w:r>
            <w:r w:rsidR="004D2026" w:rsidRPr="00F256F4">
              <w:rPr>
                <w:rFonts w:ascii="Arial" w:hAnsi="Arial" w:cs="Arial"/>
                <w:iCs/>
                <w:sz w:val="20"/>
                <w:szCs w:val="20"/>
              </w:rPr>
              <w:t xml:space="preserve"> </w:t>
            </w:r>
            <w:r w:rsidRPr="00F256F4">
              <w:rPr>
                <w:rFonts w:ascii="Arial" w:hAnsi="Arial" w:cs="Arial"/>
                <w:iCs/>
                <w:sz w:val="20"/>
                <w:szCs w:val="20"/>
              </w:rPr>
              <w:t xml:space="preserve">independent variables </w:t>
            </w:r>
            <w:r w:rsidR="00816FD3" w:rsidRPr="00F256F4">
              <w:rPr>
                <w:rFonts w:ascii="Arial" w:hAnsi="Arial" w:cs="Arial"/>
                <w:iCs/>
                <w:sz w:val="20"/>
                <w:szCs w:val="20"/>
              </w:rPr>
              <w:t xml:space="preserve">mentioned </w:t>
            </w:r>
            <w:r w:rsidRPr="00F256F4">
              <w:rPr>
                <w:rFonts w:ascii="Arial" w:hAnsi="Arial" w:cs="Arial"/>
                <w:iCs/>
                <w:sz w:val="20"/>
                <w:szCs w:val="20"/>
              </w:rPr>
              <w:t>above.</w:t>
            </w:r>
          </w:p>
        </w:tc>
      </w:tr>
    </w:tbl>
    <w:p w:rsidR="008C12FD" w:rsidRPr="00F256F4" w:rsidRDefault="002C340F" w:rsidP="00DD19C0">
      <w:pPr>
        <w:spacing w:after="100" w:afterAutospacing="1" w:line="240" w:lineRule="auto"/>
        <w:rPr>
          <w:rFonts w:ascii="Arial" w:hAnsi="Arial" w:cs="Arial"/>
          <w:sz w:val="20"/>
          <w:szCs w:val="20"/>
        </w:rPr>
      </w:pPr>
      <w:r w:rsidRPr="00F256F4">
        <w:rPr>
          <w:rFonts w:ascii="Arial" w:hAnsi="Arial" w:cs="Arial"/>
          <w:sz w:val="20"/>
          <w:szCs w:val="20"/>
        </w:rPr>
        <w:t xml:space="preserve">HB, </w:t>
      </w:r>
      <w:r w:rsidR="00365811" w:rsidRPr="00F256F4">
        <w:rPr>
          <w:rFonts w:ascii="Arial" w:hAnsi="Arial" w:cs="Arial"/>
          <w:sz w:val="20"/>
          <w:szCs w:val="20"/>
        </w:rPr>
        <w:t>hepatitis B</w:t>
      </w:r>
      <w:r w:rsidRPr="00F256F4">
        <w:rPr>
          <w:rFonts w:ascii="Arial" w:hAnsi="Arial" w:cs="Arial"/>
          <w:sz w:val="20"/>
          <w:szCs w:val="20"/>
        </w:rPr>
        <w:t>; HIV, human immunodeficiency virus; OE, occupational exposure; PEP, post exposure prophylaxis; PPE, personal protective equipment; RIIP, routine infant immunization program; UP, universal precautions.</w:t>
      </w:r>
      <w:r w:rsidR="00E222C4" w:rsidRPr="00F256F4">
        <w:rPr>
          <w:rFonts w:ascii="Arial" w:hAnsi="Arial" w:cs="Arial"/>
          <w:sz w:val="20"/>
          <w:szCs w:val="20"/>
        </w:rPr>
        <w:t xml:space="preserve"> </w:t>
      </w:r>
    </w:p>
    <w:sectPr w:rsidR="008C12FD" w:rsidRPr="00F256F4" w:rsidSect="00E67751">
      <w:pgSz w:w="20160" w:h="12240" w:orient="landscape"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altName w:val="Cambria"/>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F174A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85CA2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000003"/>
    <w:multiLevelType w:val="hybridMultilevel"/>
    <w:tmpl w:val="40F2D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multilevel"/>
    <w:tmpl w:val="144E7D0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0000005"/>
    <w:multiLevelType w:val="hybridMultilevel"/>
    <w:tmpl w:val="5D585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000006"/>
    <w:multiLevelType w:val="hybridMultilevel"/>
    <w:tmpl w:val="25FC9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285A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0824C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4BE2972"/>
    <w:multiLevelType w:val="hybridMultilevel"/>
    <w:tmpl w:val="CB06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2"/>
  </w:num>
  <w:num w:numId="5">
    <w:abstractNumId w:val="3"/>
  </w:num>
  <w:num w:numId="6">
    <w:abstractNumId w:val="0"/>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98E"/>
    <w:rsid w:val="000202B8"/>
    <w:rsid w:val="000320EE"/>
    <w:rsid w:val="000762E1"/>
    <w:rsid w:val="00077E18"/>
    <w:rsid w:val="00080605"/>
    <w:rsid w:val="00080B62"/>
    <w:rsid w:val="000A75D0"/>
    <w:rsid w:val="000B101F"/>
    <w:rsid w:val="000B4D10"/>
    <w:rsid w:val="000B77DF"/>
    <w:rsid w:val="000C7777"/>
    <w:rsid w:val="000C7AE7"/>
    <w:rsid w:val="000F4E63"/>
    <w:rsid w:val="00106C97"/>
    <w:rsid w:val="00107C2B"/>
    <w:rsid w:val="00114FC5"/>
    <w:rsid w:val="001171CE"/>
    <w:rsid w:val="0012713F"/>
    <w:rsid w:val="001535C9"/>
    <w:rsid w:val="00153BE4"/>
    <w:rsid w:val="00160C02"/>
    <w:rsid w:val="00180922"/>
    <w:rsid w:val="0018331D"/>
    <w:rsid w:val="001905C0"/>
    <w:rsid w:val="00195196"/>
    <w:rsid w:val="001A323E"/>
    <w:rsid w:val="001B2AEE"/>
    <w:rsid w:val="001D6BA5"/>
    <w:rsid w:val="001E77EF"/>
    <w:rsid w:val="001F5737"/>
    <w:rsid w:val="00204F59"/>
    <w:rsid w:val="00205E22"/>
    <w:rsid w:val="002532F2"/>
    <w:rsid w:val="00256AB1"/>
    <w:rsid w:val="00266651"/>
    <w:rsid w:val="00271614"/>
    <w:rsid w:val="00280D03"/>
    <w:rsid w:val="002A2FA1"/>
    <w:rsid w:val="002B3285"/>
    <w:rsid w:val="002C289A"/>
    <w:rsid w:val="002C340F"/>
    <w:rsid w:val="002C3F52"/>
    <w:rsid w:val="002D07E7"/>
    <w:rsid w:val="002D1875"/>
    <w:rsid w:val="002D3C7C"/>
    <w:rsid w:val="002E12C3"/>
    <w:rsid w:val="002F08A2"/>
    <w:rsid w:val="002F3029"/>
    <w:rsid w:val="002F63AD"/>
    <w:rsid w:val="0031001A"/>
    <w:rsid w:val="00331916"/>
    <w:rsid w:val="00337A0D"/>
    <w:rsid w:val="00343AA1"/>
    <w:rsid w:val="0034511A"/>
    <w:rsid w:val="00347770"/>
    <w:rsid w:val="003575C9"/>
    <w:rsid w:val="003642A5"/>
    <w:rsid w:val="00364A57"/>
    <w:rsid w:val="00365811"/>
    <w:rsid w:val="00367F9F"/>
    <w:rsid w:val="003764D9"/>
    <w:rsid w:val="003857FD"/>
    <w:rsid w:val="00393AA0"/>
    <w:rsid w:val="003A055B"/>
    <w:rsid w:val="003A7143"/>
    <w:rsid w:val="003C5511"/>
    <w:rsid w:val="003C7CEB"/>
    <w:rsid w:val="003D365A"/>
    <w:rsid w:val="003D54BB"/>
    <w:rsid w:val="00400E16"/>
    <w:rsid w:val="00402B2E"/>
    <w:rsid w:val="00412C6F"/>
    <w:rsid w:val="004177B6"/>
    <w:rsid w:val="004228CE"/>
    <w:rsid w:val="00431DF7"/>
    <w:rsid w:val="00460E28"/>
    <w:rsid w:val="00474528"/>
    <w:rsid w:val="00480EFF"/>
    <w:rsid w:val="004B1575"/>
    <w:rsid w:val="004C41AF"/>
    <w:rsid w:val="004D2026"/>
    <w:rsid w:val="004D3693"/>
    <w:rsid w:val="004E17F5"/>
    <w:rsid w:val="004E2418"/>
    <w:rsid w:val="004E27B3"/>
    <w:rsid w:val="005138DE"/>
    <w:rsid w:val="00534D3A"/>
    <w:rsid w:val="00537DF2"/>
    <w:rsid w:val="005406C9"/>
    <w:rsid w:val="0055126B"/>
    <w:rsid w:val="00552301"/>
    <w:rsid w:val="00574E0D"/>
    <w:rsid w:val="005C2F67"/>
    <w:rsid w:val="005C4267"/>
    <w:rsid w:val="005D7B46"/>
    <w:rsid w:val="005E4B6C"/>
    <w:rsid w:val="005E6056"/>
    <w:rsid w:val="005E77B4"/>
    <w:rsid w:val="005F2FE5"/>
    <w:rsid w:val="005F5125"/>
    <w:rsid w:val="005F6B30"/>
    <w:rsid w:val="005F7705"/>
    <w:rsid w:val="00625C2D"/>
    <w:rsid w:val="00645F03"/>
    <w:rsid w:val="00646A5E"/>
    <w:rsid w:val="006576A1"/>
    <w:rsid w:val="00662D62"/>
    <w:rsid w:val="0067044A"/>
    <w:rsid w:val="00670842"/>
    <w:rsid w:val="00680B78"/>
    <w:rsid w:val="0068243B"/>
    <w:rsid w:val="006872E5"/>
    <w:rsid w:val="00687430"/>
    <w:rsid w:val="006944BB"/>
    <w:rsid w:val="006A2B27"/>
    <w:rsid w:val="006B1247"/>
    <w:rsid w:val="006B490A"/>
    <w:rsid w:val="006E336A"/>
    <w:rsid w:val="00700118"/>
    <w:rsid w:val="007011FC"/>
    <w:rsid w:val="007117E8"/>
    <w:rsid w:val="0072129C"/>
    <w:rsid w:val="00730E13"/>
    <w:rsid w:val="007423E6"/>
    <w:rsid w:val="007619AD"/>
    <w:rsid w:val="00781E49"/>
    <w:rsid w:val="00785F19"/>
    <w:rsid w:val="007948AE"/>
    <w:rsid w:val="007B1A34"/>
    <w:rsid w:val="007B3B4F"/>
    <w:rsid w:val="007B6585"/>
    <w:rsid w:val="007B6C55"/>
    <w:rsid w:val="007C3438"/>
    <w:rsid w:val="007C5BB4"/>
    <w:rsid w:val="007D14D1"/>
    <w:rsid w:val="007D78A3"/>
    <w:rsid w:val="007E36F9"/>
    <w:rsid w:val="007E42D9"/>
    <w:rsid w:val="007E6B09"/>
    <w:rsid w:val="00816FD3"/>
    <w:rsid w:val="008330F6"/>
    <w:rsid w:val="00846834"/>
    <w:rsid w:val="00852368"/>
    <w:rsid w:val="00866B62"/>
    <w:rsid w:val="00885FBC"/>
    <w:rsid w:val="008A2012"/>
    <w:rsid w:val="008B556B"/>
    <w:rsid w:val="008C12FD"/>
    <w:rsid w:val="008C2D30"/>
    <w:rsid w:val="008C47FD"/>
    <w:rsid w:val="008D06AD"/>
    <w:rsid w:val="008D2278"/>
    <w:rsid w:val="00904F9F"/>
    <w:rsid w:val="00931457"/>
    <w:rsid w:val="0095721D"/>
    <w:rsid w:val="009716B8"/>
    <w:rsid w:val="00985DE4"/>
    <w:rsid w:val="009908C2"/>
    <w:rsid w:val="0099688C"/>
    <w:rsid w:val="009B28E9"/>
    <w:rsid w:val="009B77CC"/>
    <w:rsid w:val="009C1660"/>
    <w:rsid w:val="009D15B7"/>
    <w:rsid w:val="009D6AA9"/>
    <w:rsid w:val="009E438A"/>
    <w:rsid w:val="009F249B"/>
    <w:rsid w:val="009F5DD1"/>
    <w:rsid w:val="00A111E7"/>
    <w:rsid w:val="00A166D5"/>
    <w:rsid w:val="00A35240"/>
    <w:rsid w:val="00A45860"/>
    <w:rsid w:val="00A66DB3"/>
    <w:rsid w:val="00A72992"/>
    <w:rsid w:val="00AA30DF"/>
    <w:rsid w:val="00AA4A57"/>
    <w:rsid w:val="00AA7F3E"/>
    <w:rsid w:val="00AB353F"/>
    <w:rsid w:val="00AB3547"/>
    <w:rsid w:val="00AE3FE7"/>
    <w:rsid w:val="00AF158A"/>
    <w:rsid w:val="00B02FBA"/>
    <w:rsid w:val="00B24ECB"/>
    <w:rsid w:val="00B331FF"/>
    <w:rsid w:val="00B463D0"/>
    <w:rsid w:val="00B7205F"/>
    <w:rsid w:val="00B720DB"/>
    <w:rsid w:val="00B76270"/>
    <w:rsid w:val="00B90E82"/>
    <w:rsid w:val="00BB1C02"/>
    <w:rsid w:val="00BC30D0"/>
    <w:rsid w:val="00BD1082"/>
    <w:rsid w:val="00BD5E0C"/>
    <w:rsid w:val="00BD62D8"/>
    <w:rsid w:val="00BE0B7F"/>
    <w:rsid w:val="00BF5392"/>
    <w:rsid w:val="00C07233"/>
    <w:rsid w:val="00C10446"/>
    <w:rsid w:val="00C20298"/>
    <w:rsid w:val="00C32369"/>
    <w:rsid w:val="00C426AD"/>
    <w:rsid w:val="00C43F29"/>
    <w:rsid w:val="00C505C9"/>
    <w:rsid w:val="00C62ED7"/>
    <w:rsid w:val="00C70333"/>
    <w:rsid w:val="00C726C0"/>
    <w:rsid w:val="00C729A6"/>
    <w:rsid w:val="00C80DEE"/>
    <w:rsid w:val="00C92939"/>
    <w:rsid w:val="00CA36CB"/>
    <w:rsid w:val="00CB7DD6"/>
    <w:rsid w:val="00CC0223"/>
    <w:rsid w:val="00CC0CE8"/>
    <w:rsid w:val="00CC19BB"/>
    <w:rsid w:val="00CD4B45"/>
    <w:rsid w:val="00CD61D1"/>
    <w:rsid w:val="00D04D10"/>
    <w:rsid w:val="00D109DA"/>
    <w:rsid w:val="00D16F87"/>
    <w:rsid w:val="00D33212"/>
    <w:rsid w:val="00D35A93"/>
    <w:rsid w:val="00D41B2F"/>
    <w:rsid w:val="00D45F37"/>
    <w:rsid w:val="00D50D69"/>
    <w:rsid w:val="00D560B0"/>
    <w:rsid w:val="00D801D8"/>
    <w:rsid w:val="00D8098E"/>
    <w:rsid w:val="00D83F1F"/>
    <w:rsid w:val="00DB18AC"/>
    <w:rsid w:val="00DD19C0"/>
    <w:rsid w:val="00DD2DCE"/>
    <w:rsid w:val="00DD59A6"/>
    <w:rsid w:val="00DE1C57"/>
    <w:rsid w:val="00DF6111"/>
    <w:rsid w:val="00E0381F"/>
    <w:rsid w:val="00E053D9"/>
    <w:rsid w:val="00E158EC"/>
    <w:rsid w:val="00E173D3"/>
    <w:rsid w:val="00E222C4"/>
    <w:rsid w:val="00E2415F"/>
    <w:rsid w:val="00E54DC0"/>
    <w:rsid w:val="00E579FE"/>
    <w:rsid w:val="00E66392"/>
    <w:rsid w:val="00E67751"/>
    <w:rsid w:val="00E72CA9"/>
    <w:rsid w:val="00E80BB1"/>
    <w:rsid w:val="00E81436"/>
    <w:rsid w:val="00E82AE7"/>
    <w:rsid w:val="00E832F1"/>
    <w:rsid w:val="00E8420D"/>
    <w:rsid w:val="00E90AF6"/>
    <w:rsid w:val="00EB0932"/>
    <w:rsid w:val="00EB4FC9"/>
    <w:rsid w:val="00EC218D"/>
    <w:rsid w:val="00ED63A8"/>
    <w:rsid w:val="00ED7384"/>
    <w:rsid w:val="00EE2BF6"/>
    <w:rsid w:val="00F0194F"/>
    <w:rsid w:val="00F01AF8"/>
    <w:rsid w:val="00F067BE"/>
    <w:rsid w:val="00F135FB"/>
    <w:rsid w:val="00F2107E"/>
    <w:rsid w:val="00F24C17"/>
    <w:rsid w:val="00F256F4"/>
    <w:rsid w:val="00F315CF"/>
    <w:rsid w:val="00F32181"/>
    <w:rsid w:val="00F51A5A"/>
    <w:rsid w:val="00F6493D"/>
    <w:rsid w:val="00F82E77"/>
    <w:rsid w:val="00F87A56"/>
    <w:rsid w:val="00FA0616"/>
    <w:rsid w:val="00FA46DB"/>
    <w:rsid w:val="00FC14E8"/>
    <w:rsid w:val="00FD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A8674"/>
  <w15:docId w15:val="{74B4A4C5-F13D-8B47-8569-929AB8FA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qFormat/>
    <w:pPr>
      <w:spacing w:after="200" w:line="240" w:lineRule="auto"/>
    </w:pPr>
    <w:rPr>
      <w:i/>
      <w:iCs/>
      <w:color w:val="44546A"/>
      <w:sz w:val="18"/>
      <w:szCs w:val="18"/>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GridTable1Light">
    <w:name w:val="Grid Table 1 Light"/>
    <w:basedOn w:val="TableNormal"/>
    <w:uiPriority w:val="46"/>
    <w:rsid w:val="005D7B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93B1D-F823-4F79-A0E5-9C7D411077D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2</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MAG33</dc:creator>
  <cp:lastModifiedBy>Mehammed Getnet</cp:lastModifiedBy>
  <cp:revision>706</cp:revision>
  <cp:lastPrinted>2020-03-12T14:38:00Z</cp:lastPrinted>
  <dcterms:created xsi:type="dcterms:W3CDTF">2020-07-01T12:47:00Z</dcterms:created>
  <dcterms:modified xsi:type="dcterms:W3CDTF">2020-11-11T12:15:00Z</dcterms:modified>
</cp:coreProperties>
</file>