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9F323" w14:textId="77777777" w:rsidR="00915A27" w:rsidRPr="00462042" w:rsidRDefault="00915A27" w:rsidP="00915A27">
      <w:pPr>
        <w:keepNext/>
        <w:spacing w:before="240" w:line="48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  <w:r w:rsidRPr="0046204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SUPPORTING INFORMATION</w:t>
      </w:r>
    </w:p>
    <w:p w14:paraId="01216840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49601720" w14:textId="1F328349" w:rsidR="00E57034" w:rsidRDefault="00E57034" w:rsidP="00915A27">
      <w:pPr>
        <w:spacing w:line="48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Table S1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. List </w:t>
      </w:r>
      <w:r w:rsidRPr="00E5703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of </w:t>
      </w:r>
      <w:r w:rsidR="002E608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Institutional Review Boards and I</w:t>
      </w:r>
      <w:r w:rsidR="002E6081" w:rsidRPr="00E5703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ndependent </w:t>
      </w:r>
      <w:r w:rsidR="002E608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</w:t>
      </w:r>
      <w:r w:rsidR="002E6081" w:rsidRPr="00E5703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thics </w:t>
      </w:r>
      <w:r w:rsidR="002E608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</w:t>
      </w:r>
      <w:r w:rsidR="002E6081" w:rsidRPr="00E5703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ommittees</w:t>
      </w:r>
    </w:p>
    <w:tbl>
      <w:tblPr>
        <w:tblStyle w:val="TableGrid"/>
        <w:tblW w:w="93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20"/>
      </w:tblGrid>
      <w:tr w:rsidR="00E57034" w:rsidRPr="00E57034" w14:paraId="072BB934" w14:textId="77777777" w:rsidTr="00E57034">
        <w:trPr>
          <w:trHeight w:val="30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D3FEB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Country</w:t>
            </w:r>
          </w:p>
        </w:tc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E0C67E" w14:textId="4C1B7E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Name</w:t>
            </w:r>
            <w:r w:rsidR="002C19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and a</w:t>
            </w:r>
            <w:r w:rsidR="002C197D" w:rsidRPr="00E570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ddress </w:t>
            </w:r>
            <w:r w:rsidRPr="00E5703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of IRB/IEC</w:t>
            </w:r>
          </w:p>
        </w:tc>
      </w:tr>
      <w:tr w:rsidR="00E57034" w:rsidRPr="00E57034" w14:paraId="6CF25DD7" w14:textId="77777777" w:rsidTr="00E57034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36CA2C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Bulgaria</w:t>
            </w:r>
          </w:p>
        </w:tc>
        <w:tc>
          <w:tcPr>
            <w:tcW w:w="7720" w:type="dxa"/>
            <w:tcBorders>
              <w:top w:val="single" w:sz="4" w:space="0" w:color="auto"/>
            </w:tcBorders>
            <w:hideMark/>
          </w:tcPr>
          <w:p w14:paraId="69AEAB66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Bulgarian Drug Agency</w:t>
            </w:r>
          </w:p>
        </w:tc>
      </w:tr>
      <w:tr w:rsidR="00E57034" w:rsidRPr="00E57034" w14:paraId="14562894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906EFA0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0A23A3F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8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Damyan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Gruev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Str. Sofia 1303</w:t>
            </w:r>
          </w:p>
        </w:tc>
      </w:tr>
      <w:tr w:rsidR="00E57034" w:rsidRPr="00E57034" w14:paraId="38DB5897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85F742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720" w:type="dxa"/>
            <w:hideMark/>
          </w:tcPr>
          <w:p w14:paraId="10F8EE5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Ethics Committee for Multicenter Trials, 5, “Sveta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Nedelya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” Square, Sofia 1000</w:t>
            </w:r>
          </w:p>
        </w:tc>
      </w:tr>
      <w:tr w:rsidR="00E57034" w:rsidRPr="00E57034" w14:paraId="7F7013BD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1E2776A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Prague</w:t>
            </w:r>
          </w:p>
        </w:tc>
        <w:tc>
          <w:tcPr>
            <w:tcW w:w="7720" w:type="dxa"/>
            <w:hideMark/>
          </w:tcPr>
          <w:p w14:paraId="780C002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Fakultni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nemocnice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Hradec Kralove,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Sokolska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581, Hradec Kralove 50005</w:t>
            </w:r>
          </w:p>
        </w:tc>
      </w:tr>
      <w:tr w:rsidR="00E57034" w:rsidRPr="00E57034" w14:paraId="706432C4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09B245DB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172E905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Eticka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komise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IKEM a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FTNsP</w:t>
            </w:r>
            <w:proofErr w:type="spellEnd"/>
          </w:p>
        </w:tc>
      </w:tr>
      <w:tr w:rsidR="00E57034" w:rsidRPr="00E57034" w14:paraId="719D5ADF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EFC8F40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720" w:type="dxa"/>
            <w:hideMark/>
          </w:tcPr>
          <w:p w14:paraId="4A10627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Statni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ustav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pro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kontrolu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leciv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,-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Srobarova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48, Praha 10, 10041</w:t>
            </w:r>
          </w:p>
        </w:tc>
      </w:tr>
      <w:tr w:rsidR="00E57034" w:rsidRPr="00E57034" w14:paraId="548BA43A" w14:textId="77777777" w:rsidTr="00E57034">
        <w:trPr>
          <w:trHeight w:val="765"/>
        </w:trPr>
        <w:tc>
          <w:tcPr>
            <w:tcW w:w="0" w:type="auto"/>
            <w:noWrap/>
            <w:hideMark/>
          </w:tcPr>
          <w:p w14:paraId="3CB4045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Hungary</w:t>
            </w:r>
          </w:p>
        </w:tc>
        <w:tc>
          <w:tcPr>
            <w:tcW w:w="7720" w:type="dxa"/>
            <w:hideMark/>
          </w:tcPr>
          <w:p w14:paraId="611743A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Orszagos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Gyogyszereszteti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es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Elelmezesegszsegugyi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Intezet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Zrinyi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u.3, H - 1372,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Postafiok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450, Budapest 1051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Egeszsegugyi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Tudomanyos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Tanacs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KlinikaiFarmakologiai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Etikai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Bizottsaga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Arany</w:t>
            </w:r>
            <w:proofErr w:type="spellEnd"/>
          </w:p>
        </w:tc>
      </w:tr>
      <w:tr w:rsidR="00E57034" w:rsidRPr="00E57034" w14:paraId="49F3775A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0C282C40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Israel</w:t>
            </w:r>
          </w:p>
        </w:tc>
        <w:tc>
          <w:tcPr>
            <w:tcW w:w="7720" w:type="dxa"/>
            <w:hideMark/>
          </w:tcPr>
          <w:p w14:paraId="7C364B4B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Rambam Health Care Campus Ethics Committee-</w:t>
            </w:r>
          </w:p>
        </w:tc>
      </w:tr>
      <w:tr w:rsidR="00E57034" w:rsidRPr="00E57034" w14:paraId="05F29DF4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1C36A252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76FDE97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Ministry of Health- 39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Yirmiyahu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 POB 1176, Clinical Trials Dept. Jerusalem, 9101002</w:t>
            </w:r>
          </w:p>
        </w:tc>
      </w:tr>
      <w:tr w:rsidR="00E57034" w:rsidRPr="00E57034" w14:paraId="0AA041C6" w14:textId="77777777" w:rsidTr="00E57034">
        <w:trPr>
          <w:trHeight w:val="510"/>
        </w:trPr>
        <w:tc>
          <w:tcPr>
            <w:tcW w:w="0" w:type="auto"/>
            <w:noWrap/>
            <w:hideMark/>
          </w:tcPr>
          <w:p w14:paraId="47A248C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Israel</w:t>
            </w:r>
          </w:p>
        </w:tc>
        <w:tc>
          <w:tcPr>
            <w:tcW w:w="7720" w:type="dxa"/>
            <w:hideMark/>
          </w:tcPr>
          <w:p w14:paraId="37CE9112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Hadassah MC Ethics Committee Ministry of Health- 39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Yirmiyahu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 POB 1176, Clinical Trials Dept. Jerusalem,</w:t>
            </w:r>
          </w:p>
        </w:tc>
      </w:tr>
      <w:tr w:rsidR="00E57034" w:rsidRPr="00E57034" w14:paraId="00783935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108016D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6B2B8AC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9101002</w:t>
            </w:r>
          </w:p>
        </w:tc>
      </w:tr>
      <w:tr w:rsidR="00E57034" w:rsidRPr="00E57034" w14:paraId="58908F85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1F37673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Israel</w:t>
            </w:r>
          </w:p>
        </w:tc>
        <w:tc>
          <w:tcPr>
            <w:tcW w:w="7720" w:type="dxa"/>
            <w:hideMark/>
          </w:tcPr>
          <w:p w14:paraId="2B7F955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Kaplan MC Ethics Committee</w:t>
            </w:r>
          </w:p>
        </w:tc>
      </w:tr>
      <w:tr w:rsidR="00E57034" w:rsidRPr="00E57034" w14:paraId="03C10D7A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3CDEB4E6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46CEB9F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Ministry of Health- 39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Yirmiyahu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</w:t>
            </w:r>
          </w:p>
        </w:tc>
      </w:tr>
      <w:tr w:rsidR="00E57034" w:rsidRPr="00E57034" w14:paraId="05855AAB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02EC582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3D5BCAF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POB 1176, Clinical Trials Dept. Jerusalem, 9101002</w:t>
            </w:r>
          </w:p>
        </w:tc>
      </w:tr>
      <w:tr w:rsidR="00E57034" w:rsidRPr="00E57034" w14:paraId="351B6E00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7F400CD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Israel</w:t>
            </w:r>
          </w:p>
        </w:tc>
        <w:tc>
          <w:tcPr>
            <w:tcW w:w="7720" w:type="dxa"/>
            <w:hideMark/>
          </w:tcPr>
          <w:p w14:paraId="16CF988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Rabin MC Ethics Committee</w:t>
            </w:r>
          </w:p>
        </w:tc>
      </w:tr>
      <w:tr w:rsidR="00E57034" w:rsidRPr="00E57034" w14:paraId="5BCEC5B6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857D29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5C3797F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Ministry of Health- 39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Yirmiyahu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</w:t>
            </w:r>
          </w:p>
        </w:tc>
      </w:tr>
      <w:tr w:rsidR="00E57034" w:rsidRPr="00E57034" w14:paraId="187F3ECB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683BA2D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268A08C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POB 1176, Clinical Trials Dept. Jerusalem, 9101002</w:t>
            </w:r>
          </w:p>
        </w:tc>
      </w:tr>
      <w:tr w:rsidR="00E57034" w:rsidRPr="00E57034" w14:paraId="7FE2D94F" w14:textId="77777777" w:rsidTr="00E57034">
        <w:trPr>
          <w:trHeight w:val="510"/>
        </w:trPr>
        <w:tc>
          <w:tcPr>
            <w:tcW w:w="0" w:type="auto"/>
            <w:noWrap/>
            <w:hideMark/>
          </w:tcPr>
          <w:p w14:paraId="6498A15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Israel</w:t>
            </w:r>
          </w:p>
        </w:tc>
        <w:tc>
          <w:tcPr>
            <w:tcW w:w="7720" w:type="dxa"/>
            <w:hideMark/>
          </w:tcPr>
          <w:p w14:paraId="4E71D41A" w14:textId="7B9D8990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Chaim Sheba MC Ethics Committee Ministry of Health- 39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Yirmiyahu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 POB 1176, Clinical Trials Dept. Jerusalem, 9101002</w:t>
            </w:r>
          </w:p>
        </w:tc>
      </w:tr>
      <w:tr w:rsidR="00E57034" w:rsidRPr="00E57034" w14:paraId="3EF1EB91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75F72E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Israel</w:t>
            </w:r>
          </w:p>
        </w:tc>
        <w:tc>
          <w:tcPr>
            <w:tcW w:w="7720" w:type="dxa"/>
            <w:hideMark/>
          </w:tcPr>
          <w:p w14:paraId="33C8F1D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Sapir MC, Meir Hospital Ethics committee Ministry of Health- 39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Yirmiyahu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</w:t>
            </w:r>
          </w:p>
        </w:tc>
      </w:tr>
      <w:tr w:rsidR="00E57034" w:rsidRPr="00E57034" w14:paraId="1EE760E8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1E6F13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73BFC4A2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POB 1176, Clinical Trials Dept. Jerusalem, 9101002</w:t>
            </w:r>
          </w:p>
        </w:tc>
      </w:tr>
      <w:tr w:rsidR="00E57034" w:rsidRPr="00E57034" w14:paraId="3AE30FE4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D7D670B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Israel</w:t>
            </w:r>
          </w:p>
        </w:tc>
        <w:tc>
          <w:tcPr>
            <w:tcW w:w="7720" w:type="dxa"/>
            <w:hideMark/>
          </w:tcPr>
          <w:p w14:paraId="3EE6E4C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Barzilai MC Ethics Committee</w:t>
            </w:r>
          </w:p>
        </w:tc>
      </w:tr>
      <w:tr w:rsidR="00E57034" w:rsidRPr="00E57034" w14:paraId="2031FC86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33E56BC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0363A15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Ministry of Health- 39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Yirmiyahu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 POB 1176,Clinical Trials Dept. Jerusalem, 9101002</w:t>
            </w:r>
          </w:p>
        </w:tc>
      </w:tr>
      <w:tr w:rsidR="00E57034" w:rsidRPr="00E57034" w14:paraId="3663C431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38B159B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Israel</w:t>
            </w:r>
          </w:p>
        </w:tc>
        <w:tc>
          <w:tcPr>
            <w:tcW w:w="7720" w:type="dxa"/>
            <w:hideMark/>
          </w:tcPr>
          <w:p w14:paraId="06CB0AA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The Lady Davis Carmel MC Ethics Committee Ministry of Health- 39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Yirmiyahu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</w:t>
            </w:r>
          </w:p>
        </w:tc>
      </w:tr>
      <w:tr w:rsidR="00E57034" w:rsidRPr="00E57034" w14:paraId="5C13951C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C6A4F6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05745CAA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POB 1176,Clinical Trials Dept. Jerusalem, 9101002</w:t>
            </w:r>
          </w:p>
        </w:tc>
      </w:tr>
      <w:tr w:rsidR="00E57034" w:rsidRPr="00E57034" w14:paraId="5954DEC5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64C4B9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67FC68F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Tokyo-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Eki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Center-Building Clinic IRB- 3-3-14,</w:t>
            </w:r>
          </w:p>
        </w:tc>
      </w:tr>
      <w:tr w:rsidR="00E57034" w:rsidRPr="00E57034" w14:paraId="178D1705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7F3072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3165557B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Nihombashi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Chuo-Ku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Tokya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103-0027</w:t>
            </w:r>
          </w:p>
        </w:tc>
      </w:tr>
      <w:tr w:rsidR="00E57034" w:rsidRPr="00E57034" w14:paraId="67305922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1AB8CB4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3E5BEA1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Clinical Research Hospital Tokyo IRB- 3-87-4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Haramachi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Shinjuku-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Tokya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162-0053</w:t>
            </w:r>
          </w:p>
        </w:tc>
      </w:tr>
      <w:tr w:rsidR="00E57034" w:rsidRPr="00E57034" w14:paraId="43F1902E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4D852F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39F3402B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Sekino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Hospital IRB- Ikebukuro 3-28-3 Toshima-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Tokyo-to 171-0014</w:t>
            </w:r>
          </w:p>
        </w:tc>
      </w:tr>
      <w:tr w:rsidR="00E57034" w:rsidRPr="00E57034" w14:paraId="28E2E1AE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535176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00CF39A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Sanyakai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Maebashi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Hirosegawa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Clinic IRB-2-</w:t>
            </w:r>
          </w:p>
        </w:tc>
      </w:tr>
      <w:tr w:rsidR="00E57034" w:rsidRPr="00E57034" w14:paraId="57DC0CA6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2F8A44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37C33BDB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10-9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Chiyodamachi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Maebashi-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Gunma 371-0022</w:t>
            </w:r>
          </w:p>
        </w:tc>
      </w:tr>
      <w:tr w:rsidR="00E57034" w:rsidRPr="00E57034" w14:paraId="37D4BD71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FDE146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75C23E16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Fujisawa City Hospital IRB 2-6-1 Fujisawa,</w:t>
            </w:r>
          </w:p>
        </w:tc>
      </w:tr>
      <w:tr w:rsidR="00E57034" w:rsidRPr="00E57034" w14:paraId="13BC7258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7745DC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463FAC2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Fujisawa-Shi, Kanagawa 251-8550</w:t>
            </w:r>
          </w:p>
        </w:tc>
      </w:tr>
      <w:tr w:rsidR="00E57034" w:rsidRPr="00E57034" w14:paraId="004F6A91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3F7B5E7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7AE362BA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NHO CRB- 2-5-21,</w:t>
            </w:r>
          </w:p>
        </w:tc>
      </w:tr>
      <w:tr w:rsidR="00E57034" w:rsidRPr="00E57034" w14:paraId="778BC1AD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01B7ECD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08065F8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Higashigaoka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Meguro-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Tokyo 152-8621</w:t>
            </w:r>
          </w:p>
        </w:tc>
      </w:tr>
      <w:tr w:rsidR="00E57034" w:rsidRPr="00E57034" w14:paraId="311C4ADF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7920FA2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496E8CC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St. Luke's International Hospital IRB-</w:t>
            </w:r>
          </w:p>
        </w:tc>
      </w:tr>
      <w:tr w:rsidR="00E57034" w:rsidRPr="00E57034" w14:paraId="15D9B342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57121E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002E936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9-1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Alashi-cho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Chuo-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Tokyo 104-8560</w:t>
            </w:r>
          </w:p>
        </w:tc>
      </w:tr>
      <w:tr w:rsidR="00E57034" w:rsidRPr="00E57034" w14:paraId="399AF439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BBEA07A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3B1F44B0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Hakuhokai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Ako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Central Hospital IRB-</w:t>
            </w:r>
          </w:p>
        </w:tc>
      </w:tr>
      <w:tr w:rsidR="00E57034" w:rsidRPr="00E57034" w14:paraId="6A9F49EC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0897F1D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4825BBB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52-6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Somon-cho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Ako-shiHyogo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678-0241</w:t>
            </w:r>
          </w:p>
        </w:tc>
      </w:tr>
      <w:tr w:rsidR="00E57034" w:rsidRPr="00E57034" w14:paraId="22817DF7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BE3D8E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6F04B430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NHO CRB- 2-5-21,</w:t>
            </w:r>
          </w:p>
        </w:tc>
      </w:tr>
      <w:tr w:rsidR="00E57034" w:rsidRPr="00E57034" w14:paraId="21DCB19F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CCA2F3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5381490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Higashigaoka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Meguro-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Tokyo 152-8621</w:t>
            </w:r>
          </w:p>
        </w:tc>
      </w:tr>
      <w:tr w:rsidR="00E57034" w:rsidRPr="00E57034" w14:paraId="1D0CF75D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A96ED3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7B162EC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Saitama Red Cross Hospital IRB- 8-3-33,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Kamiochiai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Chuo-</w:t>
            </w:r>
          </w:p>
        </w:tc>
      </w:tr>
      <w:tr w:rsidR="00E57034" w:rsidRPr="00E57034" w14:paraId="56E3191A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157A5C7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123A051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Saitama-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Saitama 338-8553</w:t>
            </w:r>
          </w:p>
        </w:tc>
      </w:tr>
      <w:tr w:rsidR="00E57034" w:rsidRPr="00E57034" w14:paraId="67D22746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146E60A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77F4078A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KYOSOKAI AMC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Nishiumeda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Clinic IRB 3-3-45, Umeda</w:t>
            </w:r>
          </w:p>
        </w:tc>
      </w:tr>
      <w:tr w:rsidR="00E57034" w:rsidRPr="00E57034" w14:paraId="25AADD32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0439A93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331E1F7D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Osaka-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Osaka 53-0001</w:t>
            </w:r>
          </w:p>
        </w:tc>
      </w:tr>
      <w:tr w:rsidR="00E57034" w:rsidRPr="00E57034" w14:paraId="21E2223C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6F4986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1086E3E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Yokkaichi Municipal Hospital IRB</w:t>
            </w:r>
          </w:p>
        </w:tc>
      </w:tr>
      <w:tr w:rsidR="00E57034" w:rsidRPr="00E57034" w14:paraId="3DCFB0B1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B48214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1932681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2-2-</w:t>
            </w:r>
          </w:p>
        </w:tc>
      </w:tr>
      <w:tr w:rsidR="00E57034" w:rsidRPr="00E57034" w14:paraId="7C5AA34D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3BA3F9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7B26035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37, Shibata</w:t>
            </w:r>
          </w:p>
        </w:tc>
      </w:tr>
      <w:tr w:rsidR="00E57034" w:rsidRPr="00E57034" w14:paraId="1FE5B3E2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3C37AF7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3F544B9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Yokkaichi-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Mie 510-5267</w:t>
            </w:r>
          </w:p>
        </w:tc>
      </w:tr>
      <w:tr w:rsidR="00E57034" w:rsidRPr="00E57034" w14:paraId="10C8011E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A32A38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Japan</w:t>
            </w:r>
          </w:p>
        </w:tc>
        <w:tc>
          <w:tcPr>
            <w:tcW w:w="7720" w:type="dxa"/>
            <w:hideMark/>
          </w:tcPr>
          <w:p w14:paraId="13B7E48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Sapporo-Kosei General Hospital IRB 8-5 Kita 3-jo Higashi</w:t>
            </w:r>
          </w:p>
        </w:tc>
      </w:tr>
      <w:tr w:rsidR="00E57034" w:rsidRPr="00E57034" w14:paraId="492A0E5C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3DF941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13413F6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Sapporo-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Hokkaido 060-0033</w:t>
            </w:r>
          </w:p>
        </w:tc>
      </w:tr>
      <w:tr w:rsidR="00E57034" w:rsidRPr="00E57034" w14:paraId="2508A823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D75C53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5A1CFC5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IRB of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Iryohoujinsyadan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Sugiuraiin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4-4-16-301</w:t>
            </w:r>
          </w:p>
        </w:tc>
      </w:tr>
      <w:tr w:rsidR="00E57034" w:rsidRPr="00E57034" w14:paraId="5C721D77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827121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6DEDF23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Kawasaki-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Saitama 332-001</w:t>
            </w:r>
          </w:p>
        </w:tc>
      </w:tr>
      <w:tr w:rsidR="00E57034" w:rsidRPr="00E57034" w14:paraId="4EE8EF86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0E1573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Japan</w:t>
            </w:r>
          </w:p>
        </w:tc>
        <w:tc>
          <w:tcPr>
            <w:tcW w:w="7720" w:type="dxa"/>
            <w:hideMark/>
          </w:tcPr>
          <w:p w14:paraId="7FDCA66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Kurume University IRB 67,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Asahimachi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</w:t>
            </w:r>
          </w:p>
        </w:tc>
      </w:tr>
      <w:tr w:rsidR="00E57034" w:rsidRPr="00E57034" w14:paraId="75B938A3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939B860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16632CC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Kurume-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Fukuoka 830-0011</w:t>
            </w:r>
          </w:p>
        </w:tc>
      </w:tr>
      <w:tr w:rsidR="00E57034" w:rsidRPr="00E57034" w14:paraId="2EA1A64A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DBEB27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Latvia</w:t>
            </w:r>
          </w:p>
        </w:tc>
        <w:tc>
          <w:tcPr>
            <w:tcW w:w="7720" w:type="dxa"/>
            <w:hideMark/>
          </w:tcPr>
          <w:p w14:paraId="77D12C6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State Agency of Medicines of Latvia,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Jersikas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 15, Riga, LV1003</w:t>
            </w:r>
          </w:p>
        </w:tc>
      </w:tr>
      <w:tr w:rsidR="00E57034" w:rsidRPr="00E57034" w14:paraId="766BB040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0A753F5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4F0B0FD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Ethics Committee for Clinical Trials of</w:t>
            </w:r>
          </w:p>
        </w:tc>
      </w:tr>
      <w:tr w:rsidR="00E57034" w:rsidRPr="00E57034" w14:paraId="03E6F988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1C557ED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16EFADB0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Medicinal Products,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Aizkraukles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 21 – 113, Riga LV1006</w:t>
            </w:r>
          </w:p>
        </w:tc>
      </w:tr>
      <w:tr w:rsidR="00E57034" w:rsidRPr="00E57034" w14:paraId="66EB7D27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EFF798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Latvia</w:t>
            </w:r>
          </w:p>
        </w:tc>
        <w:tc>
          <w:tcPr>
            <w:tcW w:w="7720" w:type="dxa"/>
            <w:hideMark/>
          </w:tcPr>
          <w:p w14:paraId="39E6D0F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Ethics Committee for Clinical Trials of</w:t>
            </w:r>
          </w:p>
        </w:tc>
      </w:tr>
      <w:tr w:rsidR="00E57034" w:rsidRPr="00E57034" w14:paraId="1BB799B4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32D30C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27B667C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Medicinal Products,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Aizkraukles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 21 – 113, Riga LV1006</w:t>
            </w:r>
          </w:p>
        </w:tc>
      </w:tr>
      <w:tr w:rsidR="00E57034" w:rsidRPr="00E57034" w14:paraId="4AD9CBE8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D905D8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Lithuania</w:t>
            </w:r>
          </w:p>
        </w:tc>
        <w:tc>
          <w:tcPr>
            <w:tcW w:w="7720" w:type="dxa"/>
            <w:hideMark/>
          </w:tcPr>
          <w:p w14:paraId="5660639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State Medicines Control Agency,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Zirmunu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g. 139A, Vilnius LT-09120</w:t>
            </w:r>
          </w:p>
        </w:tc>
      </w:tr>
      <w:tr w:rsidR="00E57034" w:rsidRPr="00E57034" w14:paraId="3DDEB835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0706FA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14773FF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Lithuanian Bioethics Committee , Vilniaus g. 16, Vilnius, LT-01402</w:t>
            </w:r>
          </w:p>
        </w:tc>
      </w:tr>
      <w:tr w:rsidR="00E57034" w:rsidRPr="00E57034" w14:paraId="6E817C98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44DA74A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Serbia</w:t>
            </w:r>
          </w:p>
        </w:tc>
        <w:tc>
          <w:tcPr>
            <w:tcW w:w="7720" w:type="dxa"/>
            <w:hideMark/>
          </w:tcPr>
          <w:p w14:paraId="52179A26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Ethics Committee of Clinical Center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Zvezdara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Dimitrija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Tucovica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161, Belgrade 11000</w:t>
            </w:r>
          </w:p>
        </w:tc>
      </w:tr>
      <w:tr w:rsidR="00E57034" w:rsidRPr="00E57034" w14:paraId="45B0350F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895B66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228439F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Medicines and Medical Devices agency of</w:t>
            </w:r>
          </w:p>
        </w:tc>
      </w:tr>
      <w:tr w:rsidR="00E57034" w:rsidRPr="00E57034" w14:paraId="37712B66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13F05E1D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075733F6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Serbia-458,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Vojvode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Stepe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 Belgrade, 11221</w:t>
            </w:r>
          </w:p>
        </w:tc>
      </w:tr>
      <w:tr w:rsidR="00E57034" w:rsidRPr="00E57034" w14:paraId="69D937BD" w14:textId="77777777" w:rsidTr="00E57034">
        <w:trPr>
          <w:trHeight w:val="765"/>
        </w:trPr>
        <w:tc>
          <w:tcPr>
            <w:tcW w:w="0" w:type="auto"/>
            <w:noWrap/>
            <w:hideMark/>
          </w:tcPr>
          <w:p w14:paraId="0B9AC96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Serbia</w:t>
            </w:r>
          </w:p>
        </w:tc>
        <w:tc>
          <w:tcPr>
            <w:tcW w:w="7720" w:type="dxa"/>
            <w:hideMark/>
          </w:tcPr>
          <w:p w14:paraId="4C2CB2E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Ethics Committee of Clinical Center Kragujevac-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Zmaj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Jovina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30, Kragujevac 34000 Medicines and Medical Devices agency of Serbia-458,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Vojvode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Stepe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 Belgrade, 11221</w:t>
            </w:r>
          </w:p>
        </w:tc>
      </w:tr>
      <w:tr w:rsidR="00E57034" w:rsidRPr="00E57034" w14:paraId="789DC4A6" w14:textId="77777777" w:rsidTr="00E57034">
        <w:trPr>
          <w:trHeight w:val="765"/>
        </w:trPr>
        <w:tc>
          <w:tcPr>
            <w:tcW w:w="0" w:type="auto"/>
            <w:noWrap/>
            <w:hideMark/>
          </w:tcPr>
          <w:p w14:paraId="4D3C415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Serbia</w:t>
            </w:r>
          </w:p>
        </w:tc>
        <w:tc>
          <w:tcPr>
            <w:tcW w:w="7720" w:type="dxa"/>
            <w:hideMark/>
          </w:tcPr>
          <w:p w14:paraId="1BA3DE8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Ethics Committee of Institute for Pulmonary Diseases of Vojvodina- Put dr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Goldmana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 Sremska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Kamenica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Vojvodina 21204 Medicines and Medical Devices agency of Serbia-458,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Vojvode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Stepe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 Belgrade, 11221</w:t>
            </w:r>
          </w:p>
        </w:tc>
      </w:tr>
      <w:tr w:rsidR="00E57034" w:rsidRPr="00E57034" w14:paraId="75E19118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78E170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Slovakia</w:t>
            </w:r>
          </w:p>
        </w:tc>
        <w:tc>
          <w:tcPr>
            <w:tcW w:w="7720" w:type="dxa"/>
            <w:hideMark/>
          </w:tcPr>
          <w:p w14:paraId="01174C9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Statny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ustav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pre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kontrolu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lieciv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Kvetna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11, Bratislava 82508</w:t>
            </w:r>
          </w:p>
        </w:tc>
      </w:tr>
      <w:tr w:rsidR="00E57034" w:rsidRPr="00E57034" w14:paraId="5B43AF7F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98842E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2B7C5132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Eticka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komisia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Nitrianskeho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samospravneho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kraja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Razusova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2A Nitra 94901</w:t>
            </w:r>
          </w:p>
        </w:tc>
      </w:tr>
      <w:tr w:rsidR="00E57034" w:rsidRPr="00E57034" w14:paraId="49ADF26D" w14:textId="77777777" w:rsidTr="00E57034">
        <w:trPr>
          <w:trHeight w:val="510"/>
        </w:trPr>
        <w:tc>
          <w:tcPr>
            <w:tcW w:w="0" w:type="auto"/>
            <w:noWrap/>
            <w:hideMark/>
          </w:tcPr>
          <w:p w14:paraId="4EB08E2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Slovakia</w:t>
            </w:r>
          </w:p>
        </w:tc>
        <w:tc>
          <w:tcPr>
            <w:tcW w:w="7720" w:type="dxa"/>
            <w:hideMark/>
          </w:tcPr>
          <w:p w14:paraId="664A410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Statny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ustav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pre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kontrolu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lieciv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Kvetna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11,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Eticka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komisia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Nitrianskeho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samospravneho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kraja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Razusova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2A Nitra 94901</w:t>
            </w:r>
          </w:p>
        </w:tc>
      </w:tr>
      <w:tr w:rsidR="00E57034" w:rsidRPr="00E57034" w14:paraId="4EC3A903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313A189D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1CCF10C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Eticka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komisia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Trencianskeho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samospravneho</w:t>
            </w:r>
            <w:proofErr w:type="spellEnd"/>
          </w:p>
        </w:tc>
      </w:tr>
      <w:tr w:rsidR="00E57034" w:rsidRPr="00E57034" w14:paraId="388EE1B9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337C88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4E15E21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kraja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- K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dolnej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stanici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7282/20A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Trencin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91101</w:t>
            </w:r>
          </w:p>
        </w:tc>
      </w:tr>
      <w:tr w:rsidR="00E57034" w:rsidRPr="00E57034" w14:paraId="44FD6416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C76427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South Africa</w:t>
            </w:r>
          </w:p>
        </w:tc>
        <w:tc>
          <w:tcPr>
            <w:tcW w:w="7720" w:type="dxa"/>
            <w:hideMark/>
          </w:tcPr>
          <w:p w14:paraId="3FE1657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Pharma Ethics</w:t>
            </w:r>
          </w:p>
        </w:tc>
      </w:tr>
      <w:tr w:rsidR="00E57034" w:rsidRPr="00E57034" w14:paraId="1D87920D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7F57722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2EE836B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123 Amcor Road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Lyttlelon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Manor, South Africa 0157</w:t>
            </w:r>
          </w:p>
        </w:tc>
      </w:tr>
      <w:tr w:rsidR="00E57034" w:rsidRPr="00E57034" w14:paraId="767AC2A3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4FABD7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52432F4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MCC - Medicines Control Council (South Africa) 42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Andries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Street Pretoria, Gauteng 0001</w:t>
            </w:r>
          </w:p>
        </w:tc>
      </w:tr>
      <w:tr w:rsidR="00E57034" w:rsidRPr="00E57034" w14:paraId="0A86DA9B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E89D85B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Ukraine</w:t>
            </w:r>
          </w:p>
        </w:tc>
        <w:tc>
          <w:tcPr>
            <w:tcW w:w="7720" w:type="dxa"/>
            <w:hideMark/>
          </w:tcPr>
          <w:p w14:paraId="693DFFA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State Expert Center of the Ministry of Health of Ukraine 40,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Ushynskogo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Kyiv 03151</w:t>
            </w:r>
          </w:p>
        </w:tc>
      </w:tr>
      <w:tr w:rsidR="00E57034" w:rsidRPr="00E57034" w14:paraId="53AAED9B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27D33B6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4835D14A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ethics Commission at State Inst</w:t>
            </w:r>
          </w:p>
        </w:tc>
      </w:tr>
      <w:tr w:rsidR="00E57034" w:rsidRPr="00E57034" w14:paraId="1C698334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F6A3876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0904E8F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F.H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Yanovskyi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Nat’l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Inst. of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Phthisiatry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&amp;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Pumonology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of NAMS of Ukraine-</w:t>
            </w:r>
          </w:p>
        </w:tc>
      </w:tr>
      <w:tr w:rsidR="00E57034" w:rsidRPr="00E57034" w14:paraId="35F5200F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16DB1BF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6ECC7D70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10,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Amosova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 Kyiv,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Uraine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03680</w:t>
            </w:r>
          </w:p>
        </w:tc>
      </w:tr>
      <w:tr w:rsidR="00E57034" w:rsidRPr="00E57034" w14:paraId="1F312EB0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17DBA85B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Ukraine</w:t>
            </w:r>
          </w:p>
        </w:tc>
        <w:tc>
          <w:tcPr>
            <w:tcW w:w="7720" w:type="dxa"/>
            <w:hideMark/>
          </w:tcPr>
          <w:p w14:paraId="60D67AC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State Expert Center of the Ministry of Health of Ukraine</w:t>
            </w:r>
          </w:p>
        </w:tc>
      </w:tr>
      <w:tr w:rsidR="00E57034" w:rsidRPr="00E57034" w14:paraId="1FDDC5A9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3CD8DC3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668538B8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40,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Ushynskogo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Kyiv 03151</w:t>
            </w:r>
          </w:p>
        </w:tc>
      </w:tr>
      <w:tr w:rsidR="00E57034" w:rsidRPr="00E57034" w14:paraId="3247DDA8" w14:textId="77777777" w:rsidTr="00E57034">
        <w:trPr>
          <w:trHeight w:val="510"/>
        </w:trPr>
        <w:tc>
          <w:tcPr>
            <w:tcW w:w="0" w:type="auto"/>
            <w:noWrap/>
            <w:hideMark/>
          </w:tcPr>
          <w:p w14:paraId="19F49D9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584D8DDB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LEC Communal Institution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Zaporizhzhia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Regional Clinical Hospital – 10,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Orikhhivske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Shose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Zaporizhzhia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Ukraine 69600</w:t>
            </w:r>
          </w:p>
        </w:tc>
      </w:tr>
      <w:tr w:rsidR="00E57034" w:rsidRPr="00E57034" w14:paraId="5B422F58" w14:textId="77777777" w:rsidTr="00E57034">
        <w:trPr>
          <w:trHeight w:val="510"/>
        </w:trPr>
        <w:tc>
          <w:tcPr>
            <w:tcW w:w="0" w:type="auto"/>
            <w:noWrap/>
            <w:hideMark/>
          </w:tcPr>
          <w:p w14:paraId="0A0F3A5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Ukraine</w:t>
            </w:r>
          </w:p>
        </w:tc>
        <w:tc>
          <w:tcPr>
            <w:tcW w:w="7720" w:type="dxa"/>
            <w:hideMark/>
          </w:tcPr>
          <w:p w14:paraId="053EF4C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Ethics Commission at Communal Inst. Dnipropetrovsk City Clinical Hospital #6 of Dnipropetrovsk Regional Council- 13,</w:t>
            </w:r>
          </w:p>
        </w:tc>
      </w:tr>
      <w:tr w:rsidR="00E57034" w:rsidRPr="00E57034" w14:paraId="2A1DA84F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151F18C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6505C9DA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Batumska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Dnipropetrovsk, Ukraine 49074</w:t>
            </w:r>
          </w:p>
        </w:tc>
      </w:tr>
      <w:tr w:rsidR="00E57034" w:rsidRPr="00E57034" w14:paraId="227187B2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ECE98B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Ukraine</w:t>
            </w:r>
          </w:p>
        </w:tc>
        <w:tc>
          <w:tcPr>
            <w:tcW w:w="7720" w:type="dxa"/>
            <w:hideMark/>
          </w:tcPr>
          <w:p w14:paraId="66C4AEC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State Expert Center of the Ministry of Health of Ukraine 40,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Ushynskogo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Kyiv 03151</w:t>
            </w:r>
          </w:p>
        </w:tc>
      </w:tr>
      <w:tr w:rsidR="00E57034" w:rsidRPr="00E57034" w14:paraId="684911AC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86F801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6892F189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LEC SI Railway Hospital of State Enterprise</w:t>
            </w:r>
          </w:p>
        </w:tc>
      </w:tr>
      <w:tr w:rsidR="00E57034" w:rsidRPr="00E57034" w14:paraId="5C1A638A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637EBD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3A5EA630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Odesa Railway – 3a,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Heroiiv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Prykordonnykiv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Odesa, Ukraine 65010</w:t>
            </w:r>
          </w:p>
        </w:tc>
      </w:tr>
      <w:tr w:rsidR="00E57034" w:rsidRPr="00E57034" w14:paraId="65CC5DEA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B6998B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Ukraine</w:t>
            </w:r>
          </w:p>
        </w:tc>
        <w:tc>
          <w:tcPr>
            <w:tcW w:w="7720" w:type="dxa"/>
            <w:hideMark/>
          </w:tcPr>
          <w:p w14:paraId="1D15BBA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State Expert Center of the Ministry of Health of Ukraine</w:t>
            </w:r>
          </w:p>
        </w:tc>
      </w:tr>
      <w:tr w:rsidR="00E57034" w:rsidRPr="00E57034" w14:paraId="6D85E5D1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C3BC3F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4BD961B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40,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Ushynskogo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Kyiv  03151 The Ethics Commission at Kyiv City</w:t>
            </w:r>
          </w:p>
        </w:tc>
      </w:tr>
      <w:tr w:rsidR="00E57034" w:rsidRPr="00E57034" w14:paraId="106151FD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4CE824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4169BC1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Tuberculosis Hosp.#1 with Dispensary Dept- 121/3,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Kharkivske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Kyiv, Ukraine 02091</w:t>
            </w:r>
          </w:p>
        </w:tc>
      </w:tr>
      <w:tr w:rsidR="00E57034" w:rsidRPr="00E57034" w14:paraId="1DE0B697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0093210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Ukraine</w:t>
            </w:r>
          </w:p>
        </w:tc>
        <w:tc>
          <w:tcPr>
            <w:tcW w:w="7720" w:type="dxa"/>
            <w:hideMark/>
          </w:tcPr>
          <w:p w14:paraId="2766629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The Ethics Commission at Regional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Phthisiopulmonological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Center-</w:t>
            </w:r>
          </w:p>
        </w:tc>
      </w:tr>
      <w:tr w:rsidR="00E57034" w:rsidRPr="00E57034" w14:paraId="1B42B2A9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0C9704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5AE4EC1B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17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Franka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</w:t>
            </w:r>
          </w:p>
        </w:tc>
      </w:tr>
      <w:tr w:rsidR="00E57034" w:rsidRPr="00E57034" w14:paraId="5D4131DE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8CCB19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0FC6EB6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Ivano-Frankivsk, Ukraine 76018</w:t>
            </w:r>
          </w:p>
        </w:tc>
      </w:tr>
      <w:tr w:rsidR="00E57034" w:rsidRPr="00E57034" w14:paraId="5F501484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92309FC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Ukraine</w:t>
            </w:r>
          </w:p>
        </w:tc>
        <w:tc>
          <w:tcPr>
            <w:tcW w:w="7720" w:type="dxa"/>
            <w:hideMark/>
          </w:tcPr>
          <w:p w14:paraId="4042D772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LEC LLC Treatment and Diagnostic Center ADONIS Plus</w:t>
            </w:r>
          </w:p>
        </w:tc>
      </w:tr>
      <w:tr w:rsidR="00E57034" w:rsidRPr="00E57034" w14:paraId="7E2A22A5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1E2FFF92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0" w:type="dxa"/>
            <w:hideMark/>
          </w:tcPr>
          <w:p w14:paraId="326C41E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8b,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Raisy</w:t>
            </w:r>
            <w:proofErr w:type="spellEnd"/>
          </w:p>
        </w:tc>
      </w:tr>
      <w:tr w:rsidR="00E57034" w:rsidRPr="00E57034" w14:paraId="00D8ADC2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3180165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19E4FD5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Okipnoi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Kyiv, Ukraine, 02002</w:t>
            </w:r>
          </w:p>
        </w:tc>
      </w:tr>
      <w:tr w:rsidR="00E57034" w:rsidRPr="00E57034" w14:paraId="0975670D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138E9E3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Ukraine</w:t>
            </w:r>
          </w:p>
        </w:tc>
        <w:tc>
          <w:tcPr>
            <w:tcW w:w="7720" w:type="dxa"/>
            <w:hideMark/>
          </w:tcPr>
          <w:p w14:paraId="6158099B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LEC City Hospital #1 4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Volodarskoho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Mykolaiv, Ukraine, 54003</w:t>
            </w:r>
          </w:p>
        </w:tc>
      </w:tr>
      <w:tr w:rsidR="00E57034" w:rsidRPr="00E57034" w14:paraId="505EFBFA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77FF1085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Ukraine</w:t>
            </w:r>
          </w:p>
        </w:tc>
        <w:tc>
          <w:tcPr>
            <w:tcW w:w="7720" w:type="dxa"/>
            <w:hideMark/>
          </w:tcPr>
          <w:p w14:paraId="0F29C45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LEC City Clinical Hospital # 1 96,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Khmelnyske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Shose</w:t>
            </w:r>
            <w:proofErr w:type="spellEnd"/>
          </w:p>
        </w:tc>
      </w:tr>
      <w:tr w:rsidR="00E57034" w:rsidRPr="00E57034" w14:paraId="607E4B43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6F577A4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71FBB5E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St.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Vinnytsia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Ukraine 21029</w:t>
            </w:r>
          </w:p>
        </w:tc>
      </w:tr>
      <w:tr w:rsidR="00E57034" w:rsidRPr="00E57034" w14:paraId="40101D41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681A3C5A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Ukraine</w:t>
            </w:r>
          </w:p>
        </w:tc>
        <w:tc>
          <w:tcPr>
            <w:tcW w:w="7720" w:type="dxa"/>
            <w:hideMark/>
          </w:tcPr>
          <w:p w14:paraId="518A41EE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LEC Poltava Regional Clinical Antitubercular Dispensary- I-V,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Kyivsky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Shose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St. vil.</w:t>
            </w:r>
          </w:p>
        </w:tc>
      </w:tr>
      <w:tr w:rsidR="00E57034" w:rsidRPr="00E57034" w14:paraId="0CE01F28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53F1FA1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21AD353D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Suprunivka</w:t>
            </w:r>
            <w:proofErr w:type="spellEnd"/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 Poltava district 36040</w:t>
            </w:r>
          </w:p>
        </w:tc>
      </w:tr>
      <w:tr w:rsidR="00E57034" w:rsidRPr="00E57034" w14:paraId="3B15506D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0D180BA4" w14:textId="40591BE6" w:rsidR="00E57034" w:rsidRPr="00E57034" w:rsidRDefault="002C197D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USA</w:t>
            </w:r>
          </w:p>
        </w:tc>
        <w:tc>
          <w:tcPr>
            <w:tcW w:w="7720" w:type="dxa"/>
            <w:hideMark/>
          </w:tcPr>
          <w:p w14:paraId="6E833857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Copernicus Group IRB, 1 Triangle Drive, Suite 100, Durham, NC 27713</w:t>
            </w:r>
          </w:p>
        </w:tc>
      </w:tr>
      <w:tr w:rsidR="002C197D" w:rsidRPr="00E57034" w14:paraId="74BC977D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3BBB31F3" w14:textId="79726EB1" w:rsidR="002C197D" w:rsidRPr="00E57034" w:rsidRDefault="002C197D" w:rsidP="002C197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2F90">
              <w:rPr>
                <w:rFonts w:ascii="Times New Roman" w:eastAsia="Times New Roman" w:hAnsi="Times New Roman" w:cs="Times New Roman"/>
                <w:color w:val="000000"/>
              </w:rPr>
              <w:t>USA</w:t>
            </w:r>
          </w:p>
        </w:tc>
        <w:tc>
          <w:tcPr>
            <w:tcW w:w="7720" w:type="dxa"/>
            <w:hideMark/>
          </w:tcPr>
          <w:p w14:paraId="177814A4" w14:textId="77777777" w:rsidR="002C197D" w:rsidRPr="00E57034" w:rsidRDefault="002C197D" w:rsidP="002C197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Mayo Clinic IRB – Rochester- 200 First Street,</w:t>
            </w:r>
          </w:p>
        </w:tc>
      </w:tr>
      <w:tr w:rsidR="002C197D" w:rsidRPr="00E57034" w14:paraId="5284E489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020C944B" w14:textId="360D6C05" w:rsidR="002C197D" w:rsidRPr="00E57034" w:rsidRDefault="002C197D" w:rsidP="002C197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2F90">
              <w:rPr>
                <w:rFonts w:ascii="Times New Roman" w:eastAsia="Times New Roman" w:hAnsi="Times New Roman" w:cs="Times New Roman"/>
                <w:color w:val="000000"/>
              </w:rPr>
              <w:t>USA</w:t>
            </w:r>
          </w:p>
        </w:tc>
        <w:tc>
          <w:tcPr>
            <w:tcW w:w="7720" w:type="dxa"/>
            <w:hideMark/>
          </w:tcPr>
          <w:p w14:paraId="37A1BAB8" w14:textId="77777777" w:rsidR="002C197D" w:rsidRPr="00E57034" w:rsidRDefault="002C197D" w:rsidP="002C197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SW Rochester, MN 55905</w:t>
            </w:r>
          </w:p>
        </w:tc>
      </w:tr>
      <w:tr w:rsidR="002C197D" w:rsidRPr="00E57034" w14:paraId="376392B0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4F403562" w14:textId="60156B15" w:rsidR="002C197D" w:rsidRPr="00E57034" w:rsidRDefault="002C197D" w:rsidP="002C197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2F90">
              <w:rPr>
                <w:rFonts w:ascii="Times New Roman" w:eastAsia="Times New Roman" w:hAnsi="Times New Roman" w:cs="Times New Roman"/>
                <w:color w:val="000000"/>
              </w:rPr>
              <w:t>USA</w:t>
            </w:r>
          </w:p>
        </w:tc>
        <w:tc>
          <w:tcPr>
            <w:tcW w:w="7720" w:type="dxa"/>
            <w:hideMark/>
          </w:tcPr>
          <w:p w14:paraId="6D4CD3BB" w14:textId="77777777" w:rsidR="002C197D" w:rsidRPr="00E57034" w:rsidRDefault="002C197D" w:rsidP="002C197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Johns Hopkins University IRB- 1620 McElderry St,, Reed Hall B-130 Baltimore, MD 21205</w:t>
            </w:r>
          </w:p>
        </w:tc>
      </w:tr>
      <w:tr w:rsidR="002C197D" w:rsidRPr="00E57034" w14:paraId="728E317D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01FF3731" w14:textId="68221609" w:rsidR="002C197D" w:rsidRPr="00E57034" w:rsidRDefault="002C197D" w:rsidP="002C197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2F90">
              <w:rPr>
                <w:rFonts w:ascii="Times New Roman" w:eastAsia="Times New Roman" w:hAnsi="Times New Roman" w:cs="Times New Roman"/>
                <w:color w:val="000000"/>
              </w:rPr>
              <w:t>USA</w:t>
            </w:r>
          </w:p>
        </w:tc>
        <w:tc>
          <w:tcPr>
            <w:tcW w:w="7720" w:type="dxa"/>
            <w:hideMark/>
          </w:tcPr>
          <w:p w14:paraId="36F510B1" w14:textId="77777777" w:rsidR="002C197D" w:rsidRPr="00E57034" w:rsidRDefault="002C197D" w:rsidP="002C197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NYU School of Medicine IRB-462 First Avenue. New York, NY 10016</w:t>
            </w:r>
          </w:p>
        </w:tc>
      </w:tr>
      <w:tr w:rsidR="002C197D" w:rsidRPr="00E57034" w14:paraId="000DCC43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540D7B6D" w14:textId="65E321C4" w:rsidR="002C197D" w:rsidRPr="00E57034" w:rsidRDefault="002C197D" w:rsidP="002C197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2F90">
              <w:rPr>
                <w:rFonts w:ascii="Times New Roman" w:eastAsia="Times New Roman" w:hAnsi="Times New Roman" w:cs="Times New Roman"/>
                <w:color w:val="000000"/>
              </w:rPr>
              <w:t>USA</w:t>
            </w:r>
          </w:p>
        </w:tc>
        <w:tc>
          <w:tcPr>
            <w:tcW w:w="7720" w:type="dxa"/>
            <w:hideMark/>
          </w:tcPr>
          <w:p w14:paraId="2444D78C" w14:textId="77777777" w:rsidR="002C197D" w:rsidRPr="00E57034" w:rsidRDefault="002C197D" w:rsidP="002C197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Program for the Protection of Human Subjects, Icahn School of Medicine at Mount Sinai</w:t>
            </w:r>
          </w:p>
        </w:tc>
      </w:tr>
      <w:tr w:rsidR="00E57034" w:rsidRPr="00E57034" w14:paraId="163F9FD4" w14:textId="77777777" w:rsidTr="00E57034">
        <w:trPr>
          <w:trHeight w:val="300"/>
        </w:trPr>
        <w:tc>
          <w:tcPr>
            <w:tcW w:w="0" w:type="auto"/>
            <w:noWrap/>
            <w:hideMark/>
          </w:tcPr>
          <w:p w14:paraId="2C61D4DF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0" w:type="dxa"/>
            <w:hideMark/>
          </w:tcPr>
          <w:p w14:paraId="40304123" w14:textId="77777777" w:rsidR="00E57034" w:rsidRPr="00E57034" w:rsidRDefault="00E57034" w:rsidP="00E5703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70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Medical Center- One Gustave L. Levy Place, Box 1081 New York, NY 10029</w:t>
            </w:r>
          </w:p>
        </w:tc>
      </w:tr>
    </w:tbl>
    <w:p w14:paraId="43FA17D8" w14:textId="1021F57F" w:rsidR="00E57034" w:rsidRDefault="002C197D" w:rsidP="002C197D">
      <w:pPr>
        <w:spacing w:after="160" w:line="259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2E608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Abbreviations:</w:t>
      </w:r>
      <w:r w:rsidR="00E57034" w:rsidRPr="00E5703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-US"/>
        </w:rPr>
        <w:t>IEC, independent ethics committee; IRB, Institutional Review Board</w:t>
      </w:r>
      <w:r w:rsidR="00E57034">
        <w:rPr>
          <w:rFonts w:ascii="Times New Roman" w:eastAsia="Times New Roman" w:hAnsi="Times New Roman" w:cs="Times New Roman"/>
          <w:color w:val="000000"/>
          <w:lang w:val="en-US"/>
        </w:rPr>
        <w:br w:type="page"/>
      </w:r>
    </w:p>
    <w:p w14:paraId="79A90D41" w14:textId="39E675BA" w:rsidR="00915A27" w:rsidRPr="00462042" w:rsidRDefault="00E57034" w:rsidP="00915A27">
      <w:pPr>
        <w:spacing w:line="480" w:lineRule="auto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lastRenderedPageBreak/>
        <w:t xml:space="preserve">Table S2 </w:t>
      </w:r>
      <w:r w:rsidR="00915A27" w:rsidRPr="00462042">
        <w:rPr>
          <w:rFonts w:ascii="Times New Roman" w:eastAsia="Times New Roman" w:hAnsi="Times New Roman" w:cs="Times New Roman"/>
          <w:color w:val="000000"/>
          <w:lang w:val="en-US"/>
        </w:rPr>
        <w:t>List of Allergens Evaluated in the Anti-IgE FEIA Test</w:t>
      </w:r>
    </w:p>
    <w:p w14:paraId="656E64AF" w14:textId="77777777" w:rsidR="00915A27" w:rsidRPr="00462042" w:rsidRDefault="00915A27" w:rsidP="00915A27">
      <w:pPr>
        <w:pBdr>
          <w:top w:val="single" w:sz="4" w:space="1" w:color="auto"/>
        </w:pBd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i/>
          <w:iCs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Alternaria </w:t>
      </w:r>
      <w:proofErr w:type="spellStart"/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alternata</w:t>
      </w:r>
      <w:proofErr w:type="spellEnd"/>
    </w:p>
    <w:p w14:paraId="57196C82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i/>
          <w:iCs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Aspergillus fumigatus </w:t>
      </w:r>
    </w:p>
    <w:p w14:paraId="05649664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color w:val="000000"/>
          <w:lang w:val="en-US"/>
        </w:rPr>
        <w:t xml:space="preserve">Bermuda grass </w:t>
      </w:r>
    </w:p>
    <w:p w14:paraId="7EEA21A9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color w:val="000000"/>
          <w:lang w:val="en-US"/>
        </w:rPr>
        <w:t xml:space="preserve">Birch </w:t>
      </w:r>
    </w:p>
    <w:p w14:paraId="771A5E75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color w:val="000000"/>
          <w:lang w:val="en-US"/>
        </w:rPr>
        <w:t xml:space="preserve">Cat dander </w:t>
      </w:r>
    </w:p>
    <w:p w14:paraId="49A69754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i/>
          <w:iCs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Cladosporium </w:t>
      </w:r>
      <w:proofErr w:type="spellStart"/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herbarum</w:t>
      </w:r>
      <w:proofErr w:type="spellEnd"/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</w:p>
    <w:p w14:paraId="17084FDA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color w:val="000000"/>
          <w:lang w:val="en-US"/>
        </w:rPr>
        <w:t xml:space="preserve">Cockroach </w:t>
      </w:r>
    </w:p>
    <w:p w14:paraId="34EC2BF9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color w:val="000000"/>
          <w:lang w:val="en-US"/>
        </w:rPr>
        <w:t xml:space="preserve">Common ragweed </w:t>
      </w:r>
    </w:p>
    <w:p w14:paraId="635FB7C3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i/>
          <w:iCs/>
          <w:color w:val="000000"/>
          <w:lang w:val="en-US"/>
        </w:rPr>
      </w:pPr>
      <w:proofErr w:type="spellStart"/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Dermatophagoides</w:t>
      </w:r>
      <w:proofErr w:type="spellEnd"/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farina</w:t>
      </w:r>
    </w:p>
    <w:p w14:paraId="6A19988B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i/>
          <w:iCs/>
          <w:color w:val="000000"/>
          <w:lang w:val="en-US"/>
        </w:rPr>
      </w:pPr>
      <w:proofErr w:type="spellStart"/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Dermatophagoides</w:t>
      </w:r>
      <w:proofErr w:type="spellEnd"/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pteronyssinus</w:t>
      </w:r>
      <w:proofErr w:type="spellEnd"/>
    </w:p>
    <w:p w14:paraId="72FDEB21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color w:val="000000"/>
          <w:lang w:val="en-US"/>
        </w:rPr>
        <w:t>Dog dander</w:t>
      </w:r>
    </w:p>
    <w:p w14:paraId="12323AA4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color w:val="000000"/>
          <w:lang w:val="en-US"/>
        </w:rPr>
        <w:t>Japanese cedar</w:t>
      </w:r>
    </w:p>
    <w:p w14:paraId="2C005D8D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color w:val="000000"/>
          <w:lang w:val="en-US"/>
        </w:rPr>
        <w:t>Johnson grass</w:t>
      </w:r>
    </w:p>
    <w:p w14:paraId="2511B800" w14:textId="77777777" w:rsidR="00915A27" w:rsidRPr="00462042" w:rsidRDefault="00915A27" w:rsidP="00915A27">
      <w:pP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i/>
          <w:iCs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Penicillium </w:t>
      </w:r>
      <w:proofErr w:type="spellStart"/>
      <w:r w:rsidRPr="00462042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chrysogenum</w:t>
      </w:r>
      <w:proofErr w:type="spellEnd"/>
    </w:p>
    <w:p w14:paraId="33CCA04F" w14:textId="77777777" w:rsidR="00915A27" w:rsidRPr="00462042" w:rsidRDefault="00915A27" w:rsidP="00915A27">
      <w:pPr>
        <w:pBdr>
          <w:bottom w:val="single" w:sz="4" w:space="1" w:color="auto"/>
        </w:pBdr>
        <w:spacing w:line="480" w:lineRule="auto"/>
        <w:ind w:left="357" w:hanging="357"/>
        <w:contextualSpacing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color w:val="000000"/>
          <w:lang w:val="en-US"/>
        </w:rPr>
        <w:t>Timothy grass</w:t>
      </w:r>
    </w:p>
    <w:p w14:paraId="4C2EB50A" w14:textId="77777777" w:rsidR="00915A27" w:rsidRPr="00462042" w:rsidRDefault="00915A27" w:rsidP="00915A27">
      <w:pPr>
        <w:spacing w:line="480" w:lineRule="auto"/>
        <w:ind w:left="357" w:hanging="357"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Abbreviations: </w:t>
      </w:r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FEIA, </w:t>
      </w:r>
      <w:proofErr w:type="spellStart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fluoro</w:t>
      </w:r>
      <w:proofErr w:type="spellEnd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-enzyme immunoassay; </w:t>
      </w:r>
      <w:proofErr w:type="spellStart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IgE</w:t>
      </w:r>
      <w:proofErr w:type="spellEnd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immunoglobulin E.</w:t>
      </w:r>
      <w:r w:rsidRPr="00462042">
        <w:rPr>
          <w:rFonts w:ascii="Times New Roman" w:eastAsia="Times New Roman" w:hAnsi="Times New Roman" w:cs="Times New Roman"/>
          <w:color w:val="000000"/>
          <w:lang w:val="en-US"/>
        </w:rPr>
        <w:br w:type="page"/>
      </w:r>
    </w:p>
    <w:p w14:paraId="36E41F45" w14:textId="593F384F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lastRenderedPageBreak/>
        <w:t>Table S</w:t>
      </w:r>
      <w:r w:rsidR="00E5703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3</w:t>
      </w:r>
      <w:r w:rsidRPr="00462042">
        <w:rPr>
          <w:rFonts w:ascii="Times New Roman" w:eastAsia="Times New Roman" w:hAnsi="Times New Roman" w:cs="Times New Roman"/>
          <w:color w:val="000000"/>
          <w:lang w:val="en-US"/>
        </w:rPr>
        <w:t xml:space="preserve"> History of Exacerbations at Baseline According to Baseline Blood Eosinophil Count or Atopic Asthma Status*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130"/>
        <w:gridCol w:w="1130"/>
        <w:gridCol w:w="1130"/>
        <w:gridCol w:w="1130"/>
        <w:gridCol w:w="1130"/>
        <w:gridCol w:w="1131"/>
      </w:tblGrid>
      <w:tr w:rsidR="00915A27" w:rsidRPr="00462042" w14:paraId="4FABD7D1" w14:textId="77777777" w:rsidTr="002961A0">
        <w:trPr>
          <w:trHeight w:val="340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05D5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A23E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Placebo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F54F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Tezepelumab</w:t>
            </w:r>
          </w:p>
          <w:p w14:paraId="430A721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210 mg Q4W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80D1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Pooled tezepelumab</w:t>
            </w:r>
          </w:p>
        </w:tc>
      </w:tr>
      <w:tr w:rsidR="00915A27" w:rsidRPr="00462042" w14:paraId="6FD0124F" w14:textId="77777777" w:rsidTr="002961A0">
        <w:trPr>
          <w:trHeight w:val="340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14:paraId="0E83554E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Blood eosinophil count (cells/µL)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6C5CC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&lt;300</w:t>
            </w:r>
          </w:p>
          <w:p w14:paraId="5B3087D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(n=73)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D8813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≥300</w:t>
            </w:r>
          </w:p>
          <w:p w14:paraId="5FE1548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75629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&lt;300</w:t>
            </w:r>
          </w:p>
          <w:p w14:paraId="4C540BA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(n=70)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4EF1F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≥300</w:t>
            </w:r>
          </w:p>
          <w:p w14:paraId="22A629D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(n=67)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A0CA8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&lt;300</w:t>
            </w:r>
          </w:p>
          <w:p w14:paraId="4287065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(n=214)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0C361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≥300</w:t>
            </w:r>
          </w:p>
          <w:p w14:paraId="5C84DAF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(n=198)</w:t>
            </w:r>
          </w:p>
        </w:tc>
      </w:tr>
      <w:tr w:rsidR="00915A27" w:rsidRPr="00462042" w14:paraId="199831D6" w14:textId="77777777" w:rsidTr="002961A0">
        <w:trPr>
          <w:trHeight w:val="496"/>
        </w:trPr>
        <w:tc>
          <w:tcPr>
            <w:tcW w:w="2245" w:type="dxa"/>
            <w:tcBorders>
              <w:top w:val="single" w:sz="4" w:space="0" w:color="auto"/>
            </w:tcBorders>
            <w:shd w:val="clear" w:color="auto" w:fill="auto"/>
          </w:tcPr>
          <w:p w14:paraId="1C5B5AD6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History of prior exacerbations, n (%)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77B87A3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7B356BD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4B770B9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3105979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3E9685D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2F98F26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72229279" w14:textId="77777777" w:rsidTr="002961A0">
        <w:trPr>
          <w:trHeight w:val="340"/>
        </w:trPr>
        <w:tc>
          <w:tcPr>
            <w:tcW w:w="2245" w:type="dxa"/>
            <w:shd w:val="clear" w:color="auto" w:fill="auto"/>
          </w:tcPr>
          <w:p w14:paraId="7EBC9F1A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or 2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530A9C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 (80.8)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6EDD82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51 (78.5)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D8B794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55 (78.6)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AB9BDA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 (74.6)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2AE073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179 (83.6)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95878E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152 (76.8)</w:t>
            </w:r>
          </w:p>
        </w:tc>
      </w:tr>
      <w:tr w:rsidR="00915A27" w:rsidRPr="00462042" w14:paraId="1E8E4FFA" w14:textId="77777777" w:rsidTr="00296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A2F62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≥3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D88D2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 (19.2)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FAC071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 (21.5)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996CE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 (21.4)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F3A88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 (25.4)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394BE8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 (16.4)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5EDE9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46 (23.2)</w:t>
            </w:r>
          </w:p>
        </w:tc>
      </w:tr>
      <w:tr w:rsidR="00915A27" w:rsidRPr="00462042" w14:paraId="681131D9" w14:textId="77777777" w:rsidTr="00296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EECBB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Allergic asthma status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6FECA3A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Atopic</w:t>
            </w:r>
          </w:p>
          <w:p w14:paraId="644E9F0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Courier New" w:hAnsi="Courier New" w:cs="Courier New"/>
                <w:bCs/>
                <w:color w:val="000000"/>
                <w:sz w:val="18"/>
                <w:szCs w:val="18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(n=80)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373777E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Non-atopic</w:t>
            </w:r>
          </w:p>
          <w:p w14:paraId="6600BBA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(n=50)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452AE4F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Atopic</w:t>
            </w:r>
          </w:p>
          <w:p w14:paraId="199F54B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(n=77)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1080C62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Non-atopic</w:t>
            </w:r>
          </w:p>
          <w:p w14:paraId="373F3E7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(n=50)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104CCCE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Atopic</w:t>
            </w:r>
          </w:p>
          <w:p w14:paraId="6D5C7F3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(n=216)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1088887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Non-atopic</w:t>
            </w:r>
          </w:p>
          <w:p w14:paraId="60E90FD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(n=168)</w:t>
            </w:r>
          </w:p>
        </w:tc>
      </w:tr>
      <w:tr w:rsidR="00915A27" w:rsidRPr="00462042" w14:paraId="24EE12D4" w14:textId="77777777" w:rsidTr="00296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23901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History of prior exacerbations, n (%)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41E02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0737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A3A0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1E9C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3389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EA78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2EBED3D4" w14:textId="77777777" w:rsidTr="00296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5239C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or 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3F44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66 (82.5)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F5B7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 (74.0)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531A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59 (76.6)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FE2A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37 (74.0)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7504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175 (81.0)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06AD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135 (80.4)</w:t>
            </w:r>
          </w:p>
        </w:tc>
      </w:tr>
      <w:tr w:rsidR="00915A27" w:rsidRPr="00462042" w14:paraId="7F1F1AE8" w14:textId="77777777" w:rsidTr="00296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14840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≥3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CCDB01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 (17.5)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9515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 (26.0)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E1B75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 (23.4)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45F4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 (26.0)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08D1C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41 (19.0)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63CF9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 (19.6)</w:t>
            </w:r>
          </w:p>
        </w:tc>
      </w:tr>
    </w:tbl>
    <w:p w14:paraId="675834AF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Note: </w:t>
      </w:r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*Atopic status was defined by a positive FEIA test for IgE-mediated asthma. In addition to those patients with a positive or negative FEIA test result, a number of patients had no atopic status recorded (placebo, n=8; tezepelumab 210 mg Q4W, n=10; pooled tezepelumab, n=28).</w:t>
      </w:r>
    </w:p>
    <w:p w14:paraId="3DEA07E6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Abbreviations: </w:t>
      </w:r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FEIA, </w:t>
      </w:r>
      <w:proofErr w:type="spellStart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fluoro</w:t>
      </w:r>
      <w:proofErr w:type="spellEnd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-enzyme immunoassay; </w:t>
      </w:r>
      <w:proofErr w:type="spellStart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IgE</w:t>
      </w:r>
      <w:proofErr w:type="spellEnd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immunoglobulin E; Q4W, every 4 weeks.</w:t>
      </w:r>
      <w:r w:rsidRPr="00462042">
        <w:rPr>
          <w:rFonts w:ascii="Times New Roman" w:eastAsia="Times New Roman" w:hAnsi="Times New Roman" w:cs="Times New Roman"/>
          <w:color w:val="000000"/>
          <w:lang w:val="en-US"/>
        </w:rPr>
        <w:br w:type="page"/>
      </w:r>
    </w:p>
    <w:p w14:paraId="563DD2BA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  <w:sectPr w:rsidR="00915A27" w:rsidRPr="00462042" w:rsidSect="008213EB">
          <w:pgSz w:w="11906" w:h="16838" w:code="9"/>
          <w:pgMar w:top="1440" w:right="1440" w:bottom="1276" w:left="1440" w:header="708" w:footer="708" w:gutter="0"/>
          <w:cols w:space="708"/>
          <w:docGrid w:linePitch="360"/>
        </w:sectPr>
      </w:pPr>
    </w:p>
    <w:p w14:paraId="1CCA110C" w14:textId="6960236F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lastRenderedPageBreak/>
        <w:t>Table S</w:t>
      </w:r>
      <w:r w:rsidR="00E5703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4</w:t>
      </w:r>
      <w:r w:rsidRPr="0046204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r w:rsidRPr="00462042">
        <w:rPr>
          <w:rFonts w:ascii="Times New Roman" w:eastAsia="Times New Roman" w:hAnsi="Times New Roman" w:cs="Times New Roman"/>
          <w:color w:val="000000"/>
          <w:lang w:val="en-US"/>
        </w:rPr>
        <w:t>Comparison of AAER in the Tezepelumab and Placebo Groups During each Season</w:t>
      </w:r>
    </w:p>
    <w:tbl>
      <w:tblPr>
        <w:tblStyle w:val="PlainTable2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701"/>
        <w:gridCol w:w="1701"/>
        <w:gridCol w:w="2197"/>
        <w:gridCol w:w="2197"/>
        <w:gridCol w:w="1619"/>
        <w:gridCol w:w="1620"/>
      </w:tblGrid>
      <w:tr w:rsidR="00915A27" w:rsidRPr="00462042" w14:paraId="51F3CA2F" w14:textId="77777777" w:rsidTr="00296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</w:tcPr>
          <w:p w14:paraId="0EFCCD48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Season</w:t>
            </w:r>
          </w:p>
        </w:tc>
        <w:tc>
          <w:tcPr>
            <w:tcW w:w="5103" w:type="dxa"/>
            <w:gridSpan w:val="3"/>
            <w:hideMark/>
          </w:tcPr>
          <w:p w14:paraId="135C076B" w14:textId="77777777" w:rsidR="00915A27" w:rsidRPr="00462042" w:rsidRDefault="00915A27" w:rsidP="002961A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Rate of exacerbations (95% CI)</w:t>
            </w:r>
          </w:p>
        </w:tc>
        <w:tc>
          <w:tcPr>
            <w:tcW w:w="4394" w:type="dxa"/>
            <w:gridSpan w:val="2"/>
            <w:hideMark/>
          </w:tcPr>
          <w:p w14:paraId="4C95598E" w14:textId="77777777" w:rsidR="00915A27" w:rsidRPr="00462042" w:rsidRDefault="00915A27" w:rsidP="002961A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Rate ratio (95% CI) vs placebo</w:t>
            </w:r>
          </w:p>
        </w:tc>
        <w:tc>
          <w:tcPr>
            <w:tcW w:w="3239" w:type="dxa"/>
            <w:gridSpan w:val="2"/>
          </w:tcPr>
          <w:p w14:paraId="18997395" w14:textId="77777777" w:rsidR="00915A27" w:rsidRPr="00462042" w:rsidRDefault="00915A27" w:rsidP="002961A0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Nominal P-value vs placebo</w:t>
            </w:r>
          </w:p>
        </w:tc>
      </w:tr>
      <w:tr w:rsidR="00915A27" w:rsidRPr="00462042" w14:paraId="52076634" w14:textId="77777777" w:rsidTr="0029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hideMark/>
          </w:tcPr>
          <w:p w14:paraId="10A0499D" w14:textId="77777777" w:rsidR="00915A27" w:rsidRPr="00462042" w:rsidRDefault="00915A27" w:rsidP="002961A0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hideMark/>
          </w:tcPr>
          <w:p w14:paraId="7034CC05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Placebo</w:t>
            </w:r>
          </w:p>
        </w:tc>
        <w:tc>
          <w:tcPr>
            <w:tcW w:w="1701" w:type="dxa"/>
            <w:hideMark/>
          </w:tcPr>
          <w:p w14:paraId="3483E0AA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Tezepelumab 210 mg Q4W</w:t>
            </w:r>
          </w:p>
        </w:tc>
        <w:tc>
          <w:tcPr>
            <w:tcW w:w="1701" w:type="dxa"/>
            <w:hideMark/>
          </w:tcPr>
          <w:p w14:paraId="424EB58C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Pooled tezepelumab</w:t>
            </w:r>
          </w:p>
        </w:tc>
        <w:tc>
          <w:tcPr>
            <w:tcW w:w="2197" w:type="dxa"/>
            <w:hideMark/>
          </w:tcPr>
          <w:p w14:paraId="609782E4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Tezepelumab </w:t>
            </w:r>
          </w:p>
          <w:p w14:paraId="2F854629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210 mg Q4W</w:t>
            </w:r>
          </w:p>
        </w:tc>
        <w:tc>
          <w:tcPr>
            <w:tcW w:w="2197" w:type="dxa"/>
            <w:hideMark/>
          </w:tcPr>
          <w:p w14:paraId="26E16ADD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Pooled tezepelumab</w:t>
            </w:r>
          </w:p>
        </w:tc>
        <w:tc>
          <w:tcPr>
            <w:tcW w:w="1619" w:type="dxa"/>
          </w:tcPr>
          <w:p w14:paraId="30CD5D34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Tezepelumab 210 mg Q4W</w:t>
            </w:r>
          </w:p>
        </w:tc>
        <w:tc>
          <w:tcPr>
            <w:tcW w:w="1620" w:type="dxa"/>
          </w:tcPr>
          <w:p w14:paraId="517D6137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Pooled tezepelumab</w:t>
            </w:r>
          </w:p>
        </w:tc>
      </w:tr>
      <w:tr w:rsidR="00915A27" w:rsidRPr="00462042" w14:paraId="6C58C43E" w14:textId="77777777" w:rsidTr="002961A0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7F7F7F"/>
              <w:bottom w:val="nil"/>
              <w:right w:val="nil"/>
            </w:tcBorders>
            <w:hideMark/>
          </w:tcPr>
          <w:p w14:paraId="00E8AFF6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Winter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9B32663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0.87</w:t>
            </w:r>
          </w:p>
          <w:p w14:paraId="68D4A2BE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(0.58, 1.24)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074454A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0.32</w:t>
            </w:r>
          </w:p>
          <w:p w14:paraId="479301CC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(0.15, 0.58)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DB8C7BF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</w:t>
            </w:r>
          </w:p>
          <w:p w14:paraId="64D3E604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(0.23, 0.47)</w:t>
            </w:r>
          </w:p>
        </w:tc>
        <w:tc>
          <w:tcPr>
            <w:tcW w:w="2197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02C1C91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0.36 (0.17, 0.78)</w:t>
            </w:r>
          </w:p>
        </w:tc>
        <w:tc>
          <w:tcPr>
            <w:tcW w:w="2197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750BCD8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 (0.22, 0.63)</w:t>
            </w:r>
          </w:p>
        </w:tc>
        <w:tc>
          <w:tcPr>
            <w:tcW w:w="1619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F697FF6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620" w:type="dxa"/>
            <w:tcBorders>
              <w:top w:val="single" w:sz="4" w:space="0" w:color="7F7F7F"/>
              <w:left w:val="nil"/>
              <w:bottom w:val="nil"/>
            </w:tcBorders>
          </w:tcPr>
          <w:p w14:paraId="6D5EE3DF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915A27" w:rsidRPr="00462042" w14:paraId="5C09A25F" w14:textId="77777777" w:rsidTr="0029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il"/>
              <w:bottom w:val="nil"/>
              <w:right w:val="nil"/>
            </w:tcBorders>
            <w:hideMark/>
          </w:tcPr>
          <w:p w14:paraId="246D5D76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A730BE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0.62</w:t>
            </w:r>
          </w:p>
          <w:p w14:paraId="33059755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(0.39, 0.95)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8B5518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0.13</w:t>
            </w:r>
          </w:p>
          <w:p w14:paraId="144C62EC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(0.03, 0.33)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7BAC1C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0.19</w:t>
            </w:r>
          </w:p>
          <w:p w14:paraId="108686BE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(0.11, 0.30)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13EBCEF7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 (0.07, 0.59)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586F8616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0.30 (0.15, 0.58)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4977E836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81440E0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915A27" w:rsidRPr="00462042" w14:paraId="2B842956" w14:textId="77777777" w:rsidTr="002961A0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il"/>
              <w:bottom w:val="nil"/>
              <w:right w:val="nil"/>
            </w:tcBorders>
            <w:hideMark/>
          </w:tcPr>
          <w:p w14:paraId="78A6FDE9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Summer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67C6F6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0.67</w:t>
            </w:r>
          </w:p>
          <w:p w14:paraId="5D4893D2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(0.47, 1.08)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5BD1EE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0.12</w:t>
            </w:r>
          </w:p>
          <w:p w14:paraId="11916DDB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(0.03, 0.32)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302E99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</w:t>
            </w:r>
          </w:p>
          <w:p w14:paraId="3A78545C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(0.09, 0.26)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354930C7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0.18 (0.06, 0.52)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53E11696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0.23 (0.12, 0.44)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7D2C5F97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A5C21A9" w14:textId="77777777" w:rsidR="00915A27" w:rsidRPr="00462042" w:rsidRDefault="00915A27" w:rsidP="002961A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915A27" w:rsidRPr="00462042" w14:paraId="6D55669D" w14:textId="77777777" w:rsidTr="0029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il"/>
              <w:right w:val="nil"/>
            </w:tcBorders>
            <w:hideMark/>
          </w:tcPr>
          <w:p w14:paraId="08329306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Fall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73F0B4C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0.73</w:t>
            </w:r>
          </w:p>
          <w:p w14:paraId="68A12C56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(0.47, 1.08)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A2ED542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0.25</w:t>
            </w:r>
          </w:p>
          <w:p w14:paraId="41B7FBAD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(0.11, 0.49)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A3EE640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</w:t>
            </w:r>
          </w:p>
          <w:p w14:paraId="6A140D40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(0.18, 0.40)</w:t>
            </w:r>
          </w:p>
        </w:tc>
        <w:tc>
          <w:tcPr>
            <w:tcW w:w="2197" w:type="dxa"/>
            <w:tcBorders>
              <w:top w:val="nil"/>
              <w:left w:val="nil"/>
              <w:right w:val="nil"/>
            </w:tcBorders>
          </w:tcPr>
          <w:p w14:paraId="1E4D2E96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 (0.14, 0.79)</w:t>
            </w:r>
          </w:p>
        </w:tc>
        <w:tc>
          <w:tcPr>
            <w:tcW w:w="2197" w:type="dxa"/>
            <w:tcBorders>
              <w:top w:val="nil"/>
              <w:left w:val="nil"/>
              <w:right w:val="nil"/>
            </w:tcBorders>
          </w:tcPr>
          <w:p w14:paraId="1200FE45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0.37 (0.21, 0.66)</w:t>
            </w:r>
          </w:p>
        </w:tc>
        <w:tc>
          <w:tcPr>
            <w:tcW w:w="1619" w:type="dxa"/>
            <w:tcBorders>
              <w:top w:val="nil"/>
              <w:left w:val="nil"/>
              <w:right w:val="nil"/>
            </w:tcBorders>
          </w:tcPr>
          <w:p w14:paraId="4B27655F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1620" w:type="dxa"/>
            <w:tcBorders>
              <w:top w:val="nil"/>
              <w:left w:val="nil"/>
            </w:tcBorders>
          </w:tcPr>
          <w:p w14:paraId="4168D237" w14:textId="77777777" w:rsidR="00915A27" w:rsidRPr="00462042" w:rsidRDefault="00915A27" w:rsidP="002961A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</w:tbl>
    <w:p w14:paraId="004E7EB0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Abbreviations: </w:t>
      </w:r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AAER, annualized asthma exacerbation rate; CI, confidence interval. </w:t>
      </w:r>
    </w:p>
    <w:p w14:paraId="5E5EDDE8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7874016B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  <w:sectPr w:rsidR="00915A27" w:rsidRPr="00462042" w:rsidSect="00543819">
          <w:pgSz w:w="16838" w:h="11906" w:orient="landscape" w:code="9"/>
          <w:pgMar w:top="1440" w:right="1440" w:bottom="1440" w:left="1276" w:header="708" w:footer="708" w:gutter="0"/>
          <w:cols w:space="708"/>
          <w:docGrid w:linePitch="360"/>
        </w:sectPr>
      </w:pPr>
    </w:p>
    <w:p w14:paraId="156762EE" w14:textId="283C5961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lastRenderedPageBreak/>
        <w:t>Table S</w:t>
      </w:r>
      <w:r w:rsidR="00E5703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5</w:t>
      </w:r>
      <w:r w:rsidRPr="00462042">
        <w:rPr>
          <w:rFonts w:ascii="Times New Roman" w:eastAsia="Times New Roman" w:hAnsi="Times New Roman" w:cs="Times New Roman"/>
          <w:color w:val="000000"/>
          <w:lang w:val="en-US"/>
        </w:rPr>
        <w:t xml:space="preserve"> Number of Patients with Asthma Exacerbations and Total Days of Exacerbations by Season, According to Baseline Blood Eosinophil Count (cells/µL)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147"/>
        <w:gridCol w:w="1147"/>
        <w:gridCol w:w="1147"/>
        <w:gridCol w:w="1147"/>
        <w:gridCol w:w="1147"/>
        <w:gridCol w:w="1147"/>
      </w:tblGrid>
      <w:tr w:rsidR="00915A27" w:rsidRPr="00462042" w14:paraId="08BEEC44" w14:textId="77777777" w:rsidTr="002961A0">
        <w:trPr>
          <w:trHeight w:val="340"/>
          <w:tblHeader/>
        </w:trPr>
        <w:tc>
          <w:tcPr>
            <w:tcW w:w="2144" w:type="dxa"/>
            <w:tcBorders>
              <w:top w:val="single" w:sz="4" w:space="0" w:color="auto"/>
            </w:tcBorders>
            <w:vAlign w:val="center"/>
          </w:tcPr>
          <w:p w14:paraId="3A4AFE1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vAlign w:val="center"/>
          </w:tcPr>
          <w:p w14:paraId="6A02394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Placebo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vAlign w:val="center"/>
          </w:tcPr>
          <w:p w14:paraId="725B535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Tezepelumab</w:t>
            </w:r>
          </w:p>
          <w:p w14:paraId="349943E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210 mg Q4W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vAlign w:val="center"/>
          </w:tcPr>
          <w:p w14:paraId="76CF460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Pooled tezepelumab</w:t>
            </w:r>
          </w:p>
        </w:tc>
      </w:tr>
      <w:tr w:rsidR="00915A27" w:rsidRPr="00462042" w14:paraId="2F05E7DD" w14:textId="77777777" w:rsidTr="002961A0">
        <w:trPr>
          <w:trHeight w:val="340"/>
          <w:tblHeader/>
        </w:trPr>
        <w:tc>
          <w:tcPr>
            <w:tcW w:w="2144" w:type="dxa"/>
            <w:tcBorders>
              <w:bottom w:val="single" w:sz="4" w:space="0" w:color="auto"/>
            </w:tcBorders>
          </w:tcPr>
          <w:p w14:paraId="1F7A9F48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bottom w:val="single" w:sz="4" w:space="0" w:color="000000"/>
            </w:tcBorders>
            <w:vAlign w:val="center"/>
          </w:tcPr>
          <w:p w14:paraId="3E3D57E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&lt;300</w:t>
            </w:r>
          </w:p>
          <w:p w14:paraId="5263504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(n=73)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  <w:vAlign w:val="center"/>
          </w:tcPr>
          <w:p w14:paraId="470C8A1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≥300</w:t>
            </w:r>
          </w:p>
          <w:p w14:paraId="47197DD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  <w:vAlign w:val="center"/>
          </w:tcPr>
          <w:p w14:paraId="37FCE4B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&lt;300</w:t>
            </w:r>
          </w:p>
          <w:p w14:paraId="7BDF0AE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(n=70)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  <w:vAlign w:val="center"/>
          </w:tcPr>
          <w:p w14:paraId="36B1681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≥300</w:t>
            </w:r>
          </w:p>
          <w:p w14:paraId="4EF38BC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(n=67)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  <w:vAlign w:val="center"/>
          </w:tcPr>
          <w:p w14:paraId="7046456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&lt;300</w:t>
            </w:r>
          </w:p>
          <w:p w14:paraId="52E27BA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(n=214)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  <w:vAlign w:val="center"/>
          </w:tcPr>
          <w:p w14:paraId="55ADB44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≥300</w:t>
            </w:r>
          </w:p>
          <w:p w14:paraId="03E97A4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(n=198)</w:t>
            </w:r>
          </w:p>
        </w:tc>
      </w:tr>
      <w:tr w:rsidR="00915A27" w:rsidRPr="00462042" w14:paraId="4D0D8D63" w14:textId="77777777" w:rsidTr="002961A0">
        <w:trPr>
          <w:trHeight w:val="340"/>
        </w:trPr>
        <w:tc>
          <w:tcPr>
            <w:tcW w:w="2144" w:type="dxa"/>
            <w:tcBorders>
              <w:top w:val="single" w:sz="4" w:space="0" w:color="auto"/>
            </w:tcBorders>
            <w:shd w:val="clear" w:color="auto" w:fill="auto"/>
          </w:tcPr>
          <w:p w14:paraId="109CE7D9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Number of patients with at least one exacerbation during season, n (%)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6E772C2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6CE5901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3DD6680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65609C2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4653109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</w:tcPr>
          <w:p w14:paraId="7BB0E9F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0D04FE1E" w14:textId="77777777" w:rsidTr="002961A0">
        <w:trPr>
          <w:trHeight w:val="624"/>
        </w:trPr>
        <w:tc>
          <w:tcPr>
            <w:tcW w:w="2144" w:type="dxa"/>
            <w:shd w:val="clear" w:color="auto" w:fill="auto"/>
          </w:tcPr>
          <w:p w14:paraId="1BF6002F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Winter</w:t>
            </w:r>
          </w:p>
        </w:tc>
        <w:tc>
          <w:tcPr>
            <w:tcW w:w="1147" w:type="dxa"/>
            <w:shd w:val="clear" w:color="auto" w:fill="auto"/>
          </w:tcPr>
          <w:p w14:paraId="4771D02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 (14.1)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(n=71)</w:t>
            </w:r>
          </w:p>
        </w:tc>
        <w:tc>
          <w:tcPr>
            <w:tcW w:w="1147" w:type="dxa"/>
            <w:shd w:val="clear" w:color="auto" w:fill="auto"/>
          </w:tcPr>
          <w:p w14:paraId="744B7A8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 (20.0)</w:t>
            </w:r>
          </w:p>
          <w:p w14:paraId="0EA776E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shd w:val="clear" w:color="auto" w:fill="auto"/>
          </w:tcPr>
          <w:p w14:paraId="4988BC0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 (7.7)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(n=65)</w:t>
            </w:r>
          </w:p>
        </w:tc>
        <w:tc>
          <w:tcPr>
            <w:tcW w:w="1147" w:type="dxa"/>
            <w:shd w:val="clear" w:color="auto" w:fill="auto"/>
          </w:tcPr>
          <w:p w14:paraId="1DA14E8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 (6.2)</w:t>
            </w:r>
          </w:p>
          <w:p w14:paraId="504E548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shd w:val="clear" w:color="auto" w:fill="auto"/>
          </w:tcPr>
          <w:p w14:paraId="680E984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 (9.0)</w:t>
            </w:r>
          </w:p>
          <w:p w14:paraId="12F60EE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(n=200)</w:t>
            </w:r>
          </w:p>
        </w:tc>
        <w:tc>
          <w:tcPr>
            <w:tcW w:w="1147" w:type="dxa"/>
            <w:shd w:val="clear" w:color="auto" w:fill="auto"/>
          </w:tcPr>
          <w:p w14:paraId="04A6859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 (6.7)</w:t>
            </w:r>
          </w:p>
          <w:p w14:paraId="035FCB4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(n=194)</w:t>
            </w:r>
          </w:p>
        </w:tc>
      </w:tr>
      <w:tr w:rsidR="00915A27" w:rsidRPr="00462042" w14:paraId="4EDE430C" w14:textId="77777777" w:rsidTr="00296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56A4A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B64D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 (9.7)</w:t>
            </w:r>
          </w:p>
          <w:p w14:paraId="43F92CC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(n=72)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8AF5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 (16.9)</w:t>
            </w:r>
          </w:p>
          <w:p w14:paraId="1EAC0BB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9C37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(n=63)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CAC9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 (6.1)</w:t>
            </w:r>
          </w:p>
          <w:p w14:paraId="05D5AFB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(n=66)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3B6C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 (4.0)</w:t>
            </w:r>
          </w:p>
          <w:p w14:paraId="7C48F22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(n=200)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F6D3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 (4.1)</w:t>
            </w:r>
          </w:p>
          <w:p w14:paraId="548D616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(n=195)</w:t>
            </w:r>
          </w:p>
        </w:tc>
      </w:tr>
      <w:tr w:rsidR="00915A27" w:rsidRPr="00462042" w14:paraId="110B8095" w14:textId="77777777" w:rsidTr="00296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EF7A7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Summer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FA8C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 (14.1)</w:t>
            </w:r>
          </w:p>
          <w:p w14:paraId="6B6A650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(n=71)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1D69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 (16.9)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(n=65)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2492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 (3.0)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(n=66)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E39F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 (3.1)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(n=65)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25A7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 (4.3)</w:t>
            </w:r>
          </w:p>
          <w:p w14:paraId="0B94BD9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(n=207)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99B6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 (3.6)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(n=196)</w:t>
            </w:r>
          </w:p>
        </w:tc>
      </w:tr>
      <w:tr w:rsidR="00915A27" w:rsidRPr="00462042" w14:paraId="7EDDDF20" w14:textId="77777777" w:rsidTr="002961A0">
        <w:trPr>
          <w:trHeight w:val="624"/>
        </w:trPr>
        <w:tc>
          <w:tcPr>
            <w:tcW w:w="2144" w:type="dxa"/>
            <w:shd w:val="clear" w:color="auto" w:fill="auto"/>
          </w:tcPr>
          <w:p w14:paraId="01509685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Fall</w:t>
            </w:r>
          </w:p>
        </w:tc>
        <w:tc>
          <w:tcPr>
            <w:tcW w:w="1147" w:type="dxa"/>
            <w:shd w:val="clear" w:color="auto" w:fill="auto"/>
          </w:tcPr>
          <w:p w14:paraId="0BAB1D4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 (11.0)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(n=73)</w:t>
            </w:r>
          </w:p>
        </w:tc>
        <w:tc>
          <w:tcPr>
            <w:tcW w:w="1147" w:type="dxa"/>
            <w:shd w:val="clear" w:color="auto" w:fill="auto"/>
          </w:tcPr>
          <w:p w14:paraId="3E8DC4D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 (18.5)</w:t>
            </w:r>
          </w:p>
          <w:p w14:paraId="5FC45D7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shd w:val="clear" w:color="auto" w:fill="auto"/>
          </w:tcPr>
          <w:p w14:paraId="0B4307D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 (5.9)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(n=68)</w:t>
            </w:r>
          </w:p>
        </w:tc>
        <w:tc>
          <w:tcPr>
            <w:tcW w:w="1147" w:type="dxa"/>
            <w:shd w:val="clear" w:color="auto" w:fill="auto"/>
          </w:tcPr>
          <w:p w14:paraId="2591440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 (4.6)</w:t>
            </w:r>
          </w:p>
          <w:p w14:paraId="50EBE13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(n=64)</w:t>
            </w:r>
          </w:p>
        </w:tc>
        <w:tc>
          <w:tcPr>
            <w:tcW w:w="1147" w:type="dxa"/>
            <w:shd w:val="clear" w:color="auto" w:fill="auto"/>
          </w:tcPr>
          <w:p w14:paraId="042AD91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 (6.7)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(n=208)</w:t>
            </w:r>
          </w:p>
        </w:tc>
        <w:tc>
          <w:tcPr>
            <w:tcW w:w="1147" w:type="dxa"/>
            <w:shd w:val="clear" w:color="auto" w:fill="auto"/>
          </w:tcPr>
          <w:p w14:paraId="7AD6007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 (6.1)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(n=196)</w:t>
            </w:r>
          </w:p>
        </w:tc>
      </w:tr>
      <w:tr w:rsidR="00915A27" w:rsidRPr="00462042" w14:paraId="6C852369" w14:textId="77777777" w:rsidTr="002961A0">
        <w:trPr>
          <w:trHeight w:val="340"/>
        </w:trPr>
        <w:tc>
          <w:tcPr>
            <w:tcW w:w="2144" w:type="dxa"/>
          </w:tcPr>
          <w:p w14:paraId="20C5CA7C" w14:textId="77777777" w:rsidR="00915A27" w:rsidRPr="00462042" w:rsidRDefault="00915A27" w:rsidP="002961A0">
            <w:pPr>
              <w:adjustRightInd w:val="0"/>
              <w:spacing w:before="10" w:after="10"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Number of patients with 0, 1 or ≥2 exacerbations during season, n (%)</w:t>
            </w:r>
          </w:p>
        </w:tc>
        <w:tc>
          <w:tcPr>
            <w:tcW w:w="1147" w:type="dxa"/>
            <w:shd w:val="clear" w:color="auto" w:fill="auto"/>
          </w:tcPr>
          <w:p w14:paraId="5EF5B44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1311578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1B5823E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1F64FA9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7FEDCE1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610734E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7D0DA1C5" w14:textId="77777777" w:rsidTr="002961A0">
        <w:trPr>
          <w:trHeight w:val="340"/>
        </w:trPr>
        <w:tc>
          <w:tcPr>
            <w:tcW w:w="2144" w:type="dxa"/>
          </w:tcPr>
          <w:p w14:paraId="4AAC5467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Winter</w:t>
            </w:r>
          </w:p>
        </w:tc>
        <w:tc>
          <w:tcPr>
            <w:tcW w:w="1147" w:type="dxa"/>
            <w:shd w:val="clear" w:color="auto" w:fill="auto"/>
          </w:tcPr>
          <w:p w14:paraId="502EC49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2D37BDA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4E73746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3E44765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637DD8C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6DF221F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12026C92" w14:textId="77777777" w:rsidTr="002961A0">
        <w:trPr>
          <w:trHeight w:val="340"/>
        </w:trPr>
        <w:tc>
          <w:tcPr>
            <w:tcW w:w="2144" w:type="dxa"/>
          </w:tcPr>
          <w:p w14:paraId="0F0406D1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147" w:type="dxa"/>
            <w:shd w:val="clear" w:color="auto" w:fill="auto"/>
          </w:tcPr>
          <w:p w14:paraId="28864A5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147" w:type="dxa"/>
            <w:shd w:val="clear" w:color="auto" w:fill="auto"/>
          </w:tcPr>
          <w:p w14:paraId="42DE608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147" w:type="dxa"/>
            <w:shd w:val="clear" w:color="auto" w:fill="auto"/>
          </w:tcPr>
          <w:p w14:paraId="6829864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147" w:type="dxa"/>
            <w:shd w:val="clear" w:color="auto" w:fill="auto"/>
          </w:tcPr>
          <w:p w14:paraId="1C1192A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147" w:type="dxa"/>
            <w:shd w:val="clear" w:color="auto" w:fill="auto"/>
          </w:tcPr>
          <w:p w14:paraId="693425B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109728B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194</w:t>
            </w:r>
          </w:p>
        </w:tc>
      </w:tr>
      <w:tr w:rsidR="00915A27" w:rsidRPr="00462042" w14:paraId="610ED14A" w14:textId="77777777" w:rsidTr="002961A0">
        <w:trPr>
          <w:trHeight w:val="340"/>
        </w:trPr>
        <w:tc>
          <w:tcPr>
            <w:tcW w:w="2144" w:type="dxa"/>
          </w:tcPr>
          <w:p w14:paraId="020BE054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14:paraId="1CA9AE5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 (85.9)</w:t>
            </w:r>
          </w:p>
        </w:tc>
        <w:tc>
          <w:tcPr>
            <w:tcW w:w="1147" w:type="dxa"/>
            <w:shd w:val="clear" w:color="auto" w:fill="auto"/>
          </w:tcPr>
          <w:p w14:paraId="3491FF7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52 (80.0)</w:t>
            </w:r>
          </w:p>
        </w:tc>
        <w:tc>
          <w:tcPr>
            <w:tcW w:w="1147" w:type="dxa"/>
            <w:shd w:val="clear" w:color="auto" w:fill="auto"/>
          </w:tcPr>
          <w:p w14:paraId="60019FF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 (92.3)</w:t>
            </w:r>
          </w:p>
        </w:tc>
        <w:tc>
          <w:tcPr>
            <w:tcW w:w="1147" w:type="dxa"/>
            <w:shd w:val="clear" w:color="auto" w:fill="auto"/>
          </w:tcPr>
          <w:p w14:paraId="3962A19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 (93.8)</w:t>
            </w:r>
          </w:p>
        </w:tc>
        <w:tc>
          <w:tcPr>
            <w:tcW w:w="1147" w:type="dxa"/>
            <w:shd w:val="clear" w:color="auto" w:fill="auto"/>
          </w:tcPr>
          <w:p w14:paraId="17DF10E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182 (91.0)</w:t>
            </w:r>
          </w:p>
        </w:tc>
        <w:tc>
          <w:tcPr>
            <w:tcW w:w="1147" w:type="dxa"/>
            <w:shd w:val="clear" w:color="auto" w:fill="auto"/>
          </w:tcPr>
          <w:p w14:paraId="639833F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181 (93.3)</w:t>
            </w:r>
          </w:p>
        </w:tc>
      </w:tr>
      <w:tr w:rsidR="00915A27" w:rsidRPr="00462042" w14:paraId="583FB0E5" w14:textId="77777777" w:rsidTr="002961A0">
        <w:trPr>
          <w:trHeight w:val="340"/>
        </w:trPr>
        <w:tc>
          <w:tcPr>
            <w:tcW w:w="2144" w:type="dxa"/>
          </w:tcPr>
          <w:p w14:paraId="107FEB10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14:paraId="16697CD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 (11.3)</w:t>
            </w:r>
          </w:p>
        </w:tc>
        <w:tc>
          <w:tcPr>
            <w:tcW w:w="1147" w:type="dxa"/>
            <w:shd w:val="clear" w:color="auto" w:fill="auto"/>
          </w:tcPr>
          <w:p w14:paraId="67E7D8A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 (15.4)</w:t>
            </w:r>
          </w:p>
        </w:tc>
        <w:tc>
          <w:tcPr>
            <w:tcW w:w="1147" w:type="dxa"/>
            <w:shd w:val="clear" w:color="auto" w:fill="auto"/>
          </w:tcPr>
          <w:p w14:paraId="446FDC4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 (7.7)</w:t>
            </w:r>
          </w:p>
        </w:tc>
        <w:tc>
          <w:tcPr>
            <w:tcW w:w="1147" w:type="dxa"/>
            <w:shd w:val="clear" w:color="auto" w:fill="auto"/>
          </w:tcPr>
          <w:p w14:paraId="1263816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 (4.6)</w:t>
            </w:r>
          </w:p>
        </w:tc>
        <w:tc>
          <w:tcPr>
            <w:tcW w:w="1147" w:type="dxa"/>
            <w:shd w:val="clear" w:color="auto" w:fill="auto"/>
          </w:tcPr>
          <w:p w14:paraId="0E689AA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 (9.0)</w:t>
            </w:r>
          </w:p>
        </w:tc>
        <w:tc>
          <w:tcPr>
            <w:tcW w:w="1147" w:type="dxa"/>
            <w:shd w:val="clear" w:color="auto" w:fill="auto"/>
          </w:tcPr>
          <w:p w14:paraId="5E009AC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 (6.2)</w:t>
            </w:r>
          </w:p>
        </w:tc>
      </w:tr>
      <w:tr w:rsidR="00915A27" w:rsidRPr="00462042" w14:paraId="555A9485" w14:textId="77777777" w:rsidTr="002961A0">
        <w:trPr>
          <w:trHeight w:val="340"/>
        </w:trPr>
        <w:tc>
          <w:tcPr>
            <w:tcW w:w="2144" w:type="dxa"/>
          </w:tcPr>
          <w:p w14:paraId="1E7215CA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≥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47" w:type="dxa"/>
          </w:tcPr>
          <w:p w14:paraId="19BA9CA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 (2.8)</w:t>
            </w:r>
          </w:p>
        </w:tc>
        <w:tc>
          <w:tcPr>
            <w:tcW w:w="1147" w:type="dxa"/>
          </w:tcPr>
          <w:p w14:paraId="2717B9C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 (4.6)</w:t>
            </w:r>
          </w:p>
        </w:tc>
        <w:tc>
          <w:tcPr>
            <w:tcW w:w="1147" w:type="dxa"/>
          </w:tcPr>
          <w:p w14:paraId="5440149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</w:tcPr>
          <w:p w14:paraId="3961B46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(1.5)</w:t>
            </w:r>
          </w:p>
        </w:tc>
        <w:tc>
          <w:tcPr>
            <w:tcW w:w="1147" w:type="dxa"/>
          </w:tcPr>
          <w:p w14:paraId="74528FF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</w:tcPr>
          <w:p w14:paraId="1E69A13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(0.5)</w:t>
            </w:r>
          </w:p>
        </w:tc>
      </w:tr>
      <w:tr w:rsidR="00915A27" w:rsidRPr="00462042" w14:paraId="5321F54D" w14:textId="77777777" w:rsidTr="002961A0">
        <w:trPr>
          <w:trHeight w:val="340"/>
        </w:trPr>
        <w:tc>
          <w:tcPr>
            <w:tcW w:w="2144" w:type="dxa"/>
          </w:tcPr>
          <w:p w14:paraId="0F008E7B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1147" w:type="dxa"/>
          </w:tcPr>
          <w:p w14:paraId="2366C83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391AF2E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59E4EEA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3EA4E7C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575D302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2D0C7CF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4ED68453" w14:textId="77777777" w:rsidTr="002961A0">
        <w:trPr>
          <w:trHeight w:val="340"/>
        </w:trPr>
        <w:tc>
          <w:tcPr>
            <w:tcW w:w="2144" w:type="dxa"/>
            <w:shd w:val="clear" w:color="auto" w:fill="auto"/>
          </w:tcPr>
          <w:p w14:paraId="58CC7D50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147" w:type="dxa"/>
            <w:shd w:val="clear" w:color="auto" w:fill="auto"/>
          </w:tcPr>
          <w:p w14:paraId="37F046F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147" w:type="dxa"/>
            <w:shd w:val="clear" w:color="auto" w:fill="auto"/>
          </w:tcPr>
          <w:p w14:paraId="17DE867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147" w:type="dxa"/>
            <w:shd w:val="clear" w:color="auto" w:fill="auto"/>
          </w:tcPr>
          <w:p w14:paraId="4ED825F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147" w:type="dxa"/>
            <w:shd w:val="clear" w:color="auto" w:fill="auto"/>
          </w:tcPr>
          <w:p w14:paraId="5535662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147" w:type="dxa"/>
            <w:shd w:val="clear" w:color="auto" w:fill="auto"/>
          </w:tcPr>
          <w:p w14:paraId="7C9D7FF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14:paraId="4143531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195</w:t>
            </w:r>
          </w:p>
        </w:tc>
      </w:tr>
      <w:tr w:rsidR="00915A27" w:rsidRPr="00462042" w14:paraId="02439344" w14:textId="77777777" w:rsidTr="002961A0">
        <w:trPr>
          <w:trHeight w:val="340"/>
        </w:trPr>
        <w:tc>
          <w:tcPr>
            <w:tcW w:w="2144" w:type="dxa"/>
            <w:shd w:val="clear" w:color="auto" w:fill="auto"/>
          </w:tcPr>
          <w:p w14:paraId="169F3321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14:paraId="74793DB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65 (90.3)</w:t>
            </w:r>
          </w:p>
        </w:tc>
        <w:tc>
          <w:tcPr>
            <w:tcW w:w="1147" w:type="dxa"/>
            <w:shd w:val="clear" w:color="auto" w:fill="auto"/>
          </w:tcPr>
          <w:p w14:paraId="6A40C52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54 (83.1)</w:t>
            </w:r>
          </w:p>
        </w:tc>
        <w:tc>
          <w:tcPr>
            <w:tcW w:w="1147" w:type="dxa"/>
            <w:shd w:val="clear" w:color="auto" w:fill="auto"/>
          </w:tcPr>
          <w:p w14:paraId="51D8742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63 (100.0)</w:t>
            </w:r>
          </w:p>
        </w:tc>
        <w:tc>
          <w:tcPr>
            <w:tcW w:w="1147" w:type="dxa"/>
            <w:shd w:val="clear" w:color="auto" w:fill="auto"/>
          </w:tcPr>
          <w:p w14:paraId="77ED208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62 (93.9)</w:t>
            </w:r>
          </w:p>
        </w:tc>
        <w:tc>
          <w:tcPr>
            <w:tcW w:w="1147" w:type="dxa"/>
            <w:shd w:val="clear" w:color="auto" w:fill="auto"/>
          </w:tcPr>
          <w:p w14:paraId="5F06FBB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192 (96.0)</w:t>
            </w:r>
          </w:p>
        </w:tc>
        <w:tc>
          <w:tcPr>
            <w:tcW w:w="1147" w:type="dxa"/>
            <w:shd w:val="clear" w:color="auto" w:fill="auto"/>
          </w:tcPr>
          <w:p w14:paraId="29F39FB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187 (95.9)</w:t>
            </w:r>
          </w:p>
        </w:tc>
      </w:tr>
      <w:tr w:rsidR="00915A27" w:rsidRPr="00462042" w14:paraId="64ABE1FB" w14:textId="77777777" w:rsidTr="002961A0">
        <w:trPr>
          <w:trHeight w:val="340"/>
        </w:trPr>
        <w:tc>
          <w:tcPr>
            <w:tcW w:w="2144" w:type="dxa"/>
          </w:tcPr>
          <w:p w14:paraId="7575525E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147" w:type="dxa"/>
          </w:tcPr>
          <w:p w14:paraId="30E5E8F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 (8.3)</w:t>
            </w:r>
          </w:p>
        </w:tc>
        <w:tc>
          <w:tcPr>
            <w:tcW w:w="1147" w:type="dxa"/>
          </w:tcPr>
          <w:p w14:paraId="7F27569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9 (13.8)</w:t>
            </w:r>
          </w:p>
        </w:tc>
        <w:tc>
          <w:tcPr>
            <w:tcW w:w="1147" w:type="dxa"/>
          </w:tcPr>
          <w:p w14:paraId="23310F2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</w:tcPr>
          <w:p w14:paraId="2C1E5B0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 (6.1)</w:t>
            </w:r>
          </w:p>
        </w:tc>
        <w:tc>
          <w:tcPr>
            <w:tcW w:w="1147" w:type="dxa"/>
          </w:tcPr>
          <w:p w14:paraId="2395EC1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7 (3.5)</w:t>
            </w:r>
          </w:p>
        </w:tc>
        <w:tc>
          <w:tcPr>
            <w:tcW w:w="1147" w:type="dxa"/>
          </w:tcPr>
          <w:p w14:paraId="498DEC3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7 (3.6)</w:t>
            </w:r>
          </w:p>
        </w:tc>
      </w:tr>
      <w:tr w:rsidR="00915A27" w:rsidRPr="00462042" w14:paraId="35B51D0C" w14:textId="77777777" w:rsidTr="002961A0">
        <w:trPr>
          <w:trHeight w:val="340"/>
        </w:trPr>
        <w:tc>
          <w:tcPr>
            <w:tcW w:w="2144" w:type="dxa"/>
          </w:tcPr>
          <w:p w14:paraId="31093885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≥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47" w:type="dxa"/>
          </w:tcPr>
          <w:p w14:paraId="49CA141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(1.4)</w:t>
            </w:r>
          </w:p>
        </w:tc>
        <w:tc>
          <w:tcPr>
            <w:tcW w:w="1147" w:type="dxa"/>
          </w:tcPr>
          <w:p w14:paraId="6871A50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2 (3.1)</w:t>
            </w:r>
          </w:p>
        </w:tc>
        <w:tc>
          <w:tcPr>
            <w:tcW w:w="1147" w:type="dxa"/>
          </w:tcPr>
          <w:p w14:paraId="6AD4BBE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</w:tcPr>
          <w:p w14:paraId="7E38ABB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</w:tcPr>
          <w:p w14:paraId="5F21350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(0.5)</w:t>
            </w:r>
          </w:p>
        </w:tc>
        <w:tc>
          <w:tcPr>
            <w:tcW w:w="1147" w:type="dxa"/>
          </w:tcPr>
          <w:p w14:paraId="17FBE60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(0.5)</w:t>
            </w:r>
          </w:p>
        </w:tc>
      </w:tr>
      <w:tr w:rsidR="00915A27" w:rsidRPr="00462042" w14:paraId="7C46C7D0" w14:textId="77777777" w:rsidTr="002961A0">
        <w:trPr>
          <w:trHeight w:val="340"/>
        </w:trPr>
        <w:tc>
          <w:tcPr>
            <w:tcW w:w="2144" w:type="dxa"/>
          </w:tcPr>
          <w:p w14:paraId="0028222A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Summer</w:t>
            </w:r>
          </w:p>
        </w:tc>
        <w:tc>
          <w:tcPr>
            <w:tcW w:w="1147" w:type="dxa"/>
          </w:tcPr>
          <w:p w14:paraId="1EB35FB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626B49F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49008AB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34D5E14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0C310C8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50B9A04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2628B7A4" w14:textId="77777777" w:rsidTr="002961A0">
        <w:trPr>
          <w:trHeight w:val="340"/>
        </w:trPr>
        <w:tc>
          <w:tcPr>
            <w:tcW w:w="2144" w:type="dxa"/>
            <w:shd w:val="clear" w:color="auto" w:fill="auto"/>
          </w:tcPr>
          <w:p w14:paraId="426C78B7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147" w:type="dxa"/>
            <w:shd w:val="clear" w:color="auto" w:fill="auto"/>
          </w:tcPr>
          <w:p w14:paraId="565FCB9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147" w:type="dxa"/>
            <w:shd w:val="clear" w:color="auto" w:fill="auto"/>
          </w:tcPr>
          <w:p w14:paraId="341221C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147" w:type="dxa"/>
            <w:shd w:val="clear" w:color="auto" w:fill="auto"/>
          </w:tcPr>
          <w:p w14:paraId="36A73C9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147" w:type="dxa"/>
            <w:shd w:val="clear" w:color="auto" w:fill="auto"/>
          </w:tcPr>
          <w:p w14:paraId="48CC508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147" w:type="dxa"/>
            <w:shd w:val="clear" w:color="auto" w:fill="auto"/>
          </w:tcPr>
          <w:p w14:paraId="61397B6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207</w:t>
            </w:r>
          </w:p>
        </w:tc>
        <w:tc>
          <w:tcPr>
            <w:tcW w:w="1147" w:type="dxa"/>
            <w:shd w:val="clear" w:color="auto" w:fill="auto"/>
          </w:tcPr>
          <w:p w14:paraId="753FA84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</w:p>
        </w:tc>
      </w:tr>
      <w:tr w:rsidR="00915A27" w:rsidRPr="00462042" w14:paraId="40EC70D8" w14:textId="77777777" w:rsidTr="002961A0">
        <w:trPr>
          <w:trHeight w:val="340"/>
        </w:trPr>
        <w:tc>
          <w:tcPr>
            <w:tcW w:w="2144" w:type="dxa"/>
            <w:shd w:val="clear" w:color="auto" w:fill="auto"/>
          </w:tcPr>
          <w:p w14:paraId="0319D96F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14:paraId="11B73C6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61 (85.9)</w:t>
            </w:r>
          </w:p>
        </w:tc>
        <w:tc>
          <w:tcPr>
            <w:tcW w:w="1147" w:type="dxa"/>
            <w:shd w:val="clear" w:color="auto" w:fill="auto"/>
          </w:tcPr>
          <w:p w14:paraId="3D954DC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54 (83.1)</w:t>
            </w:r>
          </w:p>
        </w:tc>
        <w:tc>
          <w:tcPr>
            <w:tcW w:w="1147" w:type="dxa"/>
            <w:shd w:val="clear" w:color="auto" w:fill="auto"/>
          </w:tcPr>
          <w:p w14:paraId="23D4CC2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64 (97.0)</w:t>
            </w:r>
          </w:p>
        </w:tc>
        <w:tc>
          <w:tcPr>
            <w:tcW w:w="1147" w:type="dxa"/>
            <w:shd w:val="clear" w:color="auto" w:fill="auto"/>
          </w:tcPr>
          <w:p w14:paraId="35A8518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63 (96.9)</w:t>
            </w:r>
          </w:p>
        </w:tc>
        <w:tc>
          <w:tcPr>
            <w:tcW w:w="1147" w:type="dxa"/>
            <w:shd w:val="clear" w:color="auto" w:fill="auto"/>
          </w:tcPr>
          <w:p w14:paraId="154D6B3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198 (95.7)</w:t>
            </w:r>
          </w:p>
        </w:tc>
        <w:tc>
          <w:tcPr>
            <w:tcW w:w="1147" w:type="dxa"/>
            <w:shd w:val="clear" w:color="auto" w:fill="auto"/>
          </w:tcPr>
          <w:p w14:paraId="5616BA0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189 (96.4)</w:t>
            </w:r>
          </w:p>
        </w:tc>
      </w:tr>
      <w:tr w:rsidR="00915A27" w:rsidRPr="00462042" w14:paraId="3B16C3A8" w14:textId="77777777" w:rsidTr="002961A0">
        <w:trPr>
          <w:trHeight w:val="340"/>
        </w:trPr>
        <w:tc>
          <w:tcPr>
            <w:tcW w:w="2144" w:type="dxa"/>
          </w:tcPr>
          <w:p w14:paraId="49B1EC6E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14:paraId="49C8094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9 (12.7)</w:t>
            </w:r>
          </w:p>
        </w:tc>
        <w:tc>
          <w:tcPr>
            <w:tcW w:w="1147" w:type="dxa"/>
            <w:shd w:val="clear" w:color="auto" w:fill="auto"/>
          </w:tcPr>
          <w:p w14:paraId="1A1805E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10 (15.4)</w:t>
            </w:r>
          </w:p>
        </w:tc>
        <w:tc>
          <w:tcPr>
            <w:tcW w:w="1147" w:type="dxa"/>
            <w:shd w:val="clear" w:color="auto" w:fill="auto"/>
          </w:tcPr>
          <w:p w14:paraId="26A6B84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2 (3.0)</w:t>
            </w:r>
          </w:p>
        </w:tc>
        <w:tc>
          <w:tcPr>
            <w:tcW w:w="1147" w:type="dxa"/>
            <w:shd w:val="clear" w:color="auto" w:fill="auto"/>
          </w:tcPr>
          <w:p w14:paraId="64F9057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2 (3.1)</w:t>
            </w:r>
          </w:p>
        </w:tc>
        <w:tc>
          <w:tcPr>
            <w:tcW w:w="1147" w:type="dxa"/>
            <w:shd w:val="clear" w:color="auto" w:fill="auto"/>
          </w:tcPr>
          <w:p w14:paraId="405469F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9 (4.3)</w:t>
            </w:r>
          </w:p>
        </w:tc>
        <w:tc>
          <w:tcPr>
            <w:tcW w:w="1147" w:type="dxa"/>
            <w:shd w:val="clear" w:color="auto" w:fill="auto"/>
          </w:tcPr>
          <w:p w14:paraId="0173307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7 (3.6)</w:t>
            </w:r>
          </w:p>
        </w:tc>
      </w:tr>
      <w:tr w:rsidR="00915A27" w:rsidRPr="00462042" w14:paraId="1A8ABAD7" w14:textId="77777777" w:rsidTr="002961A0">
        <w:trPr>
          <w:trHeight w:val="340"/>
        </w:trPr>
        <w:tc>
          <w:tcPr>
            <w:tcW w:w="2144" w:type="dxa"/>
          </w:tcPr>
          <w:p w14:paraId="735CE4FD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≥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47" w:type="dxa"/>
            <w:shd w:val="clear" w:color="auto" w:fill="auto"/>
          </w:tcPr>
          <w:p w14:paraId="4DC9A4D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(1.4)</w:t>
            </w:r>
          </w:p>
        </w:tc>
        <w:tc>
          <w:tcPr>
            <w:tcW w:w="1147" w:type="dxa"/>
            <w:shd w:val="clear" w:color="auto" w:fill="auto"/>
          </w:tcPr>
          <w:p w14:paraId="4BC67BF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(1.5)</w:t>
            </w:r>
          </w:p>
        </w:tc>
        <w:tc>
          <w:tcPr>
            <w:tcW w:w="1147" w:type="dxa"/>
            <w:shd w:val="clear" w:color="auto" w:fill="auto"/>
          </w:tcPr>
          <w:p w14:paraId="188D953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14:paraId="0AA2D99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14:paraId="24834C6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14:paraId="5C17DD1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915A27" w:rsidRPr="00462042" w14:paraId="16F7AA90" w14:textId="77777777" w:rsidTr="002961A0">
        <w:trPr>
          <w:trHeight w:val="340"/>
        </w:trPr>
        <w:tc>
          <w:tcPr>
            <w:tcW w:w="2144" w:type="dxa"/>
          </w:tcPr>
          <w:p w14:paraId="572E9602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Fall</w:t>
            </w:r>
          </w:p>
        </w:tc>
        <w:tc>
          <w:tcPr>
            <w:tcW w:w="1147" w:type="dxa"/>
            <w:shd w:val="clear" w:color="auto" w:fill="auto"/>
          </w:tcPr>
          <w:p w14:paraId="313DA4A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24E2003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0D2F399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67C20AA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1A1ED77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2C3C0E2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50B67722" w14:textId="77777777" w:rsidTr="002961A0">
        <w:trPr>
          <w:trHeight w:val="340"/>
        </w:trPr>
        <w:tc>
          <w:tcPr>
            <w:tcW w:w="2144" w:type="dxa"/>
          </w:tcPr>
          <w:p w14:paraId="36571939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147" w:type="dxa"/>
            <w:shd w:val="clear" w:color="auto" w:fill="auto"/>
          </w:tcPr>
          <w:p w14:paraId="466F816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147" w:type="dxa"/>
            <w:shd w:val="clear" w:color="auto" w:fill="auto"/>
          </w:tcPr>
          <w:p w14:paraId="3EC493F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147" w:type="dxa"/>
            <w:shd w:val="clear" w:color="auto" w:fill="auto"/>
          </w:tcPr>
          <w:p w14:paraId="166CC65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147" w:type="dxa"/>
            <w:shd w:val="clear" w:color="auto" w:fill="auto"/>
          </w:tcPr>
          <w:p w14:paraId="6600E09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147" w:type="dxa"/>
            <w:shd w:val="clear" w:color="auto" w:fill="auto"/>
          </w:tcPr>
          <w:p w14:paraId="4AB633B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208</w:t>
            </w:r>
          </w:p>
        </w:tc>
        <w:tc>
          <w:tcPr>
            <w:tcW w:w="1147" w:type="dxa"/>
            <w:shd w:val="clear" w:color="auto" w:fill="auto"/>
          </w:tcPr>
          <w:p w14:paraId="4AEBBCC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</w:p>
        </w:tc>
      </w:tr>
      <w:tr w:rsidR="00915A27" w:rsidRPr="00462042" w14:paraId="5DA24B68" w14:textId="77777777" w:rsidTr="002961A0">
        <w:trPr>
          <w:trHeight w:val="340"/>
        </w:trPr>
        <w:tc>
          <w:tcPr>
            <w:tcW w:w="2144" w:type="dxa"/>
          </w:tcPr>
          <w:p w14:paraId="030546D2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14:paraId="7C7A963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65 (89.0)</w:t>
            </w:r>
          </w:p>
        </w:tc>
        <w:tc>
          <w:tcPr>
            <w:tcW w:w="1147" w:type="dxa"/>
            <w:shd w:val="clear" w:color="auto" w:fill="auto"/>
          </w:tcPr>
          <w:p w14:paraId="05E2ABF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53 (81.5)</w:t>
            </w:r>
          </w:p>
        </w:tc>
        <w:tc>
          <w:tcPr>
            <w:tcW w:w="1147" w:type="dxa"/>
            <w:shd w:val="clear" w:color="auto" w:fill="auto"/>
          </w:tcPr>
          <w:p w14:paraId="63EBA1E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64 (94.1)</w:t>
            </w:r>
          </w:p>
        </w:tc>
        <w:tc>
          <w:tcPr>
            <w:tcW w:w="1147" w:type="dxa"/>
            <w:shd w:val="clear" w:color="auto" w:fill="auto"/>
          </w:tcPr>
          <w:p w14:paraId="61AF1B3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 (95.4)</w:t>
            </w:r>
          </w:p>
        </w:tc>
        <w:tc>
          <w:tcPr>
            <w:tcW w:w="1147" w:type="dxa"/>
            <w:shd w:val="clear" w:color="auto" w:fill="auto"/>
          </w:tcPr>
          <w:p w14:paraId="15B325C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194 (93.3)</w:t>
            </w:r>
          </w:p>
        </w:tc>
        <w:tc>
          <w:tcPr>
            <w:tcW w:w="1147" w:type="dxa"/>
            <w:shd w:val="clear" w:color="auto" w:fill="auto"/>
          </w:tcPr>
          <w:p w14:paraId="14BE251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184 (93.9)</w:t>
            </w:r>
          </w:p>
        </w:tc>
      </w:tr>
      <w:tr w:rsidR="00915A27" w:rsidRPr="00462042" w14:paraId="4AC85BE3" w14:textId="77777777" w:rsidTr="002961A0">
        <w:trPr>
          <w:trHeight w:val="340"/>
        </w:trPr>
        <w:tc>
          <w:tcPr>
            <w:tcW w:w="2144" w:type="dxa"/>
          </w:tcPr>
          <w:p w14:paraId="3633C360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47" w:type="dxa"/>
            <w:shd w:val="clear" w:color="auto" w:fill="auto"/>
          </w:tcPr>
          <w:p w14:paraId="7ADB179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 (9.6)</w:t>
            </w:r>
          </w:p>
        </w:tc>
        <w:tc>
          <w:tcPr>
            <w:tcW w:w="1147" w:type="dxa"/>
            <w:shd w:val="clear" w:color="auto" w:fill="auto"/>
          </w:tcPr>
          <w:p w14:paraId="42259E6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 (13.8)</w:t>
            </w:r>
          </w:p>
        </w:tc>
        <w:tc>
          <w:tcPr>
            <w:tcW w:w="1147" w:type="dxa"/>
            <w:shd w:val="clear" w:color="auto" w:fill="auto"/>
          </w:tcPr>
          <w:p w14:paraId="383BA50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 (5.9)</w:t>
            </w:r>
          </w:p>
        </w:tc>
        <w:tc>
          <w:tcPr>
            <w:tcW w:w="1147" w:type="dxa"/>
            <w:shd w:val="clear" w:color="auto" w:fill="auto"/>
          </w:tcPr>
          <w:p w14:paraId="6336A07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 (3.1)</w:t>
            </w:r>
          </w:p>
        </w:tc>
        <w:tc>
          <w:tcPr>
            <w:tcW w:w="1147" w:type="dxa"/>
            <w:shd w:val="clear" w:color="auto" w:fill="auto"/>
          </w:tcPr>
          <w:p w14:paraId="41B69B1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 (6.7)</w:t>
            </w:r>
          </w:p>
        </w:tc>
        <w:tc>
          <w:tcPr>
            <w:tcW w:w="1147" w:type="dxa"/>
            <w:shd w:val="clear" w:color="auto" w:fill="auto"/>
          </w:tcPr>
          <w:p w14:paraId="1567D0F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 (5.6)</w:t>
            </w:r>
          </w:p>
        </w:tc>
      </w:tr>
      <w:tr w:rsidR="00915A27" w:rsidRPr="00462042" w14:paraId="65F55528" w14:textId="77777777" w:rsidTr="002961A0">
        <w:trPr>
          <w:trHeight w:val="340"/>
        </w:trPr>
        <w:tc>
          <w:tcPr>
            <w:tcW w:w="2144" w:type="dxa"/>
          </w:tcPr>
          <w:p w14:paraId="0379EA3C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≥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147" w:type="dxa"/>
            <w:shd w:val="clear" w:color="auto" w:fill="auto"/>
          </w:tcPr>
          <w:p w14:paraId="771BC04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(1.4)</w:t>
            </w:r>
          </w:p>
        </w:tc>
        <w:tc>
          <w:tcPr>
            <w:tcW w:w="1147" w:type="dxa"/>
            <w:shd w:val="clear" w:color="auto" w:fill="auto"/>
          </w:tcPr>
          <w:p w14:paraId="7EAD7F9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 (4.6)</w:t>
            </w:r>
          </w:p>
        </w:tc>
        <w:tc>
          <w:tcPr>
            <w:tcW w:w="1147" w:type="dxa"/>
            <w:shd w:val="clear" w:color="auto" w:fill="auto"/>
          </w:tcPr>
          <w:p w14:paraId="6104F5C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14:paraId="1656EF5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(1.5)</w:t>
            </w:r>
          </w:p>
        </w:tc>
        <w:tc>
          <w:tcPr>
            <w:tcW w:w="1147" w:type="dxa"/>
            <w:shd w:val="clear" w:color="auto" w:fill="auto"/>
          </w:tcPr>
          <w:p w14:paraId="202816E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14:paraId="3D04386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 (0.5)</w:t>
            </w:r>
          </w:p>
        </w:tc>
      </w:tr>
      <w:tr w:rsidR="00915A27" w:rsidRPr="00462042" w14:paraId="70738968" w14:textId="77777777" w:rsidTr="002961A0">
        <w:trPr>
          <w:trHeight w:val="567"/>
        </w:trPr>
        <w:tc>
          <w:tcPr>
            <w:tcW w:w="2144" w:type="dxa"/>
          </w:tcPr>
          <w:p w14:paraId="0FD0DC24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5A9A072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621228B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6DB1708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4B37397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20A49A9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65CC7A0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1B04376E" w14:textId="77777777" w:rsidTr="002961A0">
        <w:trPr>
          <w:trHeight w:val="340"/>
        </w:trPr>
        <w:tc>
          <w:tcPr>
            <w:tcW w:w="2144" w:type="dxa"/>
          </w:tcPr>
          <w:p w14:paraId="1B6B5391" w14:textId="77777777" w:rsidR="00915A27" w:rsidRPr="00462042" w:rsidRDefault="00915A27" w:rsidP="002961A0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 days of exacerbations per patient during season, mean (SD)</w:t>
            </w:r>
          </w:p>
        </w:tc>
        <w:tc>
          <w:tcPr>
            <w:tcW w:w="1147" w:type="dxa"/>
            <w:shd w:val="clear" w:color="auto" w:fill="auto"/>
          </w:tcPr>
          <w:p w14:paraId="7F71B40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4814158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458BDE9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21E770A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46D9345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shd w:val="clear" w:color="auto" w:fill="auto"/>
          </w:tcPr>
          <w:p w14:paraId="15B9FBF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25CECC75" w14:textId="77777777" w:rsidTr="002961A0">
        <w:trPr>
          <w:trHeight w:val="624"/>
        </w:trPr>
        <w:tc>
          <w:tcPr>
            <w:tcW w:w="2144" w:type="dxa"/>
          </w:tcPr>
          <w:p w14:paraId="0BCF44BD" w14:textId="77777777" w:rsidR="00915A27" w:rsidRPr="00462042" w:rsidRDefault="00915A27" w:rsidP="002961A0">
            <w:pPr>
              <w:spacing w:line="480" w:lineRule="auto"/>
              <w:ind w:left="746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Winter</w:t>
            </w:r>
          </w:p>
        </w:tc>
        <w:tc>
          <w:tcPr>
            <w:tcW w:w="1147" w:type="dxa"/>
            <w:shd w:val="clear" w:color="auto" w:fill="auto"/>
          </w:tcPr>
          <w:p w14:paraId="298CCEF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1.5 (4.66)</w:t>
            </w:r>
          </w:p>
          <w:p w14:paraId="19ECBE7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(n=71)</w:t>
            </w:r>
          </w:p>
        </w:tc>
        <w:tc>
          <w:tcPr>
            <w:tcW w:w="1147" w:type="dxa"/>
            <w:shd w:val="clear" w:color="auto" w:fill="auto"/>
          </w:tcPr>
          <w:p w14:paraId="2A5286F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3.5 (9.11)</w:t>
            </w:r>
          </w:p>
          <w:p w14:paraId="3B104EA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shd w:val="clear" w:color="auto" w:fill="auto"/>
          </w:tcPr>
          <w:p w14:paraId="7BA63AD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 (2.07)</w:t>
            </w:r>
          </w:p>
          <w:p w14:paraId="332CA36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shd w:val="clear" w:color="auto" w:fill="auto"/>
          </w:tcPr>
          <w:p w14:paraId="5285509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 (3.42)</w:t>
            </w:r>
          </w:p>
          <w:p w14:paraId="5F7207E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shd w:val="clear" w:color="auto" w:fill="auto"/>
          </w:tcPr>
          <w:p w14:paraId="34A5E83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 (3.27)</w:t>
            </w:r>
          </w:p>
          <w:p w14:paraId="5BCB0BE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(n=200)</w:t>
            </w:r>
          </w:p>
        </w:tc>
        <w:tc>
          <w:tcPr>
            <w:tcW w:w="1147" w:type="dxa"/>
            <w:shd w:val="clear" w:color="auto" w:fill="auto"/>
          </w:tcPr>
          <w:p w14:paraId="179583E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 (4.15)</w:t>
            </w:r>
          </w:p>
          <w:p w14:paraId="5DF1F19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(n=194)</w:t>
            </w:r>
          </w:p>
        </w:tc>
      </w:tr>
      <w:tr w:rsidR="00915A27" w:rsidRPr="00462042" w14:paraId="2AC420C6" w14:textId="77777777" w:rsidTr="002961A0">
        <w:trPr>
          <w:trHeight w:val="624"/>
        </w:trPr>
        <w:tc>
          <w:tcPr>
            <w:tcW w:w="2144" w:type="dxa"/>
          </w:tcPr>
          <w:p w14:paraId="098675BB" w14:textId="77777777" w:rsidR="00915A27" w:rsidRPr="00462042" w:rsidRDefault="00915A27" w:rsidP="002961A0">
            <w:pPr>
              <w:spacing w:line="480" w:lineRule="auto"/>
              <w:ind w:left="746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1147" w:type="dxa"/>
            <w:shd w:val="clear" w:color="auto" w:fill="auto"/>
          </w:tcPr>
          <w:p w14:paraId="065F368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1.2 (4.12)</w:t>
            </w:r>
          </w:p>
          <w:p w14:paraId="0DBB268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(n=72)</w:t>
            </w:r>
          </w:p>
        </w:tc>
        <w:tc>
          <w:tcPr>
            <w:tcW w:w="1147" w:type="dxa"/>
            <w:shd w:val="clear" w:color="auto" w:fill="auto"/>
          </w:tcPr>
          <w:p w14:paraId="5FC26C0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2.0 (5.67)</w:t>
            </w:r>
          </w:p>
          <w:p w14:paraId="40B61D1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shd w:val="clear" w:color="auto" w:fill="auto"/>
          </w:tcPr>
          <w:p w14:paraId="25877E3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 (0.56)</w:t>
            </w:r>
          </w:p>
          <w:p w14:paraId="5A028D1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(n=66)</w:t>
            </w:r>
          </w:p>
        </w:tc>
        <w:tc>
          <w:tcPr>
            <w:tcW w:w="1147" w:type="dxa"/>
            <w:shd w:val="clear" w:color="auto" w:fill="auto"/>
          </w:tcPr>
          <w:p w14:paraId="2EEB047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 (2.69)</w:t>
            </w:r>
          </w:p>
          <w:p w14:paraId="09173F0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(n=66)</w:t>
            </w:r>
          </w:p>
        </w:tc>
        <w:tc>
          <w:tcPr>
            <w:tcW w:w="1147" w:type="dxa"/>
            <w:shd w:val="clear" w:color="auto" w:fill="auto"/>
          </w:tcPr>
          <w:p w14:paraId="5BD96AF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 (2.90)</w:t>
            </w:r>
          </w:p>
          <w:p w14:paraId="3EE9A93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(n=200)</w:t>
            </w:r>
          </w:p>
        </w:tc>
        <w:tc>
          <w:tcPr>
            <w:tcW w:w="1147" w:type="dxa"/>
            <w:shd w:val="clear" w:color="auto" w:fill="auto"/>
          </w:tcPr>
          <w:p w14:paraId="250DD69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 (2.66)</w:t>
            </w:r>
          </w:p>
          <w:p w14:paraId="1EEDFB0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(n=195)</w:t>
            </w:r>
          </w:p>
        </w:tc>
      </w:tr>
      <w:tr w:rsidR="00915A27" w:rsidRPr="00462042" w14:paraId="2217D759" w14:textId="77777777" w:rsidTr="002961A0">
        <w:trPr>
          <w:trHeight w:val="624"/>
        </w:trPr>
        <w:tc>
          <w:tcPr>
            <w:tcW w:w="2144" w:type="dxa"/>
          </w:tcPr>
          <w:p w14:paraId="412A0E9E" w14:textId="77777777" w:rsidR="00915A27" w:rsidRPr="00462042" w:rsidRDefault="00915A27" w:rsidP="002961A0">
            <w:pPr>
              <w:spacing w:line="480" w:lineRule="auto"/>
              <w:ind w:left="746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Summer</w:t>
            </w:r>
          </w:p>
        </w:tc>
        <w:tc>
          <w:tcPr>
            <w:tcW w:w="1147" w:type="dxa"/>
            <w:shd w:val="clear" w:color="auto" w:fill="auto"/>
          </w:tcPr>
          <w:p w14:paraId="057F903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1.9 (5.93)</w:t>
            </w:r>
          </w:p>
          <w:p w14:paraId="09CBD55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(n=71)</w:t>
            </w:r>
          </w:p>
        </w:tc>
        <w:tc>
          <w:tcPr>
            <w:tcW w:w="1147" w:type="dxa"/>
            <w:shd w:val="clear" w:color="auto" w:fill="auto"/>
          </w:tcPr>
          <w:p w14:paraId="6BC411C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1.8 (5.10)</w:t>
            </w:r>
          </w:p>
          <w:p w14:paraId="5BEB728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shd w:val="clear" w:color="auto" w:fill="auto"/>
          </w:tcPr>
          <w:p w14:paraId="7294D67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 (1.62)</w:t>
            </w:r>
          </w:p>
          <w:p w14:paraId="52F3987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(n=66)</w:t>
            </w:r>
          </w:p>
        </w:tc>
        <w:tc>
          <w:tcPr>
            <w:tcW w:w="1147" w:type="dxa"/>
            <w:shd w:val="clear" w:color="auto" w:fill="auto"/>
          </w:tcPr>
          <w:p w14:paraId="662E2C4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 (1.56)</w:t>
            </w:r>
          </w:p>
          <w:p w14:paraId="1464BDF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shd w:val="clear" w:color="auto" w:fill="auto"/>
          </w:tcPr>
          <w:p w14:paraId="77D7717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 (2.31)</w:t>
            </w:r>
          </w:p>
          <w:p w14:paraId="1F297EF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(n=207)</w:t>
            </w:r>
          </w:p>
        </w:tc>
        <w:tc>
          <w:tcPr>
            <w:tcW w:w="1147" w:type="dxa"/>
            <w:shd w:val="clear" w:color="auto" w:fill="auto"/>
          </w:tcPr>
          <w:p w14:paraId="15F85FD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 (3.58)</w:t>
            </w:r>
          </w:p>
          <w:p w14:paraId="74815E9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(n=196)</w:t>
            </w:r>
          </w:p>
        </w:tc>
      </w:tr>
      <w:tr w:rsidR="00915A27" w:rsidRPr="00462042" w14:paraId="40124B95" w14:textId="77777777" w:rsidTr="002961A0">
        <w:trPr>
          <w:trHeight w:val="624"/>
        </w:trPr>
        <w:tc>
          <w:tcPr>
            <w:tcW w:w="2144" w:type="dxa"/>
            <w:tcBorders>
              <w:bottom w:val="single" w:sz="4" w:space="0" w:color="000000"/>
            </w:tcBorders>
          </w:tcPr>
          <w:p w14:paraId="07AD463B" w14:textId="77777777" w:rsidR="00915A27" w:rsidRPr="00462042" w:rsidRDefault="00915A27" w:rsidP="002961A0">
            <w:pPr>
              <w:spacing w:line="480" w:lineRule="auto"/>
              <w:ind w:left="746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Fall</w:t>
            </w:r>
          </w:p>
        </w:tc>
        <w:tc>
          <w:tcPr>
            <w:tcW w:w="1147" w:type="dxa"/>
            <w:tcBorders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</w:tcPr>
          <w:p w14:paraId="1D6BF13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1.8 (6.45)</w:t>
            </w:r>
          </w:p>
          <w:p w14:paraId="5110C1A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(n=73)</w:t>
            </w:r>
          </w:p>
        </w:tc>
        <w:tc>
          <w:tcPr>
            <w:tcW w:w="1147" w:type="dxa"/>
            <w:tcBorders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</w:tcPr>
          <w:p w14:paraId="0AE1661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2.9 (8.25)</w:t>
            </w:r>
          </w:p>
          <w:p w14:paraId="0415DB4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(n=65)</w:t>
            </w:r>
          </w:p>
        </w:tc>
        <w:tc>
          <w:tcPr>
            <w:tcW w:w="1147" w:type="dxa"/>
            <w:tcBorders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</w:tcPr>
          <w:p w14:paraId="55899CE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 (2.59)</w:t>
            </w:r>
          </w:p>
          <w:p w14:paraId="1B55955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(n=68)</w:t>
            </w:r>
          </w:p>
        </w:tc>
        <w:tc>
          <w:tcPr>
            <w:tcW w:w="1147" w:type="dxa"/>
            <w:tcBorders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</w:tcPr>
          <w:p w14:paraId="3D4F571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 (3.72)</w:t>
            </w:r>
          </w:p>
          <w:p w14:paraId="27CCEC7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(n=64)</w:t>
            </w:r>
          </w:p>
        </w:tc>
        <w:tc>
          <w:tcPr>
            <w:tcW w:w="1147" w:type="dxa"/>
            <w:tcBorders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</w:tcPr>
          <w:p w14:paraId="7B9771C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 (3.44)</w:t>
            </w:r>
          </w:p>
          <w:p w14:paraId="7BF4F17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(n=208)</w:t>
            </w:r>
          </w:p>
        </w:tc>
        <w:tc>
          <w:tcPr>
            <w:tcW w:w="1147" w:type="dxa"/>
            <w:tcBorders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</w:tcPr>
          <w:p w14:paraId="7EE0BDD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 (3.16)</w:t>
            </w:r>
          </w:p>
          <w:p w14:paraId="0EDFF04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(n=196)</w:t>
            </w:r>
          </w:p>
        </w:tc>
      </w:tr>
    </w:tbl>
    <w:p w14:paraId="18EA60E8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Note: </w:t>
      </w:r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Data are </w:t>
      </w:r>
      <w:proofErr w:type="gramStart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descriptive</w:t>
      </w:r>
      <w:proofErr w:type="gramEnd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and no formal statistical analyses were performed owing to small subgroup sizes.</w:t>
      </w:r>
    </w:p>
    <w:p w14:paraId="72946C96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lastRenderedPageBreak/>
        <w:t xml:space="preserve">Abbreviations: </w:t>
      </w:r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Q4W, every 4 weeks; SD, standard deviation.</w:t>
      </w:r>
    </w:p>
    <w:p w14:paraId="43169B32" w14:textId="77777777" w:rsidR="00915A27" w:rsidRPr="00462042" w:rsidRDefault="00915A27" w:rsidP="00915A27">
      <w:pPr>
        <w:spacing w:after="200" w:line="48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462042">
        <w:rPr>
          <w:rFonts w:ascii="Times New Roman" w:eastAsia="Times New Roman" w:hAnsi="Times New Roman" w:cs="Times New Roman"/>
          <w:color w:val="000000"/>
          <w:lang w:val="en-US"/>
        </w:rPr>
        <w:br w:type="page"/>
      </w:r>
    </w:p>
    <w:p w14:paraId="554CABCC" w14:textId="2E3DA1FA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lastRenderedPageBreak/>
        <w:t>Table S</w:t>
      </w:r>
      <w:r w:rsidR="00E57034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6</w:t>
      </w:r>
      <w:r w:rsidRPr="00462042">
        <w:rPr>
          <w:rFonts w:ascii="Times New Roman" w:eastAsia="Times New Roman" w:hAnsi="Times New Roman" w:cs="Times New Roman"/>
          <w:color w:val="000000"/>
          <w:lang w:val="en-US"/>
        </w:rPr>
        <w:t xml:space="preserve"> Number of Patients with Asthma Exacerbations and Total Days of Exacerbations by Season, According to Baseline Atopic Asthma Status*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988"/>
        <w:gridCol w:w="71"/>
        <w:gridCol w:w="991"/>
        <w:gridCol w:w="68"/>
        <w:gridCol w:w="994"/>
        <w:gridCol w:w="66"/>
        <w:gridCol w:w="970"/>
        <w:gridCol w:w="89"/>
        <w:gridCol w:w="1015"/>
        <w:gridCol w:w="44"/>
        <w:gridCol w:w="1060"/>
      </w:tblGrid>
      <w:tr w:rsidR="00915A27" w:rsidRPr="00462042" w14:paraId="2001816F" w14:textId="77777777" w:rsidTr="002961A0">
        <w:trPr>
          <w:trHeight w:val="340"/>
          <w:tblHeader/>
        </w:trPr>
        <w:tc>
          <w:tcPr>
            <w:tcW w:w="2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79AC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A8E2A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Placebo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0C53A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Tezepelumab</w:t>
            </w:r>
          </w:p>
          <w:p w14:paraId="3BF2C50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210 mg Q4W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C70D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Pooled tezepelumab</w:t>
            </w:r>
          </w:p>
        </w:tc>
      </w:tr>
      <w:tr w:rsidR="00915A27" w:rsidRPr="00462042" w14:paraId="55CCBD15" w14:textId="77777777" w:rsidTr="002961A0">
        <w:trPr>
          <w:trHeight w:val="340"/>
          <w:tblHeader/>
        </w:trPr>
        <w:tc>
          <w:tcPr>
            <w:tcW w:w="267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4CF421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4E2719C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Atopic</w:t>
            </w:r>
          </w:p>
          <w:p w14:paraId="4D142AA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(n=80)</w:t>
            </w:r>
          </w:p>
        </w:tc>
        <w:tc>
          <w:tcPr>
            <w:tcW w:w="1062" w:type="dxa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19B60AB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Non-atopic</w:t>
            </w:r>
          </w:p>
          <w:p w14:paraId="77C5B61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(n=50)</w:t>
            </w:r>
          </w:p>
        </w:tc>
        <w:tc>
          <w:tcPr>
            <w:tcW w:w="1062" w:type="dxa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76E87A1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Atopic</w:t>
            </w:r>
          </w:p>
          <w:p w14:paraId="4FA15C8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(n=77)</w:t>
            </w:r>
          </w:p>
        </w:tc>
        <w:tc>
          <w:tcPr>
            <w:tcW w:w="1036" w:type="dxa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7C66ED6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Non-atopic</w:t>
            </w:r>
          </w:p>
          <w:p w14:paraId="13AF2E4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(n=50)</w:t>
            </w:r>
          </w:p>
        </w:tc>
        <w:tc>
          <w:tcPr>
            <w:tcW w:w="1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428F8FA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Atopic</w:t>
            </w:r>
          </w:p>
          <w:p w14:paraId="188680B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(n=216)</w:t>
            </w:r>
          </w:p>
        </w:tc>
        <w:tc>
          <w:tcPr>
            <w:tcW w:w="1104" w:type="dxa"/>
            <w:gridSpan w:val="2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vAlign w:val="bottom"/>
          </w:tcPr>
          <w:p w14:paraId="7B04A2C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Non-atopic</w:t>
            </w:r>
          </w:p>
          <w:p w14:paraId="7BE686C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(n=168)</w:t>
            </w:r>
          </w:p>
        </w:tc>
      </w:tr>
      <w:tr w:rsidR="00915A27" w:rsidRPr="00462042" w14:paraId="6E85587B" w14:textId="77777777" w:rsidTr="002961A0">
        <w:trPr>
          <w:trHeight w:val="340"/>
        </w:trPr>
        <w:tc>
          <w:tcPr>
            <w:tcW w:w="2670" w:type="dxa"/>
            <w:tcBorders>
              <w:top w:val="single" w:sz="4" w:space="0" w:color="000000"/>
            </w:tcBorders>
            <w:shd w:val="clear" w:color="auto" w:fill="auto"/>
          </w:tcPr>
          <w:p w14:paraId="2A7EAB2B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Number of patients with at least one exacerbation during season, n (%)</w:t>
            </w:r>
          </w:p>
        </w:tc>
        <w:tc>
          <w:tcPr>
            <w:tcW w:w="988" w:type="dxa"/>
            <w:tcBorders>
              <w:top w:val="single" w:sz="4" w:space="0" w:color="000000"/>
            </w:tcBorders>
            <w:shd w:val="clear" w:color="auto" w:fill="auto"/>
          </w:tcPr>
          <w:p w14:paraId="5879509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1164F2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FE78D3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12269F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4774B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056018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441A0B8F" w14:textId="77777777" w:rsidTr="002961A0">
        <w:trPr>
          <w:trHeight w:val="624"/>
        </w:trPr>
        <w:tc>
          <w:tcPr>
            <w:tcW w:w="2670" w:type="dxa"/>
            <w:shd w:val="clear" w:color="auto" w:fill="auto"/>
          </w:tcPr>
          <w:p w14:paraId="0CA0489E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Winter</w:t>
            </w:r>
          </w:p>
        </w:tc>
        <w:tc>
          <w:tcPr>
            <w:tcW w:w="988" w:type="dxa"/>
            <w:shd w:val="clear" w:color="auto" w:fill="auto"/>
          </w:tcPr>
          <w:p w14:paraId="7C0E987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12 (15.2)</w:t>
            </w:r>
          </w:p>
          <w:p w14:paraId="56FBB02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(n=79)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10A16E2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8 (16.3)</w:t>
            </w:r>
          </w:p>
          <w:p w14:paraId="1C0BD1E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(n=49)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0C7FFE1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3 (4.2)</w:t>
            </w:r>
          </w:p>
          <w:p w14:paraId="2544295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(n=72)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42F234F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 (12.5)</w:t>
            </w:r>
          </w:p>
          <w:p w14:paraId="60E78D9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(n=48)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2E300F8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13 (6.4)</w:t>
            </w:r>
          </w:p>
          <w:p w14:paraId="04D1A6C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(n=204)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79F82B9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15 (9.3)</w:t>
            </w:r>
          </w:p>
          <w:p w14:paraId="40ACE6A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(n=162)</w:t>
            </w:r>
          </w:p>
        </w:tc>
      </w:tr>
      <w:tr w:rsidR="00915A27" w:rsidRPr="00462042" w14:paraId="7E949503" w14:textId="77777777" w:rsidTr="00296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A33D5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345C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9 (11.4)</w:t>
            </w:r>
          </w:p>
          <w:p w14:paraId="36F89D2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(n=79)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12A3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 (12.0)</w:t>
            </w:r>
          </w:p>
          <w:p w14:paraId="79AE874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(n=50)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7B6D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2 (2.8)</w:t>
            </w:r>
          </w:p>
          <w:p w14:paraId="6C7DEAB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(n=72)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2201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(2.1)</w:t>
            </w:r>
          </w:p>
          <w:p w14:paraId="27B5A91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(n=47)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37FB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9 (4.3)</w:t>
            </w:r>
          </w:p>
          <w:p w14:paraId="0FE74C1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(n=209)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F32F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 (2.5)</w:t>
            </w:r>
          </w:p>
          <w:p w14:paraId="5A3356C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(n=158)</w:t>
            </w:r>
          </w:p>
        </w:tc>
      </w:tr>
      <w:tr w:rsidR="00915A27" w:rsidRPr="00462042" w14:paraId="519A4C53" w14:textId="77777777" w:rsidTr="002961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57EF1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Summer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397E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11 (14.1)</w:t>
            </w:r>
            <w:r w:rsidRPr="00462042" w:rsidDel="00770A55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(n=78)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837A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10 (20.0)</w:t>
            </w:r>
          </w:p>
          <w:p w14:paraId="5A2C430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(n=50)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5692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  <w:p w14:paraId="237084D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(n=73)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50D7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 (8.3)</w:t>
            </w:r>
          </w:p>
          <w:p w14:paraId="0D0159A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(n=48)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93EF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 (1.9)</w:t>
            </w:r>
          </w:p>
          <w:p w14:paraId="3450BD9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(n=211)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6A82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10 (6.1)</w:t>
            </w:r>
          </w:p>
          <w:p w14:paraId="00EE50B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(n=164)</w:t>
            </w:r>
          </w:p>
        </w:tc>
      </w:tr>
      <w:tr w:rsidR="00915A27" w:rsidRPr="00462042" w14:paraId="73D046D1" w14:textId="77777777" w:rsidTr="002961A0">
        <w:trPr>
          <w:trHeight w:val="624"/>
        </w:trPr>
        <w:tc>
          <w:tcPr>
            <w:tcW w:w="2670" w:type="dxa"/>
            <w:shd w:val="clear" w:color="auto" w:fill="auto"/>
          </w:tcPr>
          <w:p w14:paraId="276EE492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Fall</w:t>
            </w:r>
          </w:p>
        </w:tc>
        <w:tc>
          <w:tcPr>
            <w:tcW w:w="988" w:type="dxa"/>
            <w:shd w:val="clear" w:color="auto" w:fill="auto"/>
          </w:tcPr>
          <w:p w14:paraId="644380D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14 (17.5)</w:t>
            </w:r>
            <w:r w:rsidRPr="00462042" w:rsidDel="00770A55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 xml:space="preserve"> </w:t>
            </w: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(n=80)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0CB3979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5 (10.0)</w:t>
            </w:r>
          </w:p>
          <w:p w14:paraId="60CB7EF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(n=50)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79D3381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 (5.3)</w:t>
            </w:r>
          </w:p>
          <w:p w14:paraId="371B296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(n=75)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280F97C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(2.1)</w:t>
            </w:r>
          </w:p>
          <w:p w14:paraId="793F6F5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(n=48)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119F043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14 (6.6)</w:t>
            </w:r>
          </w:p>
          <w:p w14:paraId="1C729BD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(n=211)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73D0338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7 (4.2)</w:t>
            </w:r>
          </w:p>
          <w:p w14:paraId="1554DDD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(n=165)</w:t>
            </w:r>
          </w:p>
        </w:tc>
      </w:tr>
      <w:tr w:rsidR="00915A27" w:rsidRPr="00462042" w14:paraId="2FABBB46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1839B079" w14:textId="77777777" w:rsidR="00915A27" w:rsidRPr="00462042" w:rsidRDefault="00915A27" w:rsidP="002961A0">
            <w:pPr>
              <w:adjustRightInd w:val="0"/>
              <w:spacing w:before="10" w:after="10"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Number of patients with 0, 1 or ≥2 exacerbations during season, n (%)</w:t>
            </w:r>
          </w:p>
        </w:tc>
        <w:tc>
          <w:tcPr>
            <w:tcW w:w="988" w:type="dxa"/>
            <w:shd w:val="clear" w:color="auto" w:fill="auto"/>
          </w:tcPr>
          <w:p w14:paraId="7833BED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742D106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7FDA1DC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gridSpan w:val="2"/>
            <w:shd w:val="clear" w:color="auto" w:fill="auto"/>
          </w:tcPr>
          <w:p w14:paraId="6DB5FCB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79ADD29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1C742B3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405D37B1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6A3C266C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Winter</w:t>
            </w:r>
          </w:p>
        </w:tc>
        <w:tc>
          <w:tcPr>
            <w:tcW w:w="988" w:type="dxa"/>
            <w:shd w:val="clear" w:color="auto" w:fill="auto"/>
          </w:tcPr>
          <w:p w14:paraId="209AEDB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729DDE8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2D6E5CC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gridSpan w:val="2"/>
            <w:shd w:val="clear" w:color="auto" w:fill="auto"/>
          </w:tcPr>
          <w:p w14:paraId="7DE9E44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10E77B8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1B7A5D6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05077FAB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532E58E4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988" w:type="dxa"/>
            <w:shd w:val="clear" w:color="auto" w:fill="auto"/>
          </w:tcPr>
          <w:p w14:paraId="341509A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261F476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1903BD3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3F7EF60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04B0EE2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204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12ACAA2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162</w:t>
            </w:r>
          </w:p>
        </w:tc>
      </w:tr>
      <w:tr w:rsidR="00915A27" w:rsidRPr="00462042" w14:paraId="75942EF6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0BB98822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14:paraId="67A83EF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67 (84.8)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3C856A6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41 (83.7)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6550640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69 (95.8)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581A8CF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42 (87.5)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0D9E44C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191 (93.6)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0BC0915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147 (90.7)</w:t>
            </w:r>
          </w:p>
        </w:tc>
      </w:tr>
      <w:tr w:rsidR="00915A27" w:rsidRPr="00462042" w14:paraId="6AF4B54C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50DA7F57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88" w:type="dxa"/>
            <w:shd w:val="clear" w:color="auto" w:fill="auto"/>
          </w:tcPr>
          <w:p w14:paraId="6953FCB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8 (10.1)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561265E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7 (14.3)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1ADC009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2 (2.8)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050FB17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 (12.5)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461811C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12 (5.9)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246FAAB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15 (9.3)</w:t>
            </w:r>
          </w:p>
        </w:tc>
      </w:tr>
      <w:tr w:rsidR="00915A27" w:rsidRPr="00462042" w14:paraId="47C5F82E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48DC12C1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≥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88" w:type="dxa"/>
            <w:shd w:val="clear" w:color="auto" w:fill="auto"/>
          </w:tcPr>
          <w:p w14:paraId="3DC8508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 (5.1)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48C7144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(2.0)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1861C69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(1.4)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7A0BECF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368F7BD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(0.5)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398F413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915A27" w:rsidRPr="00462042" w14:paraId="3B2FA8BE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10CED9B3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988" w:type="dxa"/>
            <w:shd w:val="clear" w:color="auto" w:fill="auto"/>
          </w:tcPr>
          <w:p w14:paraId="6A826B7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286179F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3E91BCD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gridSpan w:val="2"/>
            <w:shd w:val="clear" w:color="auto" w:fill="auto"/>
          </w:tcPr>
          <w:p w14:paraId="7807884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54051B9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6301128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16750495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2E695E9C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988" w:type="dxa"/>
            <w:shd w:val="clear" w:color="auto" w:fill="auto"/>
          </w:tcPr>
          <w:p w14:paraId="1B5F5B7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3445BBE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7247540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3570789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36CE710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209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28D1DF6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158</w:t>
            </w:r>
          </w:p>
        </w:tc>
      </w:tr>
      <w:tr w:rsidR="00915A27" w:rsidRPr="00462042" w14:paraId="4B28A097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223D9382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14:paraId="2F50B1B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70 (88.6)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45BEFBB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44 (88.0)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4ACAAE4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70 (97.2)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5C8DF3F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46 (97.9)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4CD496A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200 (95.7)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12A47BA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154 (97.5)</w:t>
            </w:r>
          </w:p>
        </w:tc>
      </w:tr>
      <w:tr w:rsidR="00915A27" w:rsidRPr="00462042" w14:paraId="08F7A1FF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70A5A269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88" w:type="dxa"/>
            <w:shd w:val="clear" w:color="auto" w:fill="auto"/>
          </w:tcPr>
          <w:p w14:paraId="1D54830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7 (8.9)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4E33077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5 (10.0)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16B175D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2 (2.8)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310248E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(2.1)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3FB41F5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8 (3.8)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7C23EAE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3 (1.9)</w:t>
            </w:r>
          </w:p>
        </w:tc>
      </w:tr>
      <w:tr w:rsidR="00915A27" w:rsidRPr="00462042" w14:paraId="4DBA10DE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1F0E73B4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lastRenderedPageBreak/>
              <w:t>≥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88" w:type="dxa"/>
            <w:shd w:val="clear" w:color="auto" w:fill="auto"/>
          </w:tcPr>
          <w:p w14:paraId="08797F7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2 (2.5)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381C694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(2.0)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34FF893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4A407E5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273C9F2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(0.5)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5BB1C40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(0.6)</w:t>
            </w:r>
          </w:p>
        </w:tc>
      </w:tr>
      <w:tr w:rsidR="00915A27" w:rsidRPr="00462042" w14:paraId="61B931F3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7625E3B2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Summer</w:t>
            </w:r>
          </w:p>
        </w:tc>
        <w:tc>
          <w:tcPr>
            <w:tcW w:w="988" w:type="dxa"/>
            <w:shd w:val="clear" w:color="auto" w:fill="auto"/>
          </w:tcPr>
          <w:p w14:paraId="269D15B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735685E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595C2E9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gridSpan w:val="2"/>
            <w:shd w:val="clear" w:color="auto" w:fill="auto"/>
          </w:tcPr>
          <w:p w14:paraId="4073FC8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3CAC485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38604EB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7A38DE41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18BE2533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988" w:type="dxa"/>
            <w:shd w:val="clear" w:color="auto" w:fill="auto"/>
          </w:tcPr>
          <w:p w14:paraId="51A5DAE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62CBFE2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46E0F78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3F84D11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6555E0B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211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2A9A3D9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164</w:t>
            </w:r>
          </w:p>
        </w:tc>
      </w:tr>
      <w:tr w:rsidR="00915A27" w:rsidRPr="00462042" w14:paraId="64949D3A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72B36A1B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14:paraId="67FA8FC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67 (85.9)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126BD7B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40 (80.0)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4E40117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73 (100.0)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0AEB486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44 (91.7)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7F45F53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207 (98.1)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39DCBEE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154 (93.9)</w:t>
            </w:r>
          </w:p>
        </w:tc>
      </w:tr>
      <w:tr w:rsidR="00915A27" w:rsidRPr="00462042" w14:paraId="2BB0DEBA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346096D5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88" w:type="dxa"/>
            <w:shd w:val="clear" w:color="auto" w:fill="auto"/>
          </w:tcPr>
          <w:p w14:paraId="78873E4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10 (12.8)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776CD58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9 (18.0)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25495F1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0AD09E6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 (8.3)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005910F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 (1.9)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73EB79E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10 (6.1)</w:t>
            </w:r>
          </w:p>
        </w:tc>
      </w:tr>
      <w:tr w:rsidR="00915A27" w:rsidRPr="00462042" w14:paraId="1CE7DE3E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3B5D49D5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≥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88" w:type="dxa"/>
            <w:shd w:val="clear" w:color="auto" w:fill="auto"/>
          </w:tcPr>
          <w:p w14:paraId="04E6361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(1.3)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0EB4DAC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(2.0)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4B3AE64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2DA0282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7431202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1BAB7D0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915A27" w:rsidRPr="00462042" w14:paraId="658A3E89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0645B78F" w14:textId="77777777" w:rsidR="00915A27" w:rsidRPr="00462042" w:rsidRDefault="00915A27" w:rsidP="002961A0">
            <w:pP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Fall</w:t>
            </w:r>
          </w:p>
        </w:tc>
        <w:tc>
          <w:tcPr>
            <w:tcW w:w="988" w:type="dxa"/>
            <w:shd w:val="clear" w:color="auto" w:fill="auto"/>
          </w:tcPr>
          <w:p w14:paraId="3B9FA3E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7660465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14:paraId="6677348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gridSpan w:val="2"/>
            <w:shd w:val="clear" w:color="auto" w:fill="auto"/>
          </w:tcPr>
          <w:p w14:paraId="0626C61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1889DF7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gridSpan w:val="2"/>
            <w:shd w:val="clear" w:color="auto" w:fill="auto"/>
          </w:tcPr>
          <w:p w14:paraId="7C4E5E7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1B1CC620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038E092E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988" w:type="dxa"/>
            <w:shd w:val="clear" w:color="auto" w:fill="auto"/>
          </w:tcPr>
          <w:p w14:paraId="7B02E36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38DAE16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4004FC9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1A59EE3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0715706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211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5C85FBE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</w:tr>
      <w:tr w:rsidR="00915A27" w:rsidRPr="00462042" w14:paraId="1980C882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39E975DE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14:paraId="4C5BA0F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66 (82.5)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723BCD7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45 (90.0)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7B4754D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71 (94.7)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7A8E452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47 (97.9)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3F00821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197 (93.4)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118AEBB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158 (95.8)</w:t>
            </w:r>
          </w:p>
        </w:tc>
      </w:tr>
      <w:tr w:rsidR="00915A27" w:rsidRPr="00462042" w14:paraId="5EF6149B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7C98E995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88" w:type="dxa"/>
            <w:shd w:val="clear" w:color="auto" w:fill="auto"/>
          </w:tcPr>
          <w:p w14:paraId="1145E87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10 (12.5)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41F440C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5 (10.0)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5266BFF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4 (5.3)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4ADED86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 (2.1)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62216679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14 (6.6)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3665157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7 (4.2)</w:t>
            </w:r>
          </w:p>
        </w:tc>
      </w:tr>
      <w:tr w:rsidR="00915A27" w:rsidRPr="00462042" w14:paraId="3E2D68E9" w14:textId="77777777" w:rsidTr="002961A0">
        <w:trPr>
          <w:trHeight w:val="340"/>
        </w:trPr>
        <w:tc>
          <w:tcPr>
            <w:tcW w:w="2670" w:type="dxa"/>
            <w:shd w:val="clear" w:color="auto" w:fill="auto"/>
          </w:tcPr>
          <w:p w14:paraId="218160FE" w14:textId="77777777" w:rsidR="00915A27" w:rsidRPr="00462042" w:rsidRDefault="00915A27" w:rsidP="002961A0">
            <w:pPr>
              <w:spacing w:line="480" w:lineRule="auto"/>
              <w:ind w:left="144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≥</w:t>
            </w: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88" w:type="dxa"/>
            <w:shd w:val="clear" w:color="auto" w:fill="auto"/>
          </w:tcPr>
          <w:p w14:paraId="7B72AC3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 (5.0)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79459FC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7F109C5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3B4AB53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3C1698F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49F7B02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915A27" w:rsidRPr="00462042" w14:paraId="1C7774F3" w14:textId="77777777" w:rsidTr="002961A0">
        <w:trPr>
          <w:trHeight w:val="567"/>
        </w:trPr>
        <w:tc>
          <w:tcPr>
            <w:tcW w:w="2670" w:type="dxa"/>
          </w:tcPr>
          <w:p w14:paraId="6F1E9AF1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14:paraId="042B09C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14:paraId="02223B3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14:paraId="7646310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14:paraId="7DD3AC0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14:paraId="3C7BEBF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14:paraId="7917ADE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200F28A2" w14:textId="77777777" w:rsidTr="002961A0">
        <w:trPr>
          <w:trHeight w:val="340"/>
        </w:trPr>
        <w:tc>
          <w:tcPr>
            <w:tcW w:w="2670" w:type="dxa"/>
          </w:tcPr>
          <w:p w14:paraId="2DCE55D6" w14:textId="77777777" w:rsidR="00915A27" w:rsidRPr="00462042" w:rsidRDefault="00915A27" w:rsidP="002961A0">
            <w:pPr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 days of exacerbations per patient during season, mean (SD)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5FBFB82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14:paraId="5907851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14:paraId="108A42B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14:paraId="232E1B2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14:paraId="3AD49B9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shd w:val="clear" w:color="auto" w:fill="auto"/>
          </w:tcPr>
          <w:p w14:paraId="09626D7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5A27" w:rsidRPr="00462042" w14:paraId="589C3308" w14:textId="77777777" w:rsidTr="002961A0">
        <w:trPr>
          <w:trHeight w:val="624"/>
        </w:trPr>
        <w:tc>
          <w:tcPr>
            <w:tcW w:w="2670" w:type="dxa"/>
          </w:tcPr>
          <w:p w14:paraId="009688A0" w14:textId="77777777" w:rsidR="00915A27" w:rsidRPr="00462042" w:rsidRDefault="00915A27" w:rsidP="002961A0">
            <w:pPr>
              <w:spacing w:line="480" w:lineRule="auto"/>
              <w:ind w:left="74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Winter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2A04175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2.5 (6.66)</w:t>
            </w:r>
          </w:p>
          <w:p w14:paraId="79FFA3A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(n=79)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5F35C3C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2.4 (8.40)</w:t>
            </w:r>
          </w:p>
          <w:p w14:paraId="2CA4687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(n=49)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3A482F1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 (3.22)</w:t>
            </w:r>
          </w:p>
          <w:p w14:paraId="7E425B7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(n=72)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52BCD31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 (2.46)</w:t>
            </w:r>
          </w:p>
          <w:p w14:paraId="30FA8C1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(n=48)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16DD48C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 (3.33)</w:t>
            </w:r>
          </w:p>
          <w:p w14:paraId="423E3F9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(n=204)</w:t>
            </w:r>
          </w:p>
        </w:tc>
        <w:tc>
          <w:tcPr>
            <w:tcW w:w="1060" w:type="dxa"/>
            <w:shd w:val="clear" w:color="auto" w:fill="auto"/>
          </w:tcPr>
          <w:p w14:paraId="6919F49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1.0 (4.20)</w:t>
            </w:r>
          </w:p>
          <w:p w14:paraId="23C85CC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(n=162)</w:t>
            </w:r>
          </w:p>
        </w:tc>
      </w:tr>
      <w:tr w:rsidR="00915A27" w:rsidRPr="00462042" w14:paraId="028C140E" w14:textId="77777777" w:rsidTr="002961A0">
        <w:trPr>
          <w:trHeight w:val="624"/>
        </w:trPr>
        <w:tc>
          <w:tcPr>
            <w:tcW w:w="2670" w:type="dxa"/>
          </w:tcPr>
          <w:p w14:paraId="7B5E9398" w14:textId="77777777" w:rsidR="00915A27" w:rsidRPr="00462042" w:rsidRDefault="00915A27" w:rsidP="002961A0">
            <w:pPr>
              <w:spacing w:line="480" w:lineRule="auto"/>
              <w:ind w:left="74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7651185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1.5 (4.86)</w:t>
            </w:r>
          </w:p>
          <w:p w14:paraId="201EBD0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(n=79)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5647B60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1.6 (5.13)</w:t>
            </w:r>
          </w:p>
          <w:p w14:paraId="181DF7C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(n=50)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50B6E4E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 (1.37)</w:t>
            </w:r>
          </w:p>
          <w:p w14:paraId="137875C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(n=72)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0F4BBA9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 (2.69)</w:t>
            </w:r>
          </w:p>
          <w:p w14:paraId="67424ED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(n=47)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75D8082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 (2.78)</w:t>
            </w:r>
          </w:p>
          <w:p w14:paraId="7BBD2C1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(n=209)</w:t>
            </w:r>
          </w:p>
        </w:tc>
        <w:tc>
          <w:tcPr>
            <w:tcW w:w="1060" w:type="dxa"/>
            <w:shd w:val="clear" w:color="auto" w:fill="auto"/>
          </w:tcPr>
          <w:p w14:paraId="23512E1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 (2.83)</w:t>
            </w:r>
          </w:p>
          <w:p w14:paraId="7C6324E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(n=158)</w:t>
            </w:r>
          </w:p>
        </w:tc>
      </w:tr>
      <w:tr w:rsidR="00915A27" w:rsidRPr="00462042" w14:paraId="6A984403" w14:textId="77777777" w:rsidTr="002961A0">
        <w:trPr>
          <w:trHeight w:val="624"/>
        </w:trPr>
        <w:tc>
          <w:tcPr>
            <w:tcW w:w="2670" w:type="dxa"/>
          </w:tcPr>
          <w:p w14:paraId="52EA180E" w14:textId="77777777" w:rsidR="00915A27" w:rsidRPr="00462042" w:rsidRDefault="00915A27" w:rsidP="002961A0">
            <w:pPr>
              <w:spacing w:line="480" w:lineRule="auto"/>
              <w:ind w:left="74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Summer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79A9A90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1.8 (5.55)</w:t>
            </w:r>
          </w:p>
          <w:p w14:paraId="7CC75201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(n=78)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05A1DAF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2.4 (5.91)</w:t>
            </w:r>
          </w:p>
          <w:p w14:paraId="2D5AE1A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(n=50)</w:t>
            </w:r>
          </w:p>
        </w:tc>
        <w:tc>
          <w:tcPr>
            <w:tcW w:w="1060" w:type="dxa"/>
            <w:gridSpan w:val="2"/>
            <w:shd w:val="clear" w:color="auto" w:fill="auto"/>
          </w:tcPr>
          <w:p w14:paraId="12903B1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14:paraId="423765E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(n=73)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624E1202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 (2.58)</w:t>
            </w:r>
          </w:p>
          <w:p w14:paraId="6815B98E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(n=48)</w:t>
            </w:r>
          </w:p>
        </w:tc>
        <w:tc>
          <w:tcPr>
            <w:tcW w:w="1059" w:type="dxa"/>
            <w:gridSpan w:val="2"/>
            <w:shd w:val="clear" w:color="auto" w:fill="auto"/>
          </w:tcPr>
          <w:p w14:paraId="247C6CD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 (3.34)</w:t>
            </w:r>
          </w:p>
          <w:p w14:paraId="5467DE9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(n=211)</w:t>
            </w:r>
          </w:p>
        </w:tc>
        <w:tc>
          <w:tcPr>
            <w:tcW w:w="1060" w:type="dxa"/>
            <w:shd w:val="clear" w:color="auto" w:fill="auto"/>
          </w:tcPr>
          <w:p w14:paraId="2FD38EC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 (2.61)</w:t>
            </w:r>
          </w:p>
          <w:p w14:paraId="6218C05B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(n=164)</w:t>
            </w:r>
          </w:p>
        </w:tc>
      </w:tr>
      <w:tr w:rsidR="00915A27" w:rsidRPr="00462042" w14:paraId="5B62CACE" w14:textId="77777777" w:rsidTr="002961A0">
        <w:trPr>
          <w:trHeight w:val="624"/>
        </w:trPr>
        <w:tc>
          <w:tcPr>
            <w:tcW w:w="2670" w:type="dxa"/>
            <w:tcBorders>
              <w:bottom w:val="single" w:sz="4" w:space="0" w:color="000000"/>
            </w:tcBorders>
          </w:tcPr>
          <w:p w14:paraId="6E7628F0" w14:textId="77777777" w:rsidR="00915A27" w:rsidRPr="00462042" w:rsidRDefault="00915A27" w:rsidP="002961A0">
            <w:pPr>
              <w:spacing w:line="480" w:lineRule="auto"/>
              <w:ind w:left="74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Fall</w:t>
            </w:r>
          </w:p>
        </w:tc>
        <w:tc>
          <w:tcPr>
            <w:tcW w:w="10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0D7713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2.7 (8.11)</w:t>
            </w:r>
          </w:p>
          <w:p w14:paraId="0D9DDF5C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(n=80)</w:t>
            </w:r>
          </w:p>
        </w:tc>
        <w:tc>
          <w:tcPr>
            <w:tcW w:w="10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8E7C8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1.7 (6.10)</w:t>
            </w:r>
          </w:p>
          <w:p w14:paraId="014C120D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(n=50)</w:t>
            </w:r>
          </w:p>
        </w:tc>
        <w:tc>
          <w:tcPr>
            <w:tcW w:w="10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E5D2974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 (2.10)</w:t>
            </w:r>
          </w:p>
          <w:p w14:paraId="370C31D7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(n=75)</w:t>
            </w:r>
          </w:p>
        </w:tc>
        <w:tc>
          <w:tcPr>
            <w:tcW w:w="10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9E0DD38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 (1.73)</w:t>
            </w:r>
          </w:p>
          <w:p w14:paraId="72939E8F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(n=48)</w:t>
            </w:r>
          </w:p>
        </w:tc>
        <w:tc>
          <w:tcPr>
            <w:tcW w:w="10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436BF66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 (3.27)</w:t>
            </w:r>
          </w:p>
          <w:p w14:paraId="635971D0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(n=211)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  <w:shd w:val="clear" w:color="auto" w:fill="auto"/>
          </w:tcPr>
          <w:p w14:paraId="79701685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 (2.60)</w:t>
            </w:r>
          </w:p>
          <w:p w14:paraId="5C1CE3FA" w14:textId="77777777" w:rsidR="00915A27" w:rsidRPr="00462042" w:rsidRDefault="00915A27" w:rsidP="002961A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62042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(n=165)</w:t>
            </w:r>
          </w:p>
        </w:tc>
      </w:tr>
    </w:tbl>
    <w:p w14:paraId="780B2AA2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Note: </w:t>
      </w:r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Data are </w:t>
      </w:r>
      <w:proofErr w:type="gramStart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descriptive</w:t>
      </w:r>
      <w:proofErr w:type="gramEnd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and no formal statistical analyses were performed owing to small subgroup sizes.</w:t>
      </w:r>
    </w:p>
    <w:p w14:paraId="5F6F74F9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lastRenderedPageBreak/>
        <w:t>*Atopic status was defined by a positive FEIA test for IgE-mediated asthma. In addition to those patients with a positive or negative FEIA test result, a number of patients had no atopic status recorded (placebo, n=8; tezepelumab 210 mg Q4W, n=10; pooled tezepelumab, n=28).</w:t>
      </w:r>
    </w:p>
    <w:p w14:paraId="51E7527E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4620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Abbreviations: </w:t>
      </w:r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FEIA, </w:t>
      </w:r>
      <w:proofErr w:type="spellStart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fluoro</w:t>
      </w:r>
      <w:proofErr w:type="spellEnd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-enzyme immunoassay; </w:t>
      </w:r>
      <w:proofErr w:type="spellStart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IgE</w:t>
      </w:r>
      <w:proofErr w:type="spellEnd"/>
      <w:r w:rsidRPr="00462042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immunoglobulin E; Q4W, every 4 weeks; SD, standard deviation.</w:t>
      </w:r>
    </w:p>
    <w:p w14:paraId="3254840A" w14:textId="77777777" w:rsidR="00915A27" w:rsidRPr="00462042" w:rsidRDefault="00915A27" w:rsidP="00915A27">
      <w:pPr>
        <w:spacing w:line="48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6F5A4C6C" w14:textId="77777777" w:rsidR="00915A27" w:rsidRPr="00462042" w:rsidRDefault="00915A27" w:rsidP="00915A27">
      <w:pPr>
        <w:spacing w:after="160" w:line="259" w:lineRule="auto"/>
        <w:rPr>
          <w:rFonts w:ascii="Calibri" w:eastAsia="Calibri" w:hAnsi="Calibri" w:cs="Times New Roman"/>
          <w:color w:val="000000"/>
          <w:sz w:val="22"/>
          <w:szCs w:val="22"/>
          <w:lang w:val="en-US" w:eastAsia="en-US"/>
        </w:rPr>
      </w:pPr>
    </w:p>
    <w:p w14:paraId="7632AE70" w14:textId="77777777" w:rsidR="00915A27" w:rsidRPr="00462042" w:rsidRDefault="00915A27" w:rsidP="00915A27">
      <w:pPr>
        <w:spacing w:after="200" w:line="480" w:lineRule="auto"/>
        <w:rPr>
          <w:rFonts w:cstheme="minorHAnsi"/>
          <w:color w:val="000000"/>
          <w:lang w:val="en-US"/>
        </w:rPr>
      </w:pPr>
    </w:p>
    <w:p w14:paraId="49B72B1F" w14:textId="77777777" w:rsidR="000C5C80" w:rsidRDefault="000C5C80"/>
    <w:sectPr w:rsidR="000C5C80" w:rsidSect="00126468">
      <w:pgSz w:w="11906" w:h="16838" w:code="9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C72B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57DC4"/>
    <w:multiLevelType w:val="hybridMultilevel"/>
    <w:tmpl w:val="84B22D8A"/>
    <w:lvl w:ilvl="0" w:tplc="C0FE45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5C17"/>
    <w:multiLevelType w:val="multilevel"/>
    <w:tmpl w:val="CBFC3770"/>
    <w:lvl w:ilvl="0">
      <w:start w:val="1"/>
      <w:numFmt w:val="bullet"/>
      <w:pStyle w:val="ListParagraph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" w15:restartNumberingAfterBreak="0">
    <w:nsid w:val="27220EC5"/>
    <w:multiLevelType w:val="hybridMultilevel"/>
    <w:tmpl w:val="7706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321C7"/>
    <w:multiLevelType w:val="multilevel"/>
    <w:tmpl w:val="DAFEBE6C"/>
    <w:styleLink w:val="Style1"/>
    <w:lvl w:ilvl="0">
      <w:numFmt w:val="bullet"/>
      <w:lvlText w:val="•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1077" w:hanging="363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5" w15:restartNumberingAfterBreak="0">
    <w:nsid w:val="3E7E17F2"/>
    <w:multiLevelType w:val="hybridMultilevel"/>
    <w:tmpl w:val="9606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F72EE"/>
    <w:multiLevelType w:val="hybridMultilevel"/>
    <w:tmpl w:val="DC3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B673C"/>
    <w:multiLevelType w:val="hybridMultilevel"/>
    <w:tmpl w:val="C562E508"/>
    <w:lvl w:ilvl="0" w:tplc="EB6AF63C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27"/>
    <w:rsid w:val="000C5C80"/>
    <w:rsid w:val="002C197D"/>
    <w:rsid w:val="002E6081"/>
    <w:rsid w:val="002F564B"/>
    <w:rsid w:val="00915A27"/>
    <w:rsid w:val="00C56B2B"/>
    <w:rsid w:val="00E5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E9D9"/>
  <w15:chartTrackingRefBased/>
  <w15:docId w15:val="{B5147E4C-C0EE-4D64-82C8-F38666C5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27"/>
    <w:pPr>
      <w:spacing w:after="0" w:line="360" w:lineRule="auto"/>
    </w:pPr>
    <w:rPr>
      <w:rFonts w:eastAsiaTheme="minorEastAsia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A27"/>
    <w:pPr>
      <w:keepNext/>
      <w:spacing w:before="240" w:line="480" w:lineRule="auto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A27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A27"/>
    <w:pPr>
      <w:keepNext/>
      <w:spacing w:before="1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A27"/>
    <w:rPr>
      <w:rFonts w:eastAsiaTheme="minorEastAsia"/>
      <w:b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15A27"/>
    <w:rPr>
      <w:rFonts w:eastAsiaTheme="minorEastAsia"/>
      <w:b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15A27"/>
    <w:rPr>
      <w:rFonts w:eastAsiaTheme="minorEastAsia"/>
      <w:i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15A2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A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A27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15A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A27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A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27"/>
    <w:rPr>
      <w:rFonts w:ascii="Tahoma" w:eastAsiaTheme="minorEastAsia" w:hAnsi="Tahoma" w:cs="Tahoma"/>
      <w:sz w:val="16"/>
      <w:szCs w:val="1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15A27"/>
    <w:pPr>
      <w:spacing w:after="120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5A27"/>
    <w:rPr>
      <w:rFonts w:eastAsiaTheme="minorEastAsia"/>
      <w:b/>
      <w:sz w:val="32"/>
      <w:szCs w:val="32"/>
      <w:lang w:eastAsia="en-GB"/>
    </w:rPr>
  </w:style>
  <w:style w:type="paragraph" w:customStyle="1" w:styleId="Callout">
    <w:name w:val="Call out"/>
    <w:basedOn w:val="Normal"/>
    <w:link w:val="CalloutChar"/>
    <w:qFormat/>
    <w:rsid w:val="00915A27"/>
    <w:pPr>
      <w:pBdr>
        <w:top w:val="single" w:sz="4" w:space="1" w:color="auto"/>
        <w:bottom w:val="single" w:sz="4" w:space="1" w:color="auto"/>
      </w:pBdr>
      <w:spacing w:before="120" w:after="120" w:line="240" w:lineRule="auto"/>
      <w:jc w:val="center"/>
    </w:pPr>
    <w:rPr>
      <w:i/>
    </w:rPr>
  </w:style>
  <w:style w:type="paragraph" w:styleId="ListParagraph">
    <w:name w:val="List Paragraph"/>
    <w:basedOn w:val="Normal"/>
    <w:link w:val="ListParagraphChar"/>
    <w:uiPriority w:val="34"/>
    <w:qFormat/>
    <w:rsid w:val="00915A27"/>
    <w:pPr>
      <w:numPr>
        <w:numId w:val="3"/>
      </w:numPr>
      <w:contextualSpacing/>
    </w:pPr>
  </w:style>
  <w:style w:type="character" w:customStyle="1" w:styleId="CalloutChar">
    <w:name w:val="Call out Char"/>
    <w:basedOn w:val="DefaultParagraphFont"/>
    <w:link w:val="Callout"/>
    <w:rsid w:val="00915A27"/>
    <w:rPr>
      <w:rFonts w:eastAsiaTheme="minorEastAsia"/>
      <w:i/>
      <w:sz w:val="24"/>
      <w:szCs w:val="24"/>
      <w:lang w:eastAsia="en-GB"/>
    </w:rPr>
  </w:style>
  <w:style w:type="paragraph" w:customStyle="1" w:styleId="References">
    <w:name w:val="References"/>
    <w:basedOn w:val="ListParagraph"/>
    <w:link w:val="ReferencesChar"/>
    <w:qFormat/>
    <w:rsid w:val="00915A27"/>
    <w:pPr>
      <w:numPr>
        <w:numId w:val="1"/>
      </w:numPr>
      <w:ind w:left="426" w:hanging="426"/>
    </w:pPr>
  </w:style>
  <w:style w:type="paragraph" w:styleId="Caption">
    <w:name w:val="caption"/>
    <w:basedOn w:val="Normal"/>
    <w:next w:val="Normal"/>
    <w:uiPriority w:val="35"/>
    <w:unhideWhenUsed/>
    <w:qFormat/>
    <w:rsid w:val="00915A27"/>
    <w:pPr>
      <w:keepNext/>
      <w:spacing w:before="120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5A27"/>
    <w:rPr>
      <w:rFonts w:eastAsiaTheme="minorEastAsia"/>
      <w:sz w:val="24"/>
      <w:szCs w:val="24"/>
      <w:lang w:eastAsia="en-GB"/>
    </w:rPr>
  </w:style>
  <w:style w:type="character" w:customStyle="1" w:styleId="ReferencesChar">
    <w:name w:val="References Char"/>
    <w:basedOn w:val="ListParagraphChar"/>
    <w:link w:val="References"/>
    <w:rsid w:val="00915A27"/>
    <w:rPr>
      <w:rFonts w:eastAsiaTheme="minorEastAsia"/>
      <w:sz w:val="24"/>
      <w:szCs w:val="24"/>
      <w:lang w:eastAsia="en-GB"/>
    </w:rPr>
  </w:style>
  <w:style w:type="paragraph" w:styleId="FootnoteText">
    <w:name w:val="footnote text"/>
    <w:basedOn w:val="Normal"/>
    <w:next w:val="Normal"/>
    <w:link w:val="FootnoteTextChar"/>
    <w:uiPriority w:val="99"/>
    <w:unhideWhenUsed/>
    <w:qFormat/>
    <w:rsid w:val="00915A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A27"/>
    <w:rPr>
      <w:rFonts w:eastAsiaTheme="minorEastAsia"/>
      <w:sz w:val="20"/>
      <w:szCs w:val="20"/>
      <w:lang w:eastAsia="en-GB"/>
    </w:rPr>
  </w:style>
  <w:style w:type="table" w:styleId="LightShading">
    <w:name w:val="Light Shading"/>
    <w:basedOn w:val="TableNormal"/>
    <w:uiPriority w:val="60"/>
    <w:rsid w:val="00915A27"/>
    <w:pPr>
      <w:spacing w:after="0" w:line="240" w:lineRule="auto"/>
    </w:pPr>
    <w:rPr>
      <w:rFonts w:eastAsiaTheme="minorEastAsia"/>
      <w:color w:val="000000" w:themeColor="text1" w:themeShade="BF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Style1">
    <w:name w:val="Style1"/>
    <w:uiPriority w:val="99"/>
    <w:rsid w:val="00915A27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rsid w:val="00915A27"/>
    <w:pPr>
      <w:numPr>
        <w:numId w:val="2"/>
      </w:numPr>
      <w:contextualSpacing/>
    </w:pPr>
  </w:style>
  <w:style w:type="character" w:styleId="Emphasis">
    <w:name w:val="Emphasis"/>
    <w:aliases w:val="Italic"/>
    <w:basedOn w:val="DefaultParagraphFont"/>
    <w:uiPriority w:val="20"/>
    <w:qFormat/>
    <w:rsid w:val="00915A27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915A27"/>
    <w:rPr>
      <w:b/>
      <w:bCs/>
    </w:rPr>
  </w:style>
  <w:style w:type="character" w:customStyle="1" w:styleId="Superscript">
    <w:name w:val="Superscript"/>
    <w:basedOn w:val="DefaultParagraphFont"/>
    <w:uiPriority w:val="1"/>
    <w:qFormat/>
    <w:rsid w:val="00915A27"/>
    <w:rPr>
      <w:caps w:val="0"/>
      <w:smallCaps w:val="0"/>
      <w:strike w:val="0"/>
      <w:dstrike w:val="0"/>
      <w:vanish w:val="0"/>
      <w:vertAlign w:val="superscript"/>
    </w:rPr>
  </w:style>
  <w:style w:type="character" w:customStyle="1" w:styleId="Subscript">
    <w:name w:val="Subscript"/>
    <w:basedOn w:val="DefaultParagraphFont"/>
    <w:uiPriority w:val="1"/>
    <w:qFormat/>
    <w:rsid w:val="00915A27"/>
    <w:rPr>
      <w:caps w:val="0"/>
      <w:smallCaps w:val="0"/>
      <w:strike w:val="0"/>
      <w:dstrike w:val="0"/>
      <w:vanish w:val="0"/>
      <w:vertAlign w:val="subscript"/>
    </w:rPr>
  </w:style>
  <w:style w:type="character" w:styleId="IntenseEmphasis">
    <w:name w:val="Intense Emphasis"/>
    <w:aliases w:val="Bold italic"/>
    <w:basedOn w:val="DefaultParagraphFont"/>
    <w:uiPriority w:val="21"/>
    <w:qFormat/>
    <w:rsid w:val="00915A27"/>
    <w:rPr>
      <w:b/>
      <w:bCs/>
      <w:i/>
      <w:iCs/>
      <w:color w:val="auto"/>
    </w:rPr>
  </w:style>
  <w:style w:type="table" w:styleId="ListTable6Colorful">
    <w:name w:val="List Table 6 Colorful"/>
    <w:basedOn w:val="TableNormal"/>
    <w:uiPriority w:val="51"/>
    <w:rsid w:val="00915A27"/>
    <w:pPr>
      <w:spacing w:after="0" w:line="240" w:lineRule="auto"/>
    </w:pPr>
    <w:rPr>
      <w:rFonts w:eastAsiaTheme="minorEastAsia"/>
      <w:color w:val="000000" w:themeColor="text1"/>
      <w:lang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15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A27"/>
    <w:rPr>
      <w:rFonts w:eastAsiaTheme="minorEastAsia"/>
      <w:sz w:val="20"/>
      <w:szCs w:val="20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915A27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915A27"/>
    <w:rPr>
      <w:rFonts w:ascii="Times New Roman" w:eastAsiaTheme="minorEastAsia" w:hAnsi="Times New Roman" w:cs="Times New Roman"/>
      <w:noProof/>
      <w:sz w:val="24"/>
      <w:szCs w:val="24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915A27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915A27"/>
    <w:rPr>
      <w:rFonts w:ascii="Times New Roman" w:eastAsiaTheme="minorEastAsia" w:hAnsi="Times New Roman" w:cs="Times New Roman"/>
      <w:noProof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15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A2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27"/>
    <w:rPr>
      <w:rFonts w:eastAsiaTheme="minorEastAsia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915A2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1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Light">
    <w:name w:val="Grid Table Light"/>
    <w:basedOn w:val="TableNormal"/>
    <w:uiPriority w:val="40"/>
    <w:rsid w:val="00915A27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15A27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15A27"/>
  </w:style>
  <w:style w:type="table" w:styleId="PlainTable2">
    <w:name w:val="Plain Table 2"/>
    <w:basedOn w:val="TableNormal"/>
    <w:uiPriority w:val="42"/>
    <w:rsid w:val="00915A27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915A27"/>
  </w:style>
  <w:style w:type="paragraph" w:customStyle="1" w:styleId="Heading11">
    <w:name w:val="Heading 11"/>
    <w:basedOn w:val="Normal"/>
    <w:next w:val="Normal"/>
    <w:uiPriority w:val="9"/>
    <w:qFormat/>
    <w:rsid w:val="00915A27"/>
    <w:pPr>
      <w:keepNext/>
      <w:spacing w:before="240" w:line="480" w:lineRule="auto"/>
      <w:outlineLvl w:val="0"/>
    </w:pPr>
    <w:rPr>
      <w:rFonts w:eastAsia="Times New Roman"/>
      <w:b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15A27"/>
    <w:pPr>
      <w:spacing w:before="120"/>
      <w:outlineLvl w:val="1"/>
    </w:pPr>
    <w:rPr>
      <w:rFonts w:eastAsia="Times New Roman"/>
      <w:b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915A27"/>
    <w:pPr>
      <w:keepNext/>
      <w:spacing w:before="120"/>
      <w:outlineLvl w:val="2"/>
    </w:pPr>
    <w:rPr>
      <w:rFonts w:eastAsia="Times New Roman"/>
      <w:i/>
    </w:rPr>
  </w:style>
  <w:style w:type="numbering" w:customStyle="1" w:styleId="NoList11">
    <w:name w:val="No List11"/>
    <w:next w:val="NoList"/>
    <w:uiPriority w:val="99"/>
    <w:semiHidden/>
    <w:unhideWhenUsed/>
    <w:rsid w:val="00915A27"/>
  </w:style>
  <w:style w:type="table" w:customStyle="1" w:styleId="TableGrid1">
    <w:name w:val="Table Grid1"/>
    <w:basedOn w:val="TableNormal"/>
    <w:next w:val="TableGrid"/>
    <w:uiPriority w:val="39"/>
    <w:rsid w:val="00915A27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uiPriority w:val="99"/>
    <w:unhideWhenUsed/>
    <w:rsid w:val="00915A27"/>
    <w:pPr>
      <w:tabs>
        <w:tab w:val="center" w:pos="4513"/>
        <w:tab w:val="right" w:pos="9026"/>
      </w:tabs>
      <w:spacing w:line="240" w:lineRule="auto"/>
    </w:pPr>
    <w:rPr>
      <w:rFonts w:eastAsia="Calibri"/>
      <w:lang w:eastAsia="en-US"/>
    </w:rPr>
  </w:style>
  <w:style w:type="paragraph" w:customStyle="1" w:styleId="Footer1">
    <w:name w:val="Footer1"/>
    <w:basedOn w:val="Normal"/>
    <w:next w:val="Footer"/>
    <w:uiPriority w:val="99"/>
    <w:unhideWhenUsed/>
    <w:rsid w:val="00915A27"/>
    <w:pPr>
      <w:tabs>
        <w:tab w:val="center" w:pos="4513"/>
        <w:tab w:val="right" w:pos="9026"/>
      </w:tabs>
      <w:spacing w:line="240" w:lineRule="auto"/>
    </w:pPr>
    <w:rPr>
      <w:rFonts w:eastAsia="Calibri"/>
      <w:lang w:eastAsia="en-US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915A27"/>
    <w:pPr>
      <w:spacing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Title1">
    <w:name w:val="Title1"/>
    <w:basedOn w:val="Normal"/>
    <w:next w:val="Normal"/>
    <w:uiPriority w:val="10"/>
    <w:qFormat/>
    <w:rsid w:val="00915A27"/>
    <w:pPr>
      <w:spacing w:after="120"/>
    </w:pPr>
    <w:rPr>
      <w:rFonts w:eastAsia="Times New Roman"/>
      <w:b/>
      <w:sz w:val="32"/>
      <w:szCs w:val="32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915A27"/>
    <w:pPr>
      <w:ind w:left="357" w:hanging="357"/>
      <w:contextualSpacing/>
    </w:pPr>
    <w:rPr>
      <w:rFonts w:eastAsia="Times New Roman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915A27"/>
    <w:pPr>
      <w:keepNext/>
      <w:spacing w:before="120"/>
    </w:pPr>
    <w:rPr>
      <w:rFonts w:eastAsia="Times New Roman"/>
      <w:b/>
      <w:bCs/>
    </w:rPr>
  </w:style>
  <w:style w:type="paragraph" w:customStyle="1" w:styleId="FootnoteText1">
    <w:name w:val="Footnote Text1"/>
    <w:basedOn w:val="Normal"/>
    <w:next w:val="Normal"/>
    <w:uiPriority w:val="99"/>
    <w:unhideWhenUsed/>
    <w:qFormat/>
    <w:rsid w:val="00915A27"/>
    <w:rPr>
      <w:rFonts w:eastAsia="Times New Roman"/>
      <w:sz w:val="20"/>
      <w:szCs w:val="20"/>
    </w:rPr>
  </w:style>
  <w:style w:type="table" w:customStyle="1" w:styleId="LightShading1">
    <w:name w:val="Light Shading1"/>
    <w:basedOn w:val="TableNormal"/>
    <w:next w:val="LightShading"/>
    <w:uiPriority w:val="60"/>
    <w:rsid w:val="00915A27"/>
    <w:pPr>
      <w:spacing w:after="0" w:line="240" w:lineRule="auto"/>
    </w:pPr>
    <w:rPr>
      <w:rFonts w:eastAsia="Times New Roman"/>
      <w:color w:val="000000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Style11">
    <w:name w:val="Style11"/>
    <w:uiPriority w:val="99"/>
    <w:rsid w:val="00915A27"/>
  </w:style>
  <w:style w:type="paragraph" w:customStyle="1" w:styleId="ListBullet1">
    <w:name w:val="List Bullet1"/>
    <w:basedOn w:val="Normal"/>
    <w:next w:val="ListBullet"/>
    <w:uiPriority w:val="99"/>
    <w:unhideWhenUsed/>
    <w:rsid w:val="00915A27"/>
    <w:pPr>
      <w:tabs>
        <w:tab w:val="num" w:pos="360"/>
      </w:tabs>
      <w:ind w:left="360" w:hanging="360"/>
      <w:contextualSpacing/>
    </w:pPr>
    <w:rPr>
      <w:rFonts w:eastAsia="Times New Roman"/>
    </w:rPr>
  </w:style>
  <w:style w:type="table" w:customStyle="1" w:styleId="ListTable6Colorful1">
    <w:name w:val="List Table 6 Colorful1"/>
    <w:basedOn w:val="TableNormal"/>
    <w:next w:val="ListTable6Colorful"/>
    <w:uiPriority w:val="51"/>
    <w:rsid w:val="00915A27"/>
    <w:pPr>
      <w:spacing w:after="0" w:line="240" w:lineRule="auto"/>
    </w:pPr>
    <w:rPr>
      <w:rFonts w:eastAsia="Times New Roman"/>
      <w:color w:val="000000"/>
      <w:lang w:eastAsia="en-GB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CommentText1">
    <w:name w:val="Comment Text1"/>
    <w:basedOn w:val="Normal"/>
    <w:next w:val="CommentText"/>
    <w:uiPriority w:val="99"/>
    <w:unhideWhenUsed/>
    <w:rsid w:val="00915A27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Hyperlink1">
    <w:name w:val="Hyperlink1"/>
    <w:basedOn w:val="DefaultParagraphFont"/>
    <w:uiPriority w:val="99"/>
    <w:unhideWhenUsed/>
    <w:rsid w:val="00915A27"/>
    <w:rPr>
      <w:color w:val="00AEEF"/>
      <w:u w:val="single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915A27"/>
    <w:rPr>
      <w:rFonts w:eastAsia="Times New Roman"/>
      <w:b/>
      <w:bCs/>
    </w:rPr>
  </w:style>
  <w:style w:type="paragraph" w:customStyle="1" w:styleId="Revision1">
    <w:name w:val="Revision1"/>
    <w:next w:val="Revision"/>
    <w:hidden/>
    <w:uiPriority w:val="99"/>
    <w:semiHidden/>
    <w:rsid w:val="00915A27"/>
    <w:pPr>
      <w:spacing w:after="0" w:line="240" w:lineRule="auto"/>
    </w:pPr>
    <w:rPr>
      <w:rFonts w:eastAsia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next w:val="TableGridLight"/>
    <w:uiPriority w:val="40"/>
    <w:rsid w:val="00915A27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15A27"/>
    <w:rPr>
      <w:color w:val="DFDFDF"/>
      <w:u w:val="single"/>
    </w:rPr>
  </w:style>
  <w:style w:type="table" w:customStyle="1" w:styleId="PlainTable21">
    <w:name w:val="Plain Table 21"/>
    <w:basedOn w:val="TableNormal"/>
    <w:next w:val="PlainTable2"/>
    <w:uiPriority w:val="42"/>
    <w:rsid w:val="00915A27"/>
    <w:pPr>
      <w:spacing w:after="0" w:line="240" w:lineRule="auto"/>
    </w:pPr>
    <w:rPr>
      <w:rFonts w:eastAsia="Times New Roman"/>
      <w:lang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1">
    <w:name w:val="Heading 1 Char1"/>
    <w:basedOn w:val="DefaultParagraphFont"/>
    <w:uiPriority w:val="9"/>
    <w:rsid w:val="00915A2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915A27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915A27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915A2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semiHidden/>
    <w:rsid w:val="00915A27"/>
  </w:style>
  <w:style w:type="character" w:customStyle="1" w:styleId="FooterChar1">
    <w:name w:val="Footer Char1"/>
    <w:basedOn w:val="DefaultParagraphFont"/>
    <w:uiPriority w:val="99"/>
    <w:semiHidden/>
    <w:rsid w:val="00915A27"/>
  </w:style>
  <w:style w:type="character" w:customStyle="1" w:styleId="BalloonTextChar1">
    <w:name w:val="Balloon Text Char1"/>
    <w:basedOn w:val="DefaultParagraphFont"/>
    <w:uiPriority w:val="99"/>
    <w:semiHidden/>
    <w:rsid w:val="00915A27"/>
    <w:rPr>
      <w:rFonts w:ascii="Segoe UI" w:hAnsi="Segoe UI" w:cs="Segoe UI"/>
      <w:sz w:val="18"/>
      <w:szCs w:val="18"/>
    </w:rPr>
  </w:style>
  <w:style w:type="character" w:customStyle="1" w:styleId="TitleChar1">
    <w:name w:val="Title Char1"/>
    <w:basedOn w:val="DefaultParagraphFont"/>
    <w:uiPriority w:val="10"/>
    <w:rsid w:val="00915A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otnoteTextChar1">
    <w:name w:val="Footnote Text Char1"/>
    <w:basedOn w:val="DefaultParagraphFont"/>
    <w:uiPriority w:val="99"/>
    <w:semiHidden/>
    <w:rsid w:val="00915A27"/>
    <w:rPr>
      <w:sz w:val="20"/>
      <w:szCs w:val="20"/>
    </w:rPr>
  </w:style>
  <w:style w:type="table" w:customStyle="1" w:styleId="LightShading2">
    <w:name w:val="Light Shading2"/>
    <w:basedOn w:val="TableNormal"/>
    <w:next w:val="LightShading"/>
    <w:uiPriority w:val="60"/>
    <w:semiHidden/>
    <w:unhideWhenUsed/>
    <w:rsid w:val="00915A27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Table6Colorful2">
    <w:name w:val="List Table 6 Colorful2"/>
    <w:basedOn w:val="TableNormal"/>
    <w:next w:val="ListTable6Colorful"/>
    <w:uiPriority w:val="51"/>
    <w:rsid w:val="00915A27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CommentTextChar1">
    <w:name w:val="Comment Text Char1"/>
    <w:basedOn w:val="DefaultParagraphFont"/>
    <w:uiPriority w:val="99"/>
    <w:semiHidden/>
    <w:rsid w:val="00915A2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915A27"/>
    <w:rPr>
      <w:b/>
      <w:bCs/>
      <w:sz w:val="20"/>
      <w:szCs w:val="20"/>
    </w:rPr>
  </w:style>
  <w:style w:type="table" w:customStyle="1" w:styleId="PlainTable22">
    <w:name w:val="Plain Table 22"/>
    <w:basedOn w:val="TableNormal"/>
    <w:next w:val="PlainTable2"/>
    <w:uiPriority w:val="42"/>
    <w:rsid w:val="00915A27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2107</Words>
  <Characters>12015</Characters>
  <Application>Microsoft Office Word</Application>
  <DocSecurity>0</DocSecurity>
  <Lines>100</Lines>
  <Paragraphs>28</Paragraphs>
  <ScaleCrop>false</ScaleCrop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PharmaGenesis London</dc:creator>
  <cp:keywords/>
  <dc:description/>
  <cp:lastModifiedBy>Patel, Sonam Kajal</cp:lastModifiedBy>
  <cp:revision>5</cp:revision>
  <dcterms:created xsi:type="dcterms:W3CDTF">2020-12-08T09:30:00Z</dcterms:created>
  <dcterms:modified xsi:type="dcterms:W3CDTF">2020-12-16T19:25:00Z</dcterms:modified>
</cp:coreProperties>
</file>