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24" w:rsidRDefault="00851D24" w:rsidP="00851D24">
      <w:pPr>
        <w:spacing w:after="240" w:line="480" w:lineRule="auto"/>
      </w:pPr>
      <w:r w:rsidRPr="00745E1F">
        <w:rPr>
          <w:b/>
        </w:rPr>
        <w:t>Supplementary Figure S1</w:t>
      </w:r>
      <w:r w:rsidRPr="00AB221C">
        <w:t xml:space="preserve"> Comparison of threshold criterion to identify network edges between agglomerative gene nodes based on granular transcript isoform input across data sets for the circadian rhythm and Toll-like receptor pathways. Threshold range from a minimum of 45% to 70% of possible edges between tra</w:t>
      </w:r>
      <w:r>
        <w:t>nscript isoforms and gene nodes.</w:t>
      </w:r>
    </w:p>
    <w:p w:rsidR="00851D24" w:rsidRPr="00A736C2" w:rsidRDefault="00851D24" w:rsidP="00851D24">
      <w:pPr>
        <w:spacing w:after="240" w:line="480" w:lineRule="auto"/>
      </w:pPr>
      <w:proofErr w:type="gramStart"/>
      <w:r>
        <w:rPr>
          <w:b/>
        </w:rPr>
        <w:t>Supplementary Table S1</w:t>
      </w:r>
      <w:bookmarkStart w:id="0" w:name="_GoBack"/>
      <w:bookmarkEnd w:id="0"/>
      <w:r>
        <w:t xml:space="preserve">  A)  Paralog gene gr</w:t>
      </w:r>
      <w:r w:rsidRPr="00DA1C3B">
        <w:t>oup annotation for genes in the Circadian Rhythm and Toll-li</w:t>
      </w:r>
      <w:r>
        <w:t xml:space="preserve">ke receptor signaling pathways; B) </w:t>
      </w:r>
      <w:r w:rsidRPr="00DA1C3B">
        <w:t>Compar</w:t>
      </w:r>
      <w:r>
        <w:t>i</w:t>
      </w:r>
      <w:r w:rsidRPr="00DA1C3B">
        <w:t xml:space="preserve">son of reads quantification between </w:t>
      </w:r>
      <w:r>
        <w:t xml:space="preserve">the </w:t>
      </w:r>
      <w:r w:rsidRPr="00DA1C3B">
        <w:t xml:space="preserve">mapping-free method </w:t>
      </w:r>
      <w:r>
        <w:t xml:space="preserve">(Zhang et al., 2019), </w:t>
      </w:r>
      <w:r w:rsidRPr="00DA1C3B">
        <w:t xml:space="preserve">and </w:t>
      </w:r>
      <w:r>
        <w:t>the mapping-dependent method presented in this</w:t>
      </w:r>
      <w:r w:rsidRPr="00DA1C3B">
        <w:t xml:space="preserve"> study)</w:t>
      </w:r>
      <w:r>
        <w:t xml:space="preserve">;  C) </w:t>
      </w:r>
      <w:r w:rsidRPr="00DA1C3B">
        <w:t xml:space="preserve">Pairwise comparison of expression level for </w:t>
      </w:r>
      <w:r>
        <w:t>the Circadian R</w:t>
      </w:r>
      <w:r w:rsidRPr="00DA1C3B">
        <w:t xml:space="preserve">hythm pathway genes within </w:t>
      </w:r>
      <w:r>
        <w:t xml:space="preserve">each of </w:t>
      </w:r>
      <w:r w:rsidRPr="00DA1C3B">
        <w:t xml:space="preserve">the four </w:t>
      </w:r>
      <w:r>
        <w:t>data set</w:t>
      </w:r>
      <w:r w:rsidRPr="00DA1C3B">
        <w:t>s</w:t>
      </w:r>
      <w:r>
        <w:t xml:space="preserve"> studied; D) </w:t>
      </w:r>
      <w:r w:rsidRPr="00DA1C3B">
        <w:t xml:space="preserve">Pairwise comparison of the expression level for </w:t>
      </w:r>
      <w:r>
        <w:t>the Toll-like R</w:t>
      </w:r>
      <w:r w:rsidRPr="00DA1C3B">
        <w:t>eceptor pathway genes within ea</w:t>
      </w:r>
      <w:r>
        <w:t xml:space="preserve">ch of the four data sets studied; E) </w:t>
      </w:r>
      <w:r w:rsidRPr="00DA1C3B">
        <w:t>Extended list of genes from the Circadian Rhythm and Toll-like Receptor pathways exhibiting differential alternative splicing ( P-value &lt; 0.05) between opioid-induced hyperalgesia (OIH) and Vehicle (CON) mice in the nucleus accumbens (NA)</w:t>
      </w:r>
      <w:r>
        <w:t xml:space="preserve">.; F) </w:t>
      </w:r>
      <w:r w:rsidRPr="003E0C86">
        <w:t>Extended list of genes from the Circadian Rhythm and Toll-like Receptor pathways exhibiting differential alternative splicing ( P-value &lt; 0.05) between opioid-induced hyperalgesia (OIH) and Vehicle (CON) mice in the trigeminal ganglia (TG)</w:t>
      </w:r>
      <w:r>
        <w:t>; G) E</w:t>
      </w:r>
      <w:r w:rsidRPr="008353E5">
        <w:t xml:space="preserve">xpression of </w:t>
      </w:r>
      <w:r>
        <w:t xml:space="preserve">the </w:t>
      </w:r>
      <w:r w:rsidRPr="008353E5">
        <w:t>Circadian Rhythm pathway</w:t>
      </w:r>
      <w:r>
        <w:t xml:space="preserve"> genes</w:t>
      </w:r>
      <w:r w:rsidRPr="008353E5">
        <w:t xml:space="preserve"> quantified as Transcripts Per </w:t>
      </w:r>
      <w:proofErr w:type="spellStart"/>
      <w:r w:rsidRPr="008353E5">
        <w:t>Kilobase</w:t>
      </w:r>
      <w:proofErr w:type="spellEnd"/>
      <w:r w:rsidRPr="008353E5">
        <w:t xml:space="preserve"> Million</w:t>
      </w:r>
      <w:r>
        <w:t xml:space="preserve">; </w:t>
      </w:r>
      <w:r w:rsidRPr="008353E5">
        <w:t>H</w:t>
      </w:r>
      <w:r>
        <w:t xml:space="preserve">) </w:t>
      </w:r>
      <w:r w:rsidRPr="008353E5">
        <w:t>Expression of the Toll-like Receptor pathway genes quantified as T</w:t>
      </w:r>
      <w:r>
        <w:t xml:space="preserve">ranscripts Per </w:t>
      </w:r>
      <w:proofErr w:type="spellStart"/>
      <w:r>
        <w:t>Kilobase</w:t>
      </w:r>
      <w:proofErr w:type="spellEnd"/>
      <w:r>
        <w:t xml:space="preserve"> Million.</w:t>
      </w:r>
      <w:proofErr w:type="gramEnd"/>
    </w:p>
    <w:p w:rsidR="00FD3B97" w:rsidRDefault="00851D24"/>
    <w:sectPr w:rsidR="00FD3B97" w:rsidSect="009176E5">
      <w:headerReference w:type="default" r:id="rId4"/>
      <w:pgSz w:w="12240" w:h="15840"/>
      <w:pgMar w:top="1701" w:right="1701" w:bottom="1701" w:left="1701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712280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1FBD" w:rsidRDefault="00851D2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1FBD" w:rsidRDefault="00851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24"/>
    <w:rsid w:val="00242466"/>
    <w:rsid w:val="00440115"/>
    <w:rsid w:val="0045716B"/>
    <w:rsid w:val="004C3655"/>
    <w:rsid w:val="005A39FC"/>
    <w:rsid w:val="00851D24"/>
    <w:rsid w:val="00AE2117"/>
    <w:rsid w:val="00C10D90"/>
    <w:rsid w:val="00C27A58"/>
    <w:rsid w:val="00EA2669"/>
    <w:rsid w:val="00F65805"/>
    <w:rsid w:val="00FB21E1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5997B"/>
  <w15:chartTrackingRefBased/>
  <w15:docId w15:val="{2F223A3C-3062-4BD9-88E4-56D6DC1B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D24"/>
    <w:pPr>
      <w:tabs>
        <w:tab w:val="center" w:pos="4680"/>
        <w:tab w:val="right" w:pos="9360"/>
      </w:tabs>
    </w:pPr>
    <w:rPr>
      <w:rFonts w:asciiTheme="minorHAnsi" w:eastAsia="SimSun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51D24"/>
    <w:rPr>
      <w:rFonts w:eastAsia="SimSun"/>
    </w:rPr>
  </w:style>
  <w:style w:type="character" w:styleId="LineNumber">
    <w:name w:val="line number"/>
    <w:basedOn w:val="DefaultParagraphFont"/>
    <w:uiPriority w:val="99"/>
    <w:semiHidden/>
    <w:unhideWhenUsed/>
    <w:rsid w:val="00851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Zas, Sandra Luisa</dc:creator>
  <cp:keywords/>
  <dc:description/>
  <cp:lastModifiedBy>Rodriguez Zas, Sandra Luisa</cp:lastModifiedBy>
  <cp:revision>1</cp:revision>
  <dcterms:created xsi:type="dcterms:W3CDTF">2020-12-09T14:43:00Z</dcterms:created>
  <dcterms:modified xsi:type="dcterms:W3CDTF">2020-12-09T14:44:00Z</dcterms:modified>
</cp:coreProperties>
</file>