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7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620"/>
        <w:gridCol w:w="1440"/>
        <w:gridCol w:w="1584"/>
      </w:tblGrid>
      <w:tr w:rsidR="00FF119A" w:rsidRPr="000C0D95" w14:paraId="0F7AF06C" w14:textId="77777777" w:rsidTr="001D41FC">
        <w:trPr>
          <w:trHeight w:val="530"/>
        </w:trPr>
        <w:tc>
          <w:tcPr>
            <w:tcW w:w="9679" w:type="dxa"/>
            <w:gridSpan w:val="4"/>
            <w:tcBorders>
              <w:top w:val="nil"/>
            </w:tcBorders>
          </w:tcPr>
          <w:p w14:paraId="1D010FE5" w14:textId="5F1E75EA" w:rsidR="003A1B6B" w:rsidRDefault="003A1B6B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Supplementary material</w:t>
            </w:r>
          </w:p>
          <w:p w14:paraId="539580AE" w14:textId="4CCB987C" w:rsidR="003A1B6B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FCC76A" w14:textId="15D44BC7" w:rsidR="00FF119A" w:rsidRPr="000C0D95" w:rsidRDefault="003A1B6B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 S1: </w:t>
            </w:r>
            <w:r w:rsidR="00FF119A" w:rsidRPr="000C0D95">
              <w:rPr>
                <w:rFonts w:ascii="Arial" w:hAnsi="Arial" w:cs="Arial"/>
                <w:sz w:val="24"/>
                <w:szCs w:val="24"/>
              </w:rPr>
              <w:t>General knowledge quiz</w:t>
            </w:r>
          </w:p>
        </w:tc>
      </w:tr>
      <w:tr w:rsidR="00FF119A" w:rsidRPr="000C0D95" w14:paraId="072F8EEC" w14:textId="77777777" w:rsidTr="001D41FC">
        <w:trPr>
          <w:trHeight w:val="260"/>
        </w:trPr>
        <w:tc>
          <w:tcPr>
            <w:tcW w:w="5035" w:type="dxa"/>
            <w:vAlign w:val="center"/>
          </w:tcPr>
          <w:p w14:paraId="7A661A93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Statements</w:t>
            </w:r>
          </w:p>
        </w:tc>
        <w:tc>
          <w:tcPr>
            <w:tcW w:w="1620" w:type="dxa"/>
          </w:tcPr>
          <w:p w14:paraId="3A167436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True</w:t>
            </w:r>
          </w:p>
        </w:tc>
        <w:tc>
          <w:tcPr>
            <w:tcW w:w="1440" w:type="dxa"/>
          </w:tcPr>
          <w:p w14:paraId="0A750A5F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False</w:t>
            </w:r>
          </w:p>
        </w:tc>
        <w:tc>
          <w:tcPr>
            <w:tcW w:w="1584" w:type="dxa"/>
          </w:tcPr>
          <w:p w14:paraId="471B8E51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Do not know</w:t>
            </w:r>
          </w:p>
        </w:tc>
      </w:tr>
      <w:tr w:rsidR="00FF119A" w:rsidRPr="000C0D95" w14:paraId="699A1275" w14:textId="77777777" w:rsidTr="001D41FC">
        <w:trPr>
          <w:trHeight w:val="665"/>
        </w:trPr>
        <w:tc>
          <w:tcPr>
            <w:tcW w:w="5035" w:type="dxa"/>
          </w:tcPr>
          <w:p w14:paraId="468AB0E0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Fibromyalgia is characterized by widespread musculoskeletal pain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51B0639B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104 (88.1%)</w:t>
            </w:r>
          </w:p>
        </w:tc>
        <w:tc>
          <w:tcPr>
            <w:tcW w:w="1440" w:type="dxa"/>
          </w:tcPr>
          <w:p w14:paraId="76EA102A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5 (4.2%)</w:t>
            </w:r>
          </w:p>
        </w:tc>
        <w:tc>
          <w:tcPr>
            <w:tcW w:w="1584" w:type="dxa"/>
          </w:tcPr>
          <w:p w14:paraId="0C7B19D1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9 (7.6%)</w:t>
            </w:r>
          </w:p>
        </w:tc>
      </w:tr>
      <w:tr w:rsidR="00FF119A" w:rsidRPr="000C0D95" w14:paraId="6B145646" w14:textId="77777777" w:rsidTr="001D41FC">
        <w:trPr>
          <w:trHeight w:val="449"/>
        </w:trPr>
        <w:tc>
          <w:tcPr>
            <w:tcW w:w="5035" w:type="dxa"/>
          </w:tcPr>
          <w:p w14:paraId="56C300CC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Fibromyalgia is an inflammatory joint disease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12027A56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19 (16.1%)</w:t>
            </w:r>
          </w:p>
        </w:tc>
        <w:tc>
          <w:tcPr>
            <w:tcW w:w="1440" w:type="dxa"/>
          </w:tcPr>
          <w:p w14:paraId="041C021F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87 (73.7%)</w:t>
            </w:r>
          </w:p>
        </w:tc>
        <w:tc>
          <w:tcPr>
            <w:tcW w:w="1584" w:type="dxa"/>
          </w:tcPr>
          <w:p w14:paraId="418A20AD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12 (10.2%)</w:t>
            </w:r>
          </w:p>
        </w:tc>
      </w:tr>
      <w:tr w:rsidR="00FF119A" w:rsidRPr="000C0D95" w14:paraId="0A1959B7" w14:textId="77777777" w:rsidTr="001D41FC">
        <w:trPr>
          <w:trHeight w:val="692"/>
        </w:trPr>
        <w:tc>
          <w:tcPr>
            <w:tcW w:w="5035" w:type="dxa"/>
          </w:tcPr>
          <w:p w14:paraId="063EBBF0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Fibromyalgia is an objectively defined condition (i.e., not a diagnosis of exclusion)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2FBC8715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44 (37.3%)</w:t>
            </w:r>
          </w:p>
        </w:tc>
        <w:tc>
          <w:tcPr>
            <w:tcW w:w="1440" w:type="dxa"/>
          </w:tcPr>
          <w:p w14:paraId="6E970080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34 (28.8%)</w:t>
            </w:r>
          </w:p>
        </w:tc>
        <w:tc>
          <w:tcPr>
            <w:tcW w:w="1584" w:type="dxa"/>
          </w:tcPr>
          <w:p w14:paraId="31FB2078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40 (33.9%)</w:t>
            </w:r>
          </w:p>
        </w:tc>
      </w:tr>
      <w:tr w:rsidR="00FF119A" w:rsidRPr="000C0D95" w14:paraId="45D63D20" w14:textId="77777777" w:rsidTr="001D41FC">
        <w:trPr>
          <w:trHeight w:val="530"/>
        </w:trPr>
        <w:tc>
          <w:tcPr>
            <w:tcW w:w="5035" w:type="dxa"/>
          </w:tcPr>
          <w:p w14:paraId="099364DA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Fibromyalgia is seen equally in females and males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7690A87A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23 (19.5%)</w:t>
            </w:r>
          </w:p>
        </w:tc>
        <w:tc>
          <w:tcPr>
            <w:tcW w:w="1440" w:type="dxa"/>
          </w:tcPr>
          <w:p w14:paraId="269C53BF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67 (56.8%)</w:t>
            </w:r>
          </w:p>
        </w:tc>
        <w:tc>
          <w:tcPr>
            <w:tcW w:w="1584" w:type="dxa"/>
          </w:tcPr>
          <w:p w14:paraId="564590F0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28 (23.7%)</w:t>
            </w:r>
          </w:p>
        </w:tc>
      </w:tr>
      <w:tr w:rsidR="00FF119A" w:rsidRPr="000C0D95" w14:paraId="0C67AE67" w14:textId="77777777" w:rsidTr="001D41FC">
        <w:trPr>
          <w:trHeight w:val="449"/>
        </w:trPr>
        <w:tc>
          <w:tcPr>
            <w:tcW w:w="5035" w:type="dxa"/>
          </w:tcPr>
          <w:p w14:paraId="46F3CAB8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Fibromyalgia causes deformities in joints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11B4C35F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22 (18.6%)</w:t>
            </w:r>
          </w:p>
        </w:tc>
        <w:tc>
          <w:tcPr>
            <w:tcW w:w="1440" w:type="dxa"/>
          </w:tcPr>
          <w:p w14:paraId="5EB7D4C6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78 (66.1%)</w:t>
            </w:r>
          </w:p>
        </w:tc>
        <w:tc>
          <w:tcPr>
            <w:tcW w:w="1584" w:type="dxa"/>
          </w:tcPr>
          <w:p w14:paraId="4D6A91C9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18 (15.3%)</w:t>
            </w:r>
          </w:p>
        </w:tc>
      </w:tr>
      <w:tr w:rsidR="00FF119A" w:rsidRPr="000C0D95" w14:paraId="4DE7A939" w14:textId="77777777" w:rsidTr="001D41FC">
        <w:trPr>
          <w:trHeight w:val="575"/>
        </w:trPr>
        <w:tc>
          <w:tcPr>
            <w:tcW w:w="5035" w:type="dxa"/>
          </w:tcPr>
          <w:p w14:paraId="009A6BDB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Fibromyalgia may cause forgetfulness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difficulty </w:t>
            </w:r>
            <w:r w:rsidRPr="000C0D95">
              <w:rPr>
                <w:rFonts w:ascii="Arial" w:hAnsi="Arial" w:cs="Arial"/>
                <w:sz w:val="24"/>
                <w:szCs w:val="24"/>
              </w:rPr>
              <w:t>concentrat</w:t>
            </w:r>
            <w:r>
              <w:rPr>
                <w:rFonts w:ascii="Arial" w:hAnsi="Arial" w:cs="Arial"/>
                <w:sz w:val="24"/>
                <w:szCs w:val="24"/>
              </w:rPr>
              <w:t>ing.</w:t>
            </w:r>
          </w:p>
        </w:tc>
        <w:tc>
          <w:tcPr>
            <w:tcW w:w="1620" w:type="dxa"/>
          </w:tcPr>
          <w:p w14:paraId="3F285A25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62 (52.5%)</w:t>
            </w:r>
          </w:p>
        </w:tc>
        <w:tc>
          <w:tcPr>
            <w:tcW w:w="1440" w:type="dxa"/>
          </w:tcPr>
          <w:p w14:paraId="0A171004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24 (20.3%)</w:t>
            </w:r>
          </w:p>
        </w:tc>
        <w:tc>
          <w:tcPr>
            <w:tcW w:w="1584" w:type="dxa"/>
          </w:tcPr>
          <w:p w14:paraId="31CE2ED7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32 (27.1%)</w:t>
            </w:r>
          </w:p>
        </w:tc>
      </w:tr>
      <w:tr w:rsidR="00FF119A" w:rsidRPr="000C0D95" w14:paraId="187AA068" w14:textId="77777777" w:rsidTr="001D41FC">
        <w:trPr>
          <w:trHeight w:val="611"/>
        </w:trPr>
        <w:tc>
          <w:tcPr>
            <w:tcW w:w="5035" w:type="dxa"/>
          </w:tcPr>
          <w:p w14:paraId="4B53D59C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 xml:space="preserve">Fibromyalgia is a disease that can be </w:t>
            </w:r>
            <w:r>
              <w:rPr>
                <w:rFonts w:ascii="Arial" w:hAnsi="Arial" w:cs="Arial"/>
                <w:sz w:val="24"/>
                <w:szCs w:val="24"/>
              </w:rPr>
              <w:t>cured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 completely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6A369CB5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22 (18.6%)</w:t>
            </w:r>
          </w:p>
        </w:tc>
        <w:tc>
          <w:tcPr>
            <w:tcW w:w="1440" w:type="dxa"/>
          </w:tcPr>
          <w:p w14:paraId="4C26C031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56 (47.5%)</w:t>
            </w:r>
          </w:p>
        </w:tc>
        <w:tc>
          <w:tcPr>
            <w:tcW w:w="1584" w:type="dxa"/>
          </w:tcPr>
          <w:p w14:paraId="05A7FBFC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40 (33.9%)</w:t>
            </w:r>
          </w:p>
        </w:tc>
      </w:tr>
      <w:tr w:rsidR="00FF119A" w:rsidRPr="000C0D95" w14:paraId="40F27694" w14:textId="77777777" w:rsidTr="001D41FC">
        <w:trPr>
          <w:trHeight w:val="575"/>
        </w:trPr>
        <w:tc>
          <w:tcPr>
            <w:tcW w:w="5035" w:type="dxa"/>
          </w:tcPr>
          <w:p w14:paraId="33686F8D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Sleep disturbance is common in fibromyalgia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488C4FC9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94 (79.7%)</w:t>
            </w:r>
          </w:p>
        </w:tc>
        <w:tc>
          <w:tcPr>
            <w:tcW w:w="1440" w:type="dxa"/>
          </w:tcPr>
          <w:p w14:paraId="49DDAA82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4 (3.4%)</w:t>
            </w:r>
          </w:p>
        </w:tc>
        <w:tc>
          <w:tcPr>
            <w:tcW w:w="1584" w:type="dxa"/>
          </w:tcPr>
          <w:p w14:paraId="57E32AEC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20 (16.9%)</w:t>
            </w:r>
          </w:p>
        </w:tc>
      </w:tr>
      <w:tr w:rsidR="00FF119A" w:rsidRPr="000C0D95" w14:paraId="340E01D7" w14:textId="77777777" w:rsidTr="001D41FC">
        <w:trPr>
          <w:trHeight w:val="575"/>
        </w:trPr>
        <w:tc>
          <w:tcPr>
            <w:tcW w:w="5035" w:type="dxa"/>
          </w:tcPr>
          <w:p w14:paraId="30BBD340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Fibromyalgia is completely psychological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30A3FCAB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16 (13.6%)</w:t>
            </w:r>
          </w:p>
        </w:tc>
        <w:tc>
          <w:tcPr>
            <w:tcW w:w="1440" w:type="dxa"/>
          </w:tcPr>
          <w:p w14:paraId="1E20EB5D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84 (71.2%)</w:t>
            </w:r>
          </w:p>
        </w:tc>
        <w:tc>
          <w:tcPr>
            <w:tcW w:w="1584" w:type="dxa"/>
          </w:tcPr>
          <w:p w14:paraId="6FF20DF2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18 (15.3%)</w:t>
            </w:r>
          </w:p>
        </w:tc>
      </w:tr>
      <w:tr w:rsidR="00FF119A" w:rsidRPr="000C0D95" w14:paraId="5B01779F" w14:textId="77777777" w:rsidTr="001D41FC">
        <w:trPr>
          <w:trHeight w:val="539"/>
        </w:trPr>
        <w:tc>
          <w:tcPr>
            <w:tcW w:w="5035" w:type="dxa"/>
          </w:tcPr>
          <w:p w14:paraId="18695193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Fibromyalgia affects the individual’s quality of life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1B6B3E49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109 (92.4%)</w:t>
            </w:r>
          </w:p>
        </w:tc>
        <w:tc>
          <w:tcPr>
            <w:tcW w:w="1440" w:type="dxa"/>
          </w:tcPr>
          <w:p w14:paraId="7C412DBD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3 (2.5%)</w:t>
            </w:r>
          </w:p>
        </w:tc>
        <w:tc>
          <w:tcPr>
            <w:tcW w:w="1584" w:type="dxa"/>
          </w:tcPr>
          <w:p w14:paraId="6B84A6D7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6 (5.1%)</w:t>
            </w:r>
          </w:p>
        </w:tc>
      </w:tr>
      <w:tr w:rsidR="00FF119A" w:rsidRPr="000C0D95" w14:paraId="2D6EEDD9" w14:textId="77777777" w:rsidTr="001D41FC">
        <w:trPr>
          <w:trHeight w:val="701"/>
        </w:trPr>
        <w:tc>
          <w:tcPr>
            <w:tcW w:w="5035" w:type="dxa"/>
          </w:tcPr>
          <w:p w14:paraId="6256EFCB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Fibromyalgia treatment depends mainly on medications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3C3A2134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9 (7.6%)</w:t>
            </w:r>
          </w:p>
        </w:tc>
        <w:tc>
          <w:tcPr>
            <w:tcW w:w="1440" w:type="dxa"/>
          </w:tcPr>
          <w:p w14:paraId="1D18954B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98 (83.1%)</w:t>
            </w:r>
          </w:p>
        </w:tc>
        <w:tc>
          <w:tcPr>
            <w:tcW w:w="1584" w:type="dxa"/>
          </w:tcPr>
          <w:p w14:paraId="53242A13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11 (9.3%)</w:t>
            </w:r>
          </w:p>
        </w:tc>
      </w:tr>
      <w:tr w:rsidR="00FF119A" w:rsidRPr="000C0D95" w14:paraId="7B340582" w14:textId="77777777" w:rsidTr="001D41FC">
        <w:trPr>
          <w:trHeight w:val="746"/>
        </w:trPr>
        <w:tc>
          <w:tcPr>
            <w:tcW w:w="5035" w:type="dxa"/>
          </w:tcPr>
          <w:p w14:paraId="13A77A99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Lab tests (e.g., muscle biopsy) and imaging are helpful to confirm the diagnosis of Fibromyalgia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1B16EE1D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35 (29.7%)</w:t>
            </w:r>
          </w:p>
        </w:tc>
        <w:tc>
          <w:tcPr>
            <w:tcW w:w="1440" w:type="dxa"/>
          </w:tcPr>
          <w:p w14:paraId="59B9A0A8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44 (37.3%)</w:t>
            </w:r>
          </w:p>
        </w:tc>
        <w:tc>
          <w:tcPr>
            <w:tcW w:w="1584" w:type="dxa"/>
          </w:tcPr>
          <w:p w14:paraId="415529DE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39 (33.1%)</w:t>
            </w:r>
          </w:p>
        </w:tc>
      </w:tr>
      <w:tr w:rsidR="00FF119A" w:rsidRPr="000C0D95" w14:paraId="611E5A7A" w14:textId="77777777" w:rsidTr="001D41FC">
        <w:trPr>
          <w:trHeight w:val="665"/>
        </w:trPr>
        <w:tc>
          <w:tcPr>
            <w:tcW w:w="5035" w:type="dxa"/>
          </w:tcPr>
          <w:p w14:paraId="15C44098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Eleven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 out of 18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ender points are important </w:t>
            </w:r>
            <w:r>
              <w:rPr>
                <w:rFonts w:ascii="Arial" w:hAnsi="Arial" w:cs="Arial"/>
                <w:sz w:val="24"/>
                <w:szCs w:val="24"/>
              </w:rPr>
              <w:t>for a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 diagnosis of fibromyalgia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24EEBE25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51 (43.2%)</w:t>
            </w:r>
          </w:p>
        </w:tc>
        <w:tc>
          <w:tcPr>
            <w:tcW w:w="1440" w:type="dxa"/>
          </w:tcPr>
          <w:p w14:paraId="76014A62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13 (11.0%)</w:t>
            </w:r>
          </w:p>
        </w:tc>
        <w:tc>
          <w:tcPr>
            <w:tcW w:w="1584" w:type="dxa"/>
          </w:tcPr>
          <w:p w14:paraId="2A8F939B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54 (45.8%)</w:t>
            </w:r>
          </w:p>
        </w:tc>
      </w:tr>
      <w:tr w:rsidR="00FF119A" w:rsidRPr="000C0D95" w14:paraId="34ADEBFA" w14:textId="77777777" w:rsidTr="001D41FC">
        <w:trPr>
          <w:trHeight w:val="818"/>
        </w:trPr>
        <w:tc>
          <w:tcPr>
            <w:tcW w:w="5035" w:type="dxa"/>
          </w:tcPr>
          <w:p w14:paraId="6481EADC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lastRenderedPageBreak/>
              <w:t xml:space="preserve">Headache is useful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 diagnosis of fibromyalgia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671BF361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40 (33.9%)</w:t>
            </w:r>
          </w:p>
        </w:tc>
        <w:tc>
          <w:tcPr>
            <w:tcW w:w="1440" w:type="dxa"/>
          </w:tcPr>
          <w:p w14:paraId="3654BAF0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29 (24.6%)</w:t>
            </w:r>
          </w:p>
        </w:tc>
        <w:tc>
          <w:tcPr>
            <w:tcW w:w="1584" w:type="dxa"/>
          </w:tcPr>
          <w:p w14:paraId="6B9455D6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49 (41.5%)</w:t>
            </w:r>
          </w:p>
        </w:tc>
      </w:tr>
      <w:tr w:rsidR="00FF119A" w:rsidRPr="000C0D95" w14:paraId="3366F77C" w14:textId="77777777" w:rsidTr="001D41FC">
        <w:trPr>
          <w:trHeight w:val="818"/>
        </w:trPr>
        <w:tc>
          <w:tcPr>
            <w:tcW w:w="5035" w:type="dxa"/>
          </w:tcPr>
          <w:p w14:paraId="0F42ABC4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 xml:space="preserve">Fatigue is useful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 diagnosis of fibromyalgia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0BC43ECB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90 (76.3%)</w:t>
            </w:r>
          </w:p>
        </w:tc>
        <w:tc>
          <w:tcPr>
            <w:tcW w:w="1440" w:type="dxa"/>
          </w:tcPr>
          <w:p w14:paraId="02A9BB41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11 (9.3%)</w:t>
            </w:r>
          </w:p>
        </w:tc>
        <w:tc>
          <w:tcPr>
            <w:tcW w:w="1584" w:type="dxa"/>
          </w:tcPr>
          <w:p w14:paraId="4481675B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17 (14.4%)</w:t>
            </w:r>
          </w:p>
        </w:tc>
      </w:tr>
      <w:tr w:rsidR="00FF119A" w:rsidRPr="000C0D95" w14:paraId="503A2FC1" w14:textId="77777777" w:rsidTr="001D41FC">
        <w:trPr>
          <w:trHeight w:val="692"/>
        </w:trPr>
        <w:tc>
          <w:tcPr>
            <w:tcW w:w="5035" w:type="dxa"/>
          </w:tcPr>
          <w:p w14:paraId="10313055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 xml:space="preserve">Anxiety and/or depression are useful </w:t>
            </w:r>
            <w:r>
              <w:rPr>
                <w:rFonts w:ascii="Arial" w:hAnsi="Arial" w:cs="Arial"/>
                <w:sz w:val="24"/>
                <w:szCs w:val="24"/>
              </w:rPr>
              <w:t>for a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 diagnosis of fibromyalgia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4A17F004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80 (67.8%)</w:t>
            </w:r>
          </w:p>
        </w:tc>
        <w:tc>
          <w:tcPr>
            <w:tcW w:w="1440" w:type="dxa"/>
          </w:tcPr>
          <w:p w14:paraId="135F99B4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20 (16.9%)</w:t>
            </w:r>
          </w:p>
        </w:tc>
        <w:tc>
          <w:tcPr>
            <w:tcW w:w="1584" w:type="dxa"/>
          </w:tcPr>
          <w:p w14:paraId="55985678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18 (15.3%)</w:t>
            </w:r>
          </w:p>
        </w:tc>
      </w:tr>
      <w:tr w:rsidR="00FF119A" w:rsidRPr="000C0D95" w14:paraId="14D64167" w14:textId="77777777" w:rsidTr="001D41FC">
        <w:trPr>
          <w:trHeight w:val="800"/>
        </w:trPr>
        <w:tc>
          <w:tcPr>
            <w:tcW w:w="5035" w:type="dxa"/>
          </w:tcPr>
          <w:p w14:paraId="6346EA1C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 xml:space="preserve">Waking up tired (unrefreshed) is useful </w:t>
            </w:r>
            <w:r>
              <w:rPr>
                <w:rFonts w:ascii="Arial" w:hAnsi="Arial" w:cs="Arial"/>
                <w:sz w:val="24"/>
                <w:szCs w:val="24"/>
              </w:rPr>
              <w:t>for a</w:t>
            </w:r>
            <w:r w:rsidRPr="000C0D95">
              <w:rPr>
                <w:rFonts w:ascii="Arial" w:hAnsi="Arial" w:cs="Arial"/>
                <w:sz w:val="24"/>
                <w:szCs w:val="24"/>
              </w:rPr>
              <w:t xml:space="preserve"> diagnosis of fibromyalgia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32901CB3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70 (59.3%)</w:t>
            </w:r>
          </w:p>
        </w:tc>
        <w:tc>
          <w:tcPr>
            <w:tcW w:w="1440" w:type="dxa"/>
          </w:tcPr>
          <w:p w14:paraId="5DA9C16A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21 (17.8%)</w:t>
            </w:r>
          </w:p>
        </w:tc>
        <w:tc>
          <w:tcPr>
            <w:tcW w:w="1584" w:type="dxa"/>
          </w:tcPr>
          <w:p w14:paraId="546DD6CC" w14:textId="77777777" w:rsidR="00FF119A" w:rsidRPr="000C0D95" w:rsidRDefault="00FF119A" w:rsidP="001D41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C0D95">
              <w:rPr>
                <w:rFonts w:ascii="Arial" w:hAnsi="Arial" w:cs="Arial"/>
                <w:sz w:val="24"/>
                <w:szCs w:val="24"/>
              </w:rPr>
              <w:t>27 (22.9%)</w:t>
            </w:r>
          </w:p>
        </w:tc>
      </w:tr>
    </w:tbl>
    <w:p w14:paraId="7FACDE4A" w14:textId="77777777" w:rsidR="00353CF8" w:rsidRDefault="003A1B6B"/>
    <w:sectPr w:rsidR="00353CF8" w:rsidSect="00AA378F">
      <w:pgSz w:w="16850" w:h="11900" w:orient="landscape"/>
      <w:pgMar w:top="1134" w:right="1134" w:bottom="1134" w:left="1134" w:header="0" w:footer="788" w:gutter="85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B6A1A"/>
    <w:multiLevelType w:val="multilevel"/>
    <w:tmpl w:val="0B10E718"/>
    <w:lvl w:ilvl="0">
      <w:start w:val="1"/>
      <w:numFmt w:val="decimal"/>
      <w:pStyle w:val="heading111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9A"/>
    <w:rsid w:val="00037D16"/>
    <w:rsid w:val="00047F40"/>
    <w:rsid w:val="00050136"/>
    <w:rsid w:val="00072D4A"/>
    <w:rsid w:val="00084DC9"/>
    <w:rsid w:val="00085323"/>
    <w:rsid w:val="00086A6A"/>
    <w:rsid w:val="00096848"/>
    <w:rsid w:val="000E6EFD"/>
    <w:rsid w:val="000F4D5C"/>
    <w:rsid w:val="001032E6"/>
    <w:rsid w:val="00111E7C"/>
    <w:rsid w:val="00125653"/>
    <w:rsid w:val="00141A41"/>
    <w:rsid w:val="001425CF"/>
    <w:rsid w:val="00147601"/>
    <w:rsid w:val="001558DD"/>
    <w:rsid w:val="00160069"/>
    <w:rsid w:val="001704AE"/>
    <w:rsid w:val="0017098D"/>
    <w:rsid w:val="001718C2"/>
    <w:rsid w:val="00172041"/>
    <w:rsid w:val="00196115"/>
    <w:rsid w:val="001C3CDE"/>
    <w:rsid w:val="001D696C"/>
    <w:rsid w:val="001D6E5B"/>
    <w:rsid w:val="001E159E"/>
    <w:rsid w:val="001E233A"/>
    <w:rsid w:val="00220505"/>
    <w:rsid w:val="00235ECF"/>
    <w:rsid w:val="00253008"/>
    <w:rsid w:val="00271181"/>
    <w:rsid w:val="0029418D"/>
    <w:rsid w:val="002A596E"/>
    <w:rsid w:val="002B10F9"/>
    <w:rsid w:val="002B1EE2"/>
    <w:rsid w:val="002E1BA6"/>
    <w:rsid w:val="002F340A"/>
    <w:rsid w:val="003016C8"/>
    <w:rsid w:val="00305046"/>
    <w:rsid w:val="00350FFB"/>
    <w:rsid w:val="003513FA"/>
    <w:rsid w:val="003A1B6B"/>
    <w:rsid w:val="003B696B"/>
    <w:rsid w:val="003C21AC"/>
    <w:rsid w:val="003D4054"/>
    <w:rsid w:val="003F05E7"/>
    <w:rsid w:val="003F0BE6"/>
    <w:rsid w:val="003F4DC4"/>
    <w:rsid w:val="004353BE"/>
    <w:rsid w:val="0045746E"/>
    <w:rsid w:val="00462B4E"/>
    <w:rsid w:val="0046304A"/>
    <w:rsid w:val="004871F3"/>
    <w:rsid w:val="004B7D67"/>
    <w:rsid w:val="004E76BC"/>
    <w:rsid w:val="004F0C14"/>
    <w:rsid w:val="004F6AF0"/>
    <w:rsid w:val="005076C6"/>
    <w:rsid w:val="0051510D"/>
    <w:rsid w:val="00530F70"/>
    <w:rsid w:val="00553ED5"/>
    <w:rsid w:val="00567524"/>
    <w:rsid w:val="00572278"/>
    <w:rsid w:val="00592E49"/>
    <w:rsid w:val="005A435C"/>
    <w:rsid w:val="005E3AE2"/>
    <w:rsid w:val="005F10AF"/>
    <w:rsid w:val="005F6CCB"/>
    <w:rsid w:val="0063584C"/>
    <w:rsid w:val="00640E91"/>
    <w:rsid w:val="006643CE"/>
    <w:rsid w:val="00672071"/>
    <w:rsid w:val="006749A4"/>
    <w:rsid w:val="00693A13"/>
    <w:rsid w:val="006A0138"/>
    <w:rsid w:val="006C4220"/>
    <w:rsid w:val="006D5367"/>
    <w:rsid w:val="006D7090"/>
    <w:rsid w:val="006E0A3E"/>
    <w:rsid w:val="006E25F3"/>
    <w:rsid w:val="006F2722"/>
    <w:rsid w:val="006F5A3F"/>
    <w:rsid w:val="00700B3A"/>
    <w:rsid w:val="007105B6"/>
    <w:rsid w:val="00715EE0"/>
    <w:rsid w:val="00733704"/>
    <w:rsid w:val="00743FBF"/>
    <w:rsid w:val="007453BA"/>
    <w:rsid w:val="00753390"/>
    <w:rsid w:val="00756C0E"/>
    <w:rsid w:val="00757A87"/>
    <w:rsid w:val="00760FD1"/>
    <w:rsid w:val="007617F5"/>
    <w:rsid w:val="00766FC5"/>
    <w:rsid w:val="0078030D"/>
    <w:rsid w:val="007B5382"/>
    <w:rsid w:val="007E5448"/>
    <w:rsid w:val="007F1F52"/>
    <w:rsid w:val="00803E19"/>
    <w:rsid w:val="008062C3"/>
    <w:rsid w:val="00806F01"/>
    <w:rsid w:val="00833B0D"/>
    <w:rsid w:val="008435FD"/>
    <w:rsid w:val="00843692"/>
    <w:rsid w:val="00852A51"/>
    <w:rsid w:val="008567B5"/>
    <w:rsid w:val="00863099"/>
    <w:rsid w:val="008836A2"/>
    <w:rsid w:val="00894B31"/>
    <w:rsid w:val="008B2206"/>
    <w:rsid w:val="008D503E"/>
    <w:rsid w:val="008E368D"/>
    <w:rsid w:val="008F3C68"/>
    <w:rsid w:val="008F5722"/>
    <w:rsid w:val="00910770"/>
    <w:rsid w:val="00942297"/>
    <w:rsid w:val="009433AD"/>
    <w:rsid w:val="00945130"/>
    <w:rsid w:val="00951CA6"/>
    <w:rsid w:val="0095307E"/>
    <w:rsid w:val="00980528"/>
    <w:rsid w:val="009820A9"/>
    <w:rsid w:val="009835F3"/>
    <w:rsid w:val="00997285"/>
    <w:rsid w:val="009D077A"/>
    <w:rsid w:val="009D09AF"/>
    <w:rsid w:val="009D5355"/>
    <w:rsid w:val="00A06239"/>
    <w:rsid w:val="00A30ED3"/>
    <w:rsid w:val="00A353D1"/>
    <w:rsid w:val="00A3579B"/>
    <w:rsid w:val="00A41D29"/>
    <w:rsid w:val="00A43A7A"/>
    <w:rsid w:val="00A44FB4"/>
    <w:rsid w:val="00A64D6B"/>
    <w:rsid w:val="00A92C98"/>
    <w:rsid w:val="00A95A94"/>
    <w:rsid w:val="00AA0D9B"/>
    <w:rsid w:val="00AA233A"/>
    <w:rsid w:val="00AA378F"/>
    <w:rsid w:val="00AA6CE1"/>
    <w:rsid w:val="00AB3D37"/>
    <w:rsid w:val="00AC43A6"/>
    <w:rsid w:val="00AC7BCC"/>
    <w:rsid w:val="00B01F6B"/>
    <w:rsid w:val="00B10A70"/>
    <w:rsid w:val="00B3143C"/>
    <w:rsid w:val="00B6240D"/>
    <w:rsid w:val="00B649BA"/>
    <w:rsid w:val="00B65AEB"/>
    <w:rsid w:val="00B86195"/>
    <w:rsid w:val="00BB6512"/>
    <w:rsid w:val="00BC7125"/>
    <w:rsid w:val="00BD2AC3"/>
    <w:rsid w:val="00BF3E81"/>
    <w:rsid w:val="00C0479F"/>
    <w:rsid w:val="00C15AD9"/>
    <w:rsid w:val="00C45FE8"/>
    <w:rsid w:val="00C54568"/>
    <w:rsid w:val="00C65500"/>
    <w:rsid w:val="00C66681"/>
    <w:rsid w:val="00C81A3F"/>
    <w:rsid w:val="00C825B2"/>
    <w:rsid w:val="00CB7962"/>
    <w:rsid w:val="00CC3036"/>
    <w:rsid w:val="00CC7F40"/>
    <w:rsid w:val="00CD0C1C"/>
    <w:rsid w:val="00CD28EC"/>
    <w:rsid w:val="00CE59E8"/>
    <w:rsid w:val="00CF3B0C"/>
    <w:rsid w:val="00D03D55"/>
    <w:rsid w:val="00D44232"/>
    <w:rsid w:val="00D61B33"/>
    <w:rsid w:val="00D712E5"/>
    <w:rsid w:val="00D81ECD"/>
    <w:rsid w:val="00D8342D"/>
    <w:rsid w:val="00D924E5"/>
    <w:rsid w:val="00D94472"/>
    <w:rsid w:val="00DC55C9"/>
    <w:rsid w:val="00DC74E0"/>
    <w:rsid w:val="00DF399A"/>
    <w:rsid w:val="00DF5C00"/>
    <w:rsid w:val="00E31673"/>
    <w:rsid w:val="00E35E1F"/>
    <w:rsid w:val="00E61AEF"/>
    <w:rsid w:val="00E62907"/>
    <w:rsid w:val="00E7084C"/>
    <w:rsid w:val="00E85B0B"/>
    <w:rsid w:val="00E8620A"/>
    <w:rsid w:val="00E86C7D"/>
    <w:rsid w:val="00E87513"/>
    <w:rsid w:val="00EC2A7D"/>
    <w:rsid w:val="00ED0EDC"/>
    <w:rsid w:val="00ED12E8"/>
    <w:rsid w:val="00ED1434"/>
    <w:rsid w:val="00EF777F"/>
    <w:rsid w:val="00F27C56"/>
    <w:rsid w:val="00F33699"/>
    <w:rsid w:val="00F33DC7"/>
    <w:rsid w:val="00F727AB"/>
    <w:rsid w:val="00F77E13"/>
    <w:rsid w:val="00F876CA"/>
    <w:rsid w:val="00F94431"/>
    <w:rsid w:val="00FE283D"/>
    <w:rsid w:val="00FF119A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0D36"/>
  <w14:defaultImageDpi w14:val="32767"/>
  <w15:chartTrackingRefBased/>
  <w15:docId w15:val="{2C3D021B-2DAD-1944-8959-58117D29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F119A"/>
    <w:rPr>
      <w:rFonts w:ascii="Times New Roman" w:eastAsia="Times New Roman" w:hAnsi="Times New Roman" w:cs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4E5"/>
    <w:rPr>
      <w:rFonts w:eastAsiaTheme="minorHAns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4E5"/>
    <w:rPr>
      <w:rFonts w:ascii="Times New Roman" w:hAnsi="Times New Roman" w:cs="Times New Roman"/>
      <w:sz w:val="18"/>
      <w:szCs w:val="18"/>
    </w:rPr>
  </w:style>
  <w:style w:type="paragraph" w:customStyle="1" w:styleId="heading111">
    <w:name w:val="heading1.1.1"/>
    <w:basedOn w:val="Normal"/>
    <w:autoRedefine/>
    <w:qFormat/>
    <w:rsid w:val="007F1F52"/>
    <w:pPr>
      <w:numPr>
        <w:numId w:val="1"/>
      </w:numPr>
      <w:spacing w:before="120" w:after="120" w:line="480" w:lineRule="auto"/>
    </w:pPr>
    <w:rPr>
      <w:rFonts w:asciiTheme="minorBidi" w:hAnsiTheme="minorBidi"/>
      <w:b/>
      <w:lang w:val="en-GB"/>
    </w:rPr>
  </w:style>
  <w:style w:type="paragraph" w:customStyle="1" w:styleId="Body">
    <w:name w:val="Body"/>
    <w:rsid w:val="00FF11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table" w:styleId="TableGrid">
    <w:name w:val="Table Grid"/>
    <w:basedOn w:val="TableNormal"/>
    <w:uiPriority w:val="39"/>
    <w:rsid w:val="00FF11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Alhowimel</dc:creator>
  <cp:keywords/>
  <dc:description/>
  <cp:lastModifiedBy>Mel Phimester</cp:lastModifiedBy>
  <cp:revision>2</cp:revision>
  <dcterms:created xsi:type="dcterms:W3CDTF">2020-11-16T00:22:00Z</dcterms:created>
  <dcterms:modified xsi:type="dcterms:W3CDTF">2020-11-16T00:22:00Z</dcterms:modified>
</cp:coreProperties>
</file>