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37BC8" w14:textId="77777777" w:rsidR="008B7D38" w:rsidRPr="00794DCD" w:rsidRDefault="008B7D38" w:rsidP="008B7D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Figure S1. </w:t>
      </w:r>
      <w:r w:rsidRPr="00250384">
        <w:rPr>
          <w:rFonts w:ascii="Arial" w:hAnsi="Arial" w:cs="Arial"/>
          <w:b/>
          <w:sz w:val="20"/>
          <w:szCs w:val="20"/>
        </w:rPr>
        <w:t xml:space="preserve">Knockdown of SBF2-AS1 inhibits proliferation, migration and invasion in </w:t>
      </w:r>
      <w:r>
        <w:rPr>
          <w:rFonts w:ascii="Arial" w:hAnsi="Arial" w:cs="Arial"/>
          <w:b/>
          <w:sz w:val="20"/>
          <w:szCs w:val="20"/>
        </w:rPr>
        <w:t>SU-DHL-4</w:t>
      </w:r>
      <w:r w:rsidRPr="00250384">
        <w:rPr>
          <w:rFonts w:ascii="Arial" w:hAnsi="Arial" w:cs="Arial"/>
          <w:b/>
          <w:sz w:val="20"/>
          <w:szCs w:val="20"/>
        </w:rPr>
        <w:t xml:space="preserve"> cells. (A) </w:t>
      </w:r>
      <w:r w:rsidRPr="00250384">
        <w:rPr>
          <w:rFonts w:ascii="Arial" w:hAnsi="Arial" w:cs="Arial"/>
          <w:sz w:val="20"/>
          <w:szCs w:val="20"/>
        </w:rPr>
        <w:t xml:space="preserve">The expression of SBF2-AS1 in </w:t>
      </w:r>
      <w:r>
        <w:rPr>
          <w:rFonts w:ascii="Arial" w:hAnsi="Arial" w:cs="Arial"/>
          <w:sz w:val="20"/>
          <w:szCs w:val="20"/>
        </w:rPr>
        <w:t>SU-DHL-4</w:t>
      </w:r>
      <w:r w:rsidRPr="00250384">
        <w:rPr>
          <w:rFonts w:ascii="Arial" w:hAnsi="Arial" w:cs="Arial"/>
          <w:sz w:val="20"/>
          <w:szCs w:val="20"/>
        </w:rPr>
        <w:t xml:space="preserve"> cells after SBF2-AS1 si-RNA or si-Scramble transfection was determined by qRT-PCR (n = 6, *</w:t>
      </w:r>
      <w:r w:rsidRPr="00250384">
        <w:rPr>
          <w:rFonts w:ascii="Arial" w:hAnsi="Arial" w:cs="Arial"/>
          <w:i/>
          <w:sz w:val="20"/>
          <w:szCs w:val="20"/>
        </w:rPr>
        <w:t>p</w:t>
      </w:r>
      <w:r w:rsidRPr="00250384">
        <w:rPr>
          <w:rFonts w:ascii="Arial" w:hAnsi="Arial" w:cs="Arial"/>
          <w:sz w:val="20"/>
          <w:szCs w:val="20"/>
        </w:rPr>
        <w:t xml:space="preserve">&lt;0.05). </w:t>
      </w:r>
      <w:r w:rsidRPr="00250384">
        <w:rPr>
          <w:rFonts w:ascii="Arial" w:hAnsi="Arial" w:cs="Arial"/>
          <w:b/>
          <w:sz w:val="20"/>
          <w:szCs w:val="20"/>
        </w:rPr>
        <w:t xml:space="preserve">(B) </w:t>
      </w:r>
      <w:r w:rsidRPr="00250384">
        <w:rPr>
          <w:rFonts w:ascii="Arial" w:hAnsi="Arial" w:cs="Arial"/>
          <w:sz w:val="20"/>
          <w:szCs w:val="20"/>
        </w:rPr>
        <w:t xml:space="preserve">CKK-8 assay was </w:t>
      </w:r>
      <w:r>
        <w:rPr>
          <w:rFonts w:ascii="Arial" w:hAnsi="Arial" w:cs="Arial"/>
          <w:sz w:val="20"/>
          <w:szCs w:val="20"/>
        </w:rPr>
        <w:t>for examining</w:t>
      </w:r>
      <w:r w:rsidRPr="00250384">
        <w:rPr>
          <w:rFonts w:ascii="Arial" w:hAnsi="Arial" w:cs="Arial"/>
          <w:sz w:val="20"/>
          <w:szCs w:val="20"/>
        </w:rPr>
        <w:t xml:space="preserve"> the cell growth at 0, 24, 48 an</w:t>
      </w:r>
      <w:r w:rsidRPr="00014E95">
        <w:rPr>
          <w:rFonts w:ascii="Arial" w:hAnsi="Arial" w:cs="Arial"/>
          <w:sz w:val="20"/>
          <w:szCs w:val="20"/>
        </w:rPr>
        <w:t>d 72 h (n = 10, *</w:t>
      </w:r>
      <w:r w:rsidRPr="00014E95">
        <w:rPr>
          <w:rFonts w:ascii="Arial" w:hAnsi="Arial" w:cs="Arial"/>
          <w:i/>
          <w:sz w:val="20"/>
          <w:szCs w:val="20"/>
        </w:rPr>
        <w:t>p</w:t>
      </w:r>
      <w:r w:rsidRPr="00014E95">
        <w:rPr>
          <w:rFonts w:ascii="Arial" w:hAnsi="Arial" w:cs="Arial"/>
          <w:sz w:val="20"/>
          <w:szCs w:val="20"/>
        </w:rPr>
        <w:t xml:space="preserve">&lt;0.05). </w:t>
      </w:r>
      <w:r w:rsidRPr="00014E95">
        <w:rPr>
          <w:rFonts w:ascii="Arial" w:hAnsi="Arial" w:cs="Arial"/>
          <w:b/>
          <w:sz w:val="20"/>
          <w:szCs w:val="20"/>
        </w:rPr>
        <w:t xml:space="preserve">(C) </w:t>
      </w:r>
      <w:r w:rsidRPr="00014E95">
        <w:rPr>
          <w:rFonts w:ascii="Arial" w:hAnsi="Arial" w:cs="Arial"/>
          <w:bCs/>
          <w:sz w:val="20"/>
          <w:szCs w:val="20"/>
        </w:rPr>
        <w:t>Edu</w:t>
      </w:r>
      <w:r w:rsidRPr="00014E95">
        <w:rPr>
          <w:rFonts w:ascii="Arial" w:hAnsi="Arial" w:cs="Arial"/>
          <w:sz w:val="20"/>
          <w:szCs w:val="20"/>
        </w:rPr>
        <w:t xml:space="preserve"> assay was for calculating cell proliferation (n = 4, *</w:t>
      </w:r>
      <w:r w:rsidRPr="00014E95">
        <w:rPr>
          <w:rFonts w:ascii="Arial" w:hAnsi="Arial" w:cs="Arial"/>
          <w:i/>
          <w:sz w:val="20"/>
          <w:szCs w:val="20"/>
        </w:rPr>
        <w:t>p</w:t>
      </w:r>
      <w:r w:rsidRPr="00014E95">
        <w:rPr>
          <w:rFonts w:ascii="Arial" w:hAnsi="Arial" w:cs="Arial"/>
          <w:sz w:val="20"/>
          <w:szCs w:val="20"/>
        </w:rPr>
        <w:t xml:space="preserve">&lt;0.05). Scale bar 20 μm. </w:t>
      </w:r>
      <w:r w:rsidRPr="00014E95">
        <w:rPr>
          <w:rFonts w:ascii="Arial" w:hAnsi="Arial" w:cs="Arial"/>
          <w:b/>
          <w:sz w:val="20"/>
          <w:szCs w:val="20"/>
        </w:rPr>
        <w:t>(D)</w:t>
      </w:r>
      <w:r w:rsidRPr="00014E95">
        <w:rPr>
          <w:rFonts w:ascii="Arial" w:hAnsi="Arial" w:cs="Arial"/>
          <w:sz w:val="20"/>
          <w:szCs w:val="20"/>
        </w:rPr>
        <w:t xml:space="preserve"> Wound healing assay was for detecting cell migration (n = 4, *</w:t>
      </w:r>
      <w:r w:rsidRPr="00014E95">
        <w:rPr>
          <w:rFonts w:ascii="Arial" w:hAnsi="Arial" w:cs="Arial"/>
          <w:i/>
          <w:sz w:val="20"/>
          <w:szCs w:val="20"/>
        </w:rPr>
        <w:t>p</w:t>
      </w:r>
      <w:r w:rsidRPr="00014E95">
        <w:rPr>
          <w:rFonts w:ascii="Arial" w:hAnsi="Arial" w:cs="Arial"/>
          <w:sz w:val="20"/>
          <w:szCs w:val="20"/>
        </w:rPr>
        <w:t xml:space="preserve">&lt;0.05). Scale bar 1000 μm. </w:t>
      </w:r>
      <w:r w:rsidRPr="00014E95">
        <w:rPr>
          <w:rFonts w:ascii="Arial" w:hAnsi="Arial" w:cs="Arial"/>
          <w:b/>
          <w:sz w:val="20"/>
          <w:szCs w:val="20"/>
        </w:rPr>
        <w:t xml:space="preserve">(E) </w:t>
      </w:r>
      <w:r w:rsidRPr="00014E95">
        <w:rPr>
          <w:rFonts w:ascii="Arial" w:hAnsi="Arial" w:cs="Arial"/>
          <w:sz w:val="20"/>
          <w:szCs w:val="20"/>
        </w:rPr>
        <w:t>Transwell assay was for detecting cell invasive ability (n = 4, *</w:t>
      </w:r>
      <w:r w:rsidRPr="00014E95">
        <w:rPr>
          <w:rFonts w:ascii="Arial" w:hAnsi="Arial" w:cs="Arial"/>
          <w:i/>
          <w:sz w:val="20"/>
          <w:szCs w:val="20"/>
        </w:rPr>
        <w:t>p</w:t>
      </w:r>
      <w:r w:rsidRPr="00014E95">
        <w:rPr>
          <w:rFonts w:ascii="Arial" w:hAnsi="Arial" w:cs="Arial"/>
          <w:sz w:val="20"/>
          <w:szCs w:val="20"/>
        </w:rPr>
        <w:t>&lt;0.05). Scale bar 50 μm. All the experiment was repeated in triplicate.</w:t>
      </w:r>
    </w:p>
    <w:p w14:paraId="1EF74CDE" w14:textId="77777777" w:rsidR="002F4A23" w:rsidRPr="008B7D38" w:rsidRDefault="002F4A23"/>
    <w:sectPr w:rsidR="002F4A23" w:rsidRPr="008B7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D38"/>
    <w:rsid w:val="002F4A23"/>
    <w:rsid w:val="008701EE"/>
    <w:rsid w:val="008B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56FE4"/>
  <w15:chartTrackingRefBased/>
  <w15:docId w15:val="{25DA4C9E-B396-40F5-A805-7EB6926A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D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2020-11-19T01:34:00Z</dcterms:created>
  <dcterms:modified xsi:type="dcterms:W3CDTF">2020-11-19T01:34:00Z</dcterms:modified>
</cp:coreProperties>
</file>