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3E522" w14:textId="77777777" w:rsidR="005C4FE4" w:rsidRPr="00E31688" w:rsidRDefault="0083077A">
      <w:pPr>
        <w:rPr>
          <w:b/>
          <w:bCs/>
          <w:iCs/>
          <w:u w:val="single"/>
          <w:lang w:val="en-AU"/>
        </w:rPr>
      </w:pPr>
      <w:r w:rsidRPr="00E31688">
        <w:rPr>
          <w:b/>
          <w:bCs/>
          <w:iCs/>
          <w:u w:val="single"/>
          <w:lang w:val="en-AU"/>
        </w:rPr>
        <w:t>Supplementary Information 2</w:t>
      </w:r>
    </w:p>
    <w:p w14:paraId="4CD9F7F5" w14:textId="77777777" w:rsidR="0083077A" w:rsidRPr="0083077A" w:rsidRDefault="0083077A">
      <w:pPr>
        <w:rPr>
          <w:b/>
          <w:lang w:val="en-AU"/>
        </w:rPr>
      </w:pPr>
      <w:r w:rsidRPr="0083077A">
        <w:rPr>
          <w:rFonts w:ascii="Times New Roman" w:hAnsi="Times New Roman" w:cs="Times New Roman"/>
          <w:b/>
          <w:sz w:val="24"/>
          <w:szCs w:val="24"/>
        </w:rPr>
        <w:t>Summaries of the extracted information</w:t>
      </w:r>
    </w:p>
    <w:tbl>
      <w:tblPr>
        <w:tblW w:w="1573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36"/>
        <w:gridCol w:w="1116"/>
        <w:gridCol w:w="1560"/>
        <w:gridCol w:w="1346"/>
        <w:gridCol w:w="1068"/>
        <w:gridCol w:w="1696"/>
        <w:gridCol w:w="2127"/>
        <w:gridCol w:w="5386"/>
      </w:tblGrid>
      <w:tr w:rsidR="0083077A" w:rsidRPr="0083077A" w14:paraId="37F9BD4A" w14:textId="77777777" w:rsidTr="0083077A">
        <w:trPr>
          <w:trHeight w:val="945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A4B1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Citation \ Year of publication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FB06F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Country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06E9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Study design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4C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Setting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7B85A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Number of enrolled patients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82EE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 xml:space="preserve">Intervention/which FQ (with dose &amp; </w:t>
            </w:r>
            <w:proofErr w:type="spellStart"/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freq</w:t>
            </w:r>
            <w:proofErr w:type="spellEnd"/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6ECC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Control/comparator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4CE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MY"/>
              </w:rPr>
              <w:t>Author findings</w:t>
            </w:r>
          </w:p>
        </w:tc>
      </w:tr>
      <w:tr w:rsidR="0083077A" w:rsidRPr="0083077A" w14:paraId="099DAA0F" w14:textId="77777777" w:rsidTr="0083077A">
        <w:trPr>
          <w:trHeight w:val="261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FA065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Park-Wyllie et al, 2006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8F45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Ontario, Canada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A46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case control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6BD44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outpatient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795DF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7329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606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Levofloxacin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Moxifloxacin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Ciprofloxacin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574F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Cephalosporins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Macrolides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450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"As compared with the use of other broad-spectrum oral antibiotics, including other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fluoroquinolones, the use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among outpatients is associated with an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increased risk of in-hospital treatment for both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and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hyperglycemia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."</w:t>
            </w:r>
          </w:p>
        </w:tc>
      </w:tr>
      <w:tr w:rsidR="0083077A" w:rsidRPr="0083077A" w14:paraId="1592AE64" w14:textId="77777777" w:rsidTr="0083077A">
        <w:trPr>
          <w:trHeight w:val="126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1C1B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Mohr et al 2007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243A7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A4F43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case control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8A7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EE75E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138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EE494" w14:textId="77777777" w:rsidR="0083077A" w:rsidRPr="0083077A" w:rsidRDefault="0083077A" w:rsidP="0083077A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3DD1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patients who received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for ≥5 days and did not experience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hyperglycemia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during treatment and for 3 days after the end of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treatment)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61864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  <w:proofErr w:type="gram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risk</w:t>
            </w:r>
            <w:proofErr w:type="gram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hyperglycemia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increased 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diabetic patients who received concomitant steroids or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higher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doses than recommended by the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manufacturer’s prescribing information."</w:t>
            </w:r>
          </w:p>
        </w:tc>
      </w:tr>
      <w:tr w:rsidR="0083077A" w:rsidRPr="0083077A" w14:paraId="4C029378" w14:textId="77777777" w:rsidTr="0083077A">
        <w:trPr>
          <w:trHeight w:val="220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8E1AF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lastRenderedPageBreak/>
              <w:t>Graumlich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et al 2005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C8A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B51A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case control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6D7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 patients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88A9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226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A7CBC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and levofloxacin.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FAC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did not have signs or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symptoms of the clinical diagnosis of symptomatic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hypoglycemia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3C2BD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"Among inpatients, the incidence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hypoglycemic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events is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greater after treatment with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than levofloxacin. The odds of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experiencing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hypoglycemic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events are greater with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even after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adjusting for other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risk factors, such as concomitant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hypoglycemic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drugs, renal failure, and sepsis syndrome."</w:t>
            </w:r>
          </w:p>
        </w:tc>
      </w:tr>
      <w:tr w:rsidR="0083077A" w:rsidRPr="0083077A" w14:paraId="51B0C06C" w14:textId="77777777" w:rsidTr="0083077A">
        <w:trPr>
          <w:trHeight w:val="315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02F0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Parekh et al 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B725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E89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rospective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cohort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0D7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outpatient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FB74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61595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pt</w:t>
            </w:r>
            <w:proofErr w:type="spellEnd"/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A384" w14:textId="77777777" w:rsidR="0083077A" w:rsidRPr="0083077A" w:rsidRDefault="0083077A" w:rsidP="0083077A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Ciprofloxacin,Clarithromycin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, Fluconazole, Levofloxacin, Metronidazole, Moxifloxacin, Sulfamethoxazole-trimethoprim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BC37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 Amoxicillin, Azithromycin, Cefdinir, Cefuroxime, Cephalexin, Clindamycin, Doxycycline, Nitrofurantoin, Penicillin 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57A47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  <w:proofErr w:type="gram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clarithromycin</w:t>
            </w:r>
            <w:proofErr w:type="gram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, levofloxacin, sulfamethoxazole-trimethoprim, metronidazole, ciprofloxacin were associated with higher rates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compared with a panel of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noninteracting antimicrobials."</w:t>
            </w:r>
          </w:p>
        </w:tc>
      </w:tr>
      <w:tr w:rsidR="0083077A" w:rsidRPr="0083077A" w14:paraId="54E6C245" w14:textId="77777777" w:rsidTr="0083077A">
        <w:trPr>
          <w:trHeight w:val="157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2C5C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Mohr et al 2005*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3544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A409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case control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D380D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17FA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16,563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8FB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,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Levofloxacin, Ciprofloxacin,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6144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cetrixone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D05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  <w:proofErr w:type="gram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rate</w:t>
            </w:r>
            <w:proofErr w:type="gram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was greater in those receiving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levofloxacin or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than in those receiving ceftriaxone. However,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no difference was noted in the rate of glucose abnormalities with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levofloxacin versus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."</w:t>
            </w:r>
          </w:p>
        </w:tc>
      </w:tr>
      <w:tr w:rsidR="0083077A" w:rsidRPr="0083077A" w14:paraId="582F8D45" w14:textId="77777777" w:rsidTr="0083077A">
        <w:trPr>
          <w:trHeight w:val="157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7A61C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Aspinall et al 2009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603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48C0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retrosctive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cohort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C52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outpatient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4567D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1277448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6D3C7" w14:textId="77777777" w:rsidR="0083077A" w:rsidRPr="0083077A" w:rsidRDefault="0083077A" w:rsidP="0083077A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Levofloxacin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ciprofloxacin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72F04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azithromycin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38F5C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"The odds of severe hypo- and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hyperglycemia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were significantly greater with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and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levofloxacin, but not ciprofloxacin, than with azithromycin."</w:t>
            </w:r>
          </w:p>
        </w:tc>
      </w:tr>
      <w:tr w:rsidR="0083077A" w:rsidRPr="0083077A" w14:paraId="41ABA26B" w14:textId="77777777" w:rsidTr="0083077A">
        <w:trPr>
          <w:trHeight w:val="157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698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Chou et al 2013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C5B9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china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2EA94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cohort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FC1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outpatient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DE843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78433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1241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Levofloxacin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Moxifloxacin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ciprofloxacin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D1F2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cefuroxime, cefaclor, or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cefprozil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clarithromycin or azithromycin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14D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Increase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risk of severe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among diabetic patients administered fluoroquinolones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in Taiwan.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Hypoglycemic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risk varied according to the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specifics of each drug and was most commonly associated with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moxifloxacin."</w:t>
            </w:r>
          </w:p>
        </w:tc>
      </w:tr>
      <w:tr w:rsidR="0083077A" w:rsidRPr="0083077A" w14:paraId="09131600" w14:textId="77777777" w:rsidTr="0083077A">
        <w:trPr>
          <w:trHeight w:val="94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2AC8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C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C00000"/>
                <w:sz w:val="24"/>
                <w:szCs w:val="24"/>
                <w:lang w:eastAsia="en-MY"/>
              </w:rPr>
              <w:t>Etminanet</w:t>
            </w:r>
            <w:proofErr w:type="spellEnd"/>
            <w:r w:rsidRPr="0083077A">
              <w:rPr>
                <w:rFonts w:ascii="Calibri" w:eastAsia="Times New Roman" w:hAnsi="Calibri" w:cs="Calibri"/>
                <w:color w:val="C00000"/>
                <w:sz w:val="24"/>
                <w:szCs w:val="24"/>
                <w:lang w:eastAsia="en-MY"/>
              </w:rPr>
              <w:t xml:space="preserve"> et al 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17FB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DBD8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case-control study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D2F1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outpatient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4B55D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31130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E8C9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ciprofloxacin, levofloxacin,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moxifloxacin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3AA7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finasteride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E45A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"The results of our study are consistent with an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increase in the risk of PN with oral FQ use."</w:t>
            </w:r>
          </w:p>
        </w:tc>
      </w:tr>
      <w:tr w:rsidR="0083077A" w:rsidRPr="0083077A" w14:paraId="4F61AF95" w14:textId="77777777" w:rsidTr="0083077A">
        <w:trPr>
          <w:trHeight w:val="189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FBAE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Gajjar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et al 2000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296B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15E3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Randomized, double-blind, placebo-controlled, multiple-dose study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07C9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29AB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48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0330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,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ciprofloxacin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60D3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placebo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6561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was well tolerated in patients with NIDDM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controlled by diet and exercise. It had no significant effect on glucose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homeostasis, b-cell function, or long-term fasting serum glucose levels, but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it did cause a brief increase in serum insulin levels."</w:t>
            </w:r>
          </w:p>
        </w:tc>
      </w:tr>
      <w:tr w:rsidR="0083077A" w:rsidRPr="0083077A" w14:paraId="77E21051" w14:textId="77777777" w:rsidTr="0083077A">
        <w:trPr>
          <w:trHeight w:val="157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9D14D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Haerian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et al 2007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5F93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253C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retrospective chart review (cohort)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40CA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079C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264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EB434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022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Ceftriaxone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Ciprofloxacin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2CAFD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was clearly associated with both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and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hyperglycemia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compared with Ciprofloxacin and Ceftriaxone. The risk of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hyperglycemia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increased in the presence of DM, steroid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use, and “sick enough” to be in the intensive care unit."</w:t>
            </w:r>
          </w:p>
        </w:tc>
      </w:tr>
      <w:tr w:rsidR="0083077A" w:rsidRPr="0083077A" w14:paraId="0BECBD5A" w14:textId="77777777" w:rsidTr="0083077A">
        <w:trPr>
          <w:trHeight w:val="693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8ED6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Jawahar et al 2013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8A3E5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India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5E5C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RCT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4C4E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outpatient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32882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416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0BD2" w14:textId="77777777" w:rsidR="0083077A" w:rsidRPr="0083077A" w:rsidRDefault="0083077A" w:rsidP="0083077A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arm one: moxifloxacin, along with isoniazid and rifampicin for 4 months with pyrazinamide for first 2 months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arm two: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along with isoniazid and rifampicin for 4 months with pyrazinamide for first 2 months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or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Moxi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400 mg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rifampicin: 450mg or 600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depemd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on the weight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isoniazid 600mg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pyrazinamide: 1500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0563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isoniazid and rifampicin for 6 months with ethambutol and pyrazinamide for first 2 months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A7D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"Significantly none of the patients developed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, which has been recognized as a known side effect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</w:p>
        </w:tc>
      </w:tr>
      <w:tr w:rsidR="0083077A" w:rsidRPr="0083077A" w14:paraId="7B08108A" w14:textId="77777777" w:rsidTr="0083077A">
        <w:trPr>
          <w:trHeight w:val="315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8E70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LaPlante et al 2008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06BC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31231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retrosctive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cohort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DCEFA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outpatients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A0146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1573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F939A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Levofloxacin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E451F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azithromycin: 250 or 500 mg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AFB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"Levofloxacin and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were not significantly associated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with increased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dysglycemic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events compared with azithromycin. Lack of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downward fluoroquinolone dosage adjustment for renal function, presence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of diabetes, and treatment with insulin or sulfonylureas each independently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increased the risk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. Obesity was independently protective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against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."</w:t>
            </w:r>
          </w:p>
        </w:tc>
      </w:tr>
      <w:tr w:rsidR="0083077A" w:rsidRPr="0083077A" w14:paraId="389AE5F8" w14:textId="77777777" w:rsidTr="0083077A">
        <w:trPr>
          <w:trHeight w:val="94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F7125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Lodise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et al 2013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491BF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84F9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retosctive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cohort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2096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095ED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937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4A48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levofloxacin*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98E04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levo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9EC4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"Higher rates of both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and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hyperglycemia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were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noted among elderly hospitalized patients who received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compared with those receiving levofloxacin, irrespective of dosing."</w:t>
            </w:r>
          </w:p>
        </w:tc>
      </w:tr>
      <w:tr w:rsidR="0083077A" w:rsidRPr="0083077A" w14:paraId="53DBBE38" w14:textId="77777777" w:rsidTr="0083077A">
        <w:trPr>
          <w:trHeight w:val="315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52413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Merle et al 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5C39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Cotonou in Benin,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Conakry in Guinea, Nairobi in Kenya, Dakar 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Senegal, and Durban in South Africa.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D7E21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RCT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C7EA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outptaient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364CB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1836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EAC51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regimen with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580D5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regimen without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C4A5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"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-containing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regimen did not carry an increased risk of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, an adverse event that has been reported in older adults"</w:t>
            </w:r>
          </w:p>
        </w:tc>
      </w:tr>
      <w:tr w:rsidR="0083077A" w:rsidRPr="0083077A" w14:paraId="5EB9BE21" w14:textId="77777777" w:rsidTr="0083077A">
        <w:trPr>
          <w:trHeight w:val="945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D5E6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Onyenwenyi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et al 2007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BA37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B8E82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retrospective cohort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6EF91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inpatient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13517" w14:textId="77777777" w:rsidR="0083077A" w:rsidRPr="0083077A" w:rsidRDefault="0083077A" w:rsidP="008307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1504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E7BAA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AE719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cetrixone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088B8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"The risk of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dysglycemia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with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gatifloxacin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in this population of hospitalized patients was not as high as previously reported in ambulatory patients."</w:t>
            </w:r>
          </w:p>
        </w:tc>
      </w:tr>
      <w:tr w:rsidR="0083077A" w:rsidRPr="0083077A" w14:paraId="46BA59C4" w14:textId="77777777" w:rsidTr="0083077A">
        <w:trPr>
          <w:trHeight w:val="1260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FD62D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Schelleman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et al 2010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83C2F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USA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9CDFB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case control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0208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out patient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BB453" w14:textId="77777777" w:rsidR="0083077A" w:rsidRPr="0083077A" w:rsidRDefault="00E31688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bdo w:val="ltr">
              <w:r w:rsidR="0083077A" w:rsidRPr="0083077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en-MY"/>
                </w:rPr>
                <w:t>280,721</w:t>
              </w:r>
              <w:r w:rsidR="0083077A" w:rsidRPr="0083077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en-MY"/>
                </w:rPr>
                <w:t>‬</w:t>
              </w:r>
              <w:r>
                <w:t>‬</w:t>
              </w:r>
            </w:bdo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1CE96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co-trimoxazole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clarithromycin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fluconazole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>levofloxacin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22B0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cephalexin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9DBE" w14:textId="77777777" w:rsidR="0083077A" w:rsidRPr="0083077A" w:rsidRDefault="0083077A" w:rsidP="00830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</w:pP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"</w:t>
            </w:r>
            <w:proofErr w:type="gram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exposure</w:t>
            </w:r>
            <w:proofErr w:type="gram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 xml:space="preserve"> to all studied anti-infective</w:t>
            </w:r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br/>
              <w:t xml:space="preserve">agents were associated with subsequent severe </w:t>
            </w:r>
            <w:proofErr w:type="spellStart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hypoglycemia</w:t>
            </w:r>
            <w:proofErr w:type="spellEnd"/>
            <w:r w:rsidRPr="008307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MY"/>
              </w:rPr>
              <w:t>. Using cephalexin as the reference."</w:t>
            </w:r>
          </w:p>
        </w:tc>
      </w:tr>
    </w:tbl>
    <w:p w14:paraId="76128293" w14:textId="77777777" w:rsidR="0083077A" w:rsidRDefault="0083077A">
      <w:pPr>
        <w:rPr>
          <w:lang w:val="en-AU"/>
        </w:rPr>
      </w:pPr>
    </w:p>
    <w:p w14:paraId="3F284175" w14:textId="77777777" w:rsidR="0083077A" w:rsidRDefault="0083077A">
      <w:pPr>
        <w:rPr>
          <w:lang w:val="en-AU"/>
        </w:rPr>
      </w:pPr>
    </w:p>
    <w:p w14:paraId="0663E951" w14:textId="77777777" w:rsidR="0083077A" w:rsidRPr="0083077A" w:rsidRDefault="0083077A">
      <w:pPr>
        <w:rPr>
          <w:lang w:val="en-AU"/>
        </w:rPr>
      </w:pPr>
    </w:p>
    <w:sectPr w:rsidR="0083077A" w:rsidRPr="0083077A" w:rsidSect="0083077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DD4"/>
    <w:rsid w:val="004D4DD4"/>
    <w:rsid w:val="005C4FE4"/>
    <w:rsid w:val="0083077A"/>
    <w:rsid w:val="00E3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6651D"/>
  <w15:chartTrackingRefBased/>
  <w15:docId w15:val="{EABDB205-A10F-4039-A875-7DC9F46C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2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918</Words>
  <Characters>5239</Characters>
  <Application>Microsoft Office Word</Application>
  <DocSecurity>0</DocSecurity>
  <Lines>43</Lines>
  <Paragraphs>12</Paragraphs>
  <ScaleCrop>false</ScaleCrop>
  <Company>Microsoft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 Ming</dc:creator>
  <cp:keywords/>
  <dc:description/>
  <cp:lastModifiedBy>Mel Phimester</cp:lastModifiedBy>
  <cp:revision>2</cp:revision>
  <dcterms:created xsi:type="dcterms:W3CDTF">2021-09-08T08:04:00Z</dcterms:created>
  <dcterms:modified xsi:type="dcterms:W3CDTF">2021-09-08T08:04:00Z</dcterms:modified>
</cp:coreProperties>
</file>