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9C41C" w14:textId="37AF4234" w:rsidR="004C1CBD" w:rsidRPr="00457D58" w:rsidRDefault="00F37B57" w:rsidP="004C1CBD">
      <w:pPr>
        <w:ind w:left="-900"/>
        <w:jc w:val="center"/>
        <w:rPr>
          <w:rFonts w:ascii="Cambria" w:hAnsi="Cambria"/>
          <w:sz w:val="20"/>
        </w:rPr>
      </w:pPr>
      <w:r>
        <w:rPr>
          <w:rFonts w:asciiTheme="majorBidi" w:hAnsiTheme="majorBidi" w:cstheme="majorBidi"/>
          <w:b/>
          <w:bCs/>
        </w:rPr>
        <w:t xml:space="preserve">Supplementary </w:t>
      </w:r>
      <w:r w:rsidR="004C1CBD" w:rsidRPr="00BB14BE">
        <w:rPr>
          <w:rFonts w:asciiTheme="majorBidi" w:hAnsiTheme="majorBidi" w:cstheme="majorBidi"/>
          <w:b/>
          <w:bCs/>
        </w:rPr>
        <w:t xml:space="preserve">Table </w:t>
      </w:r>
      <w:r w:rsidR="00D97AD9">
        <w:rPr>
          <w:rFonts w:asciiTheme="majorBidi" w:hAnsiTheme="majorBidi" w:cstheme="majorBidi"/>
          <w:b/>
          <w:bCs/>
        </w:rPr>
        <w:t>1</w:t>
      </w:r>
      <w:r w:rsidR="004C1CBD">
        <w:rPr>
          <w:rFonts w:ascii="Cambria" w:hAnsi="Cambria"/>
          <w:sz w:val="20"/>
        </w:rPr>
        <w:t xml:space="preserve">. </w:t>
      </w:r>
      <w:r w:rsidR="004C1CBD" w:rsidRPr="00457D58">
        <w:rPr>
          <w:rFonts w:ascii="Cambria" w:hAnsi="Cambria"/>
          <w:sz w:val="20"/>
        </w:rPr>
        <w:t xml:space="preserve">Association between </w:t>
      </w:r>
      <w:r w:rsidR="004C1CBD">
        <w:rPr>
          <w:rFonts w:ascii="Cambria" w:hAnsi="Cambria"/>
          <w:sz w:val="20"/>
        </w:rPr>
        <w:t>socio-</w:t>
      </w:r>
      <w:r w:rsidR="004C1CBD" w:rsidRPr="00457D58">
        <w:rPr>
          <w:rFonts w:ascii="Cambria" w:hAnsi="Cambria"/>
          <w:sz w:val="20"/>
        </w:rPr>
        <w:t>demographic variables and the psychological impact</w:t>
      </w:r>
      <w:r w:rsidR="004C1CBD">
        <w:rPr>
          <w:rFonts w:ascii="Cambria" w:hAnsi="Cambria"/>
          <w:sz w:val="20"/>
        </w:rPr>
        <w:t>/</w:t>
      </w:r>
      <w:r w:rsidR="004C1CBD" w:rsidRPr="00457D58">
        <w:rPr>
          <w:rFonts w:ascii="Cambria" w:hAnsi="Cambria"/>
          <w:sz w:val="20"/>
        </w:rPr>
        <w:t>adverse mental</w:t>
      </w:r>
      <w:r w:rsidR="004C1CBD">
        <w:rPr>
          <w:rFonts w:ascii="Cambria" w:hAnsi="Cambria"/>
          <w:sz w:val="20"/>
        </w:rPr>
        <w:t xml:space="preserve"> </w:t>
      </w:r>
      <w:r w:rsidR="004C1CBD" w:rsidRPr="00457D58">
        <w:rPr>
          <w:rFonts w:ascii="Cambria" w:hAnsi="Cambria"/>
          <w:sz w:val="20"/>
        </w:rPr>
        <w:t xml:space="preserve">health status </w:t>
      </w:r>
      <w:r w:rsidR="004C1CBD">
        <w:rPr>
          <w:rFonts w:ascii="Cambria" w:hAnsi="Cambria"/>
          <w:sz w:val="20"/>
        </w:rPr>
        <w:t xml:space="preserve">of COVID-19 quarantine </w:t>
      </w:r>
      <w:r w:rsidR="004C1CBD" w:rsidRPr="00457D58">
        <w:rPr>
          <w:rFonts w:ascii="Cambria" w:hAnsi="Cambria"/>
          <w:sz w:val="20"/>
        </w:rPr>
        <w:t xml:space="preserve">(n = </w:t>
      </w:r>
      <w:r w:rsidR="00D97AD9">
        <w:rPr>
          <w:rFonts w:ascii="Cambria" w:hAnsi="Cambria"/>
          <w:sz w:val="20"/>
        </w:rPr>
        <w:t>214</w:t>
      </w:r>
      <w:r w:rsidR="004C1CBD" w:rsidRPr="00457D58">
        <w:rPr>
          <w:rFonts w:ascii="Cambria" w:hAnsi="Cambria"/>
          <w:sz w:val="20"/>
        </w:rPr>
        <w:t>).</w:t>
      </w:r>
    </w:p>
    <w:tbl>
      <w:tblPr>
        <w:tblStyle w:val="TableGrid"/>
        <w:tblW w:w="14940" w:type="dxa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1080"/>
        <w:gridCol w:w="1140"/>
        <w:gridCol w:w="1141"/>
        <w:gridCol w:w="633"/>
        <w:gridCol w:w="1078"/>
        <w:gridCol w:w="1079"/>
        <w:gridCol w:w="633"/>
        <w:gridCol w:w="1020"/>
        <w:gridCol w:w="1137"/>
        <w:gridCol w:w="604"/>
        <w:gridCol w:w="1093"/>
        <w:gridCol w:w="1093"/>
        <w:gridCol w:w="689"/>
      </w:tblGrid>
      <w:tr w:rsidR="004C1CBD" w:rsidRPr="00855F6F" w14:paraId="64A190C9" w14:textId="77777777" w:rsidTr="005D0856">
        <w:trPr>
          <w:trHeight w:val="20"/>
          <w:jc w:val="center"/>
        </w:trPr>
        <w:tc>
          <w:tcPr>
            <w:tcW w:w="2520" w:type="dxa"/>
            <w:vMerge w:val="restart"/>
            <w:vAlign w:val="center"/>
            <w:hideMark/>
          </w:tcPr>
          <w:p w14:paraId="4B054BC6" w14:textId="77777777" w:rsidR="004C1CBD" w:rsidRPr="00855F6F" w:rsidRDefault="004C1CBD" w:rsidP="005D0856">
            <w:pPr>
              <w:jc w:val="center"/>
              <w:rPr>
                <w:sz w:val="20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1080" w:type="dxa"/>
            <w:vMerge w:val="restart"/>
            <w:vAlign w:val="center"/>
          </w:tcPr>
          <w:p w14:paraId="2538D076" w14:textId="77777777" w:rsidR="004C1CBD" w:rsidRDefault="004C1CBD" w:rsidP="005D0856">
            <w:pPr>
              <w:ind w:left="-106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N (%)</w:t>
            </w:r>
          </w:p>
        </w:tc>
        <w:tc>
          <w:tcPr>
            <w:tcW w:w="2914" w:type="dxa"/>
            <w:gridSpan w:val="3"/>
            <w:hideMark/>
          </w:tcPr>
          <w:p w14:paraId="0FA1F711" w14:textId="77777777" w:rsidR="004C1CBD" w:rsidRPr="00907E05" w:rsidRDefault="00DF1491" w:rsidP="00DF1491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DF1491">
              <w:rPr>
                <w:rFonts w:ascii="Cambria" w:hAnsi="Cambria" w:cs="Arial"/>
                <w:b/>
                <w:bCs/>
                <w:sz w:val="16"/>
                <w:szCs w:val="16"/>
                <w:lang w:val="en-CA"/>
              </w:rPr>
              <w:t>psychological distress</w:t>
            </w:r>
            <w:r w:rsidRPr="00DF1491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</w:t>
            </w:r>
            <w:r w:rsidR="004C1CBD">
              <w:rPr>
                <w:rFonts w:ascii="Cambria" w:hAnsi="Cambria" w:cs="Arial"/>
                <w:b/>
                <w:bCs/>
                <w:sz w:val="16"/>
                <w:szCs w:val="16"/>
              </w:rPr>
              <w:t>(</w:t>
            </w:r>
            <w:r w:rsidR="004C1CBD"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IES</w:t>
            </w:r>
            <w:r w:rsidR="004C1CBD">
              <w:rPr>
                <w:rFonts w:ascii="Cambria" w:hAnsi="Cambria" w:cs="Arial"/>
                <w:b/>
                <w:bCs/>
                <w:sz w:val="16"/>
                <w:szCs w:val="16"/>
              </w:rPr>
              <w:t>-R)</w:t>
            </w:r>
          </w:p>
        </w:tc>
        <w:tc>
          <w:tcPr>
            <w:tcW w:w="2790" w:type="dxa"/>
            <w:gridSpan w:val="3"/>
            <w:hideMark/>
          </w:tcPr>
          <w:p w14:paraId="5390037E" w14:textId="77777777" w:rsidR="004C1CBD" w:rsidRPr="00907E05" w:rsidRDefault="004C1CBD" w:rsidP="005D085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Stress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(DASS)</w:t>
            </w:r>
          </w:p>
        </w:tc>
        <w:tc>
          <w:tcPr>
            <w:tcW w:w="2761" w:type="dxa"/>
            <w:gridSpan w:val="3"/>
            <w:hideMark/>
          </w:tcPr>
          <w:p w14:paraId="56E2DB14" w14:textId="77777777" w:rsidR="004C1CBD" w:rsidRPr="00907E05" w:rsidRDefault="004C1CBD" w:rsidP="005D085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Anxiety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(DASS)</w:t>
            </w:r>
          </w:p>
        </w:tc>
        <w:tc>
          <w:tcPr>
            <w:tcW w:w="2875" w:type="dxa"/>
            <w:gridSpan w:val="3"/>
            <w:hideMark/>
          </w:tcPr>
          <w:p w14:paraId="57FB7418" w14:textId="77777777" w:rsidR="004C1CBD" w:rsidRPr="00907E05" w:rsidRDefault="004C1CBD" w:rsidP="005D085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Depression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(DASS)</w:t>
            </w:r>
          </w:p>
        </w:tc>
      </w:tr>
      <w:tr w:rsidR="004C1CBD" w:rsidRPr="00855F6F" w14:paraId="46001416" w14:textId="77777777" w:rsidTr="005D0856">
        <w:trPr>
          <w:trHeight w:val="20"/>
          <w:jc w:val="center"/>
        </w:trPr>
        <w:tc>
          <w:tcPr>
            <w:tcW w:w="2520" w:type="dxa"/>
            <w:vMerge/>
            <w:hideMark/>
          </w:tcPr>
          <w:p w14:paraId="253C6795" w14:textId="77777777" w:rsidR="004C1CBD" w:rsidRPr="00855F6F" w:rsidRDefault="004C1CBD" w:rsidP="005D0856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14:paraId="195E7C93" w14:textId="77777777" w:rsidR="004C1CBD" w:rsidRPr="00907E05" w:rsidRDefault="004C1CBD" w:rsidP="005D0856">
            <w:pPr>
              <w:ind w:left="-106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hideMark/>
          </w:tcPr>
          <w:p w14:paraId="58DDC4C7" w14:textId="77777777" w:rsidR="004C1CBD" w:rsidRPr="00907E05" w:rsidRDefault="004C1CBD" w:rsidP="005D085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141" w:type="dxa"/>
            <w:hideMark/>
          </w:tcPr>
          <w:p w14:paraId="4ED2FB08" w14:textId="77777777" w:rsidR="004C1CBD" w:rsidRPr="00907E05" w:rsidRDefault="004C1CBD" w:rsidP="005D085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33" w:type="dxa"/>
            <w:noWrap/>
            <w:hideMark/>
          </w:tcPr>
          <w:p w14:paraId="0EF53B99" w14:textId="77777777" w:rsidR="004C1CBD" w:rsidRPr="00907E05" w:rsidRDefault="004C1CBD" w:rsidP="005D085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78" w:type="dxa"/>
            <w:hideMark/>
          </w:tcPr>
          <w:p w14:paraId="70FC2051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079" w:type="dxa"/>
            <w:hideMark/>
          </w:tcPr>
          <w:p w14:paraId="1370A50F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33" w:type="dxa"/>
            <w:noWrap/>
            <w:hideMark/>
          </w:tcPr>
          <w:p w14:paraId="6378FE00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20" w:type="dxa"/>
            <w:hideMark/>
          </w:tcPr>
          <w:p w14:paraId="33B51FC4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137" w:type="dxa"/>
            <w:hideMark/>
          </w:tcPr>
          <w:p w14:paraId="46906CE8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04" w:type="dxa"/>
            <w:noWrap/>
            <w:hideMark/>
          </w:tcPr>
          <w:p w14:paraId="2DAEDDCB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93" w:type="dxa"/>
            <w:hideMark/>
          </w:tcPr>
          <w:p w14:paraId="287F8299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093" w:type="dxa"/>
            <w:hideMark/>
          </w:tcPr>
          <w:p w14:paraId="3EC1F6DB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89" w:type="dxa"/>
            <w:noWrap/>
            <w:hideMark/>
          </w:tcPr>
          <w:p w14:paraId="32281024" w14:textId="77777777" w:rsidR="004C1CBD" w:rsidRPr="00855F6F" w:rsidRDefault="004C1CBD" w:rsidP="005D085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07E05">
              <w:rPr>
                <w:rFonts w:ascii="Cambria" w:hAnsi="Cambria" w:cs="Arial"/>
                <w:b/>
                <w:bCs/>
                <w:sz w:val="16"/>
                <w:szCs w:val="16"/>
              </w:rPr>
              <w:t>p</w:t>
            </w:r>
          </w:p>
        </w:tc>
      </w:tr>
      <w:tr w:rsidR="004C1CBD" w:rsidRPr="00855F6F" w14:paraId="48334CD7" w14:textId="77777777" w:rsidTr="005D0856">
        <w:trPr>
          <w:trHeight w:val="20"/>
          <w:jc w:val="center"/>
        </w:trPr>
        <w:tc>
          <w:tcPr>
            <w:tcW w:w="14940" w:type="dxa"/>
            <w:gridSpan w:val="14"/>
          </w:tcPr>
          <w:p w14:paraId="0C0F761F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AE238C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Family monthly income</w:t>
            </w:r>
          </w:p>
        </w:tc>
      </w:tr>
      <w:tr w:rsidR="004C1CBD" w:rsidRPr="00855F6F" w14:paraId="4CE7E33F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7317BC2E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&lt;5000 SAR</w:t>
            </w:r>
          </w:p>
        </w:tc>
        <w:tc>
          <w:tcPr>
            <w:tcW w:w="1080" w:type="dxa"/>
            <w:vAlign w:val="bottom"/>
          </w:tcPr>
          <w:p w14:paraId="709B1603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35 (16.4%)</w:t>
            </w:r>
          </w:p>
        </w:tc>
        <w:tc>
          <w:tcPr>
            <w:tcW w:w="1140" w:type="dxa"/>
            <w:noWrap/>
            <w:vAlign w:val="bottom"/>
            <w:hideMark/>
          </w:tcPr>
          <w:p w14:paraId="08A8611D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(22.9%)</w:t>
            </w:r>
          </w:p>
        </w:tc>
        <w:tc>
          <w:tcPr>
            <w:tcW w:w="1141" w:type="dxa"/>
            <w:noWrap/>
            <w:vAlign w:val="bottom"/>
            <w:hideMark/>
          </w:tcPr>
          <w:p w14:paraId="3EA237ED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(77.1%)</w:t>
            </w:r>
          </w:p>
        </w:tc>
        <w:tc>
          <w:tcPr>
            <w:tcW w:w="633" w:type="dxa"/>
            <w:vMerge w:val="restart"/>
            <w:noWrap/>
            <w:hideMark/>
          </w:tcPr>
          <w:p w14:paraId="7048673F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0.948</w:t>
            </w:r>
          </w:p>
        </w:tc>
        <w:tc>
          <w:tcPr>
            <w:tcW w:w="1078" w:type="dxa"/>
            <w:noWrap/>
            <w:vAlign w:val="bottom"/>
            <w:hideMark/>
          </w:tcPr>
          <w:p w14:paraId="24ADC829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(22.9%)</w:t>
            </w:r>
          </w:p>
        </w:tc>
        <w:tc>
          <w:tcPr>
            <w:tcW w:w="1079" w:type="dxa"/>
            <w:noWrap/>
            <w:vAlign w:val="bottom"/>
            <w:hideMark/>
          </w:tcPr>
          <w:p w14:paraId="39E49281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(77.1%)</w:t>
            </w:r>
          </w:p>
        </w:tc>
        <w:tc>
          <w:tcPr>
            <w:tcW w:w="633" w:type="dxa"/>
            <w:vMerge w:val="restart"/>
            <w:noWrap/>
            <w:hideMark/>
          </w:tcPr>
          <w:p w14:paraId="10D52EE4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0.611</w:t>
            </w:r>
          </w:p>
        </w:tc>
        <w:tc>
          <w:tcPr>
            <w:tcW w:w="1020" w:type="dxa"/>
            <w:noWrap/>
            <w:vAlign w:val="bottom"/>
            <w:hideMark/>
          </w:tcPr>
          <w:p w14:paraId="5D749401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(22.9%)</w:t>
            </w:r>
          </w:p>
        </w:tc>
        <w:tc>
          <w:tcPr>
            <w:tcW w:w="1137" w:type="dxa"/>
            <w:noWrap/>
            <w:vAlign w:val="bottom"/>
            <w:hideMark/>
          </w:tcPr>
          <w:p w14:paraId="5C5EC686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(77.1%)</w:t>
            </w:r>
          </w:p>
        </w:tc>
        <w:tc>
          <w:tcPr>
            <w:tcW w:w="604" w:type="dxa"/>
            <w:vMerge w:val="restart"/>
            <w:noWrap/>
            <w:hideMark/>
          </w:tcPr>
          <w:p w14:paraId="3AF2EC8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0.340</w:t>
            </w:r>
          </w:p>
        </w:tc>
        <w:tc>
          <w:tcPr>
            <w:tcW w:w="1093" w:type="dxa"/>
            <w:noWrap/>
            <w:vAlign w:val="bottom"/>
            <w:hideMark/>
          </w:tcPr>
          <w:p w14:paraId="1469D05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(22.9%)</w:t>
            </w:r>
          </w:p>
        </w:tc>
        <w:tc>
          <w:tcPr>
            <w:tcW w:w="1093" w:type="dxa"/>
            <w:noWrap/>
            <w:vAlign w:val="bottom"/>
            <w:hideMark/>
          </w:tcPr>
          <w:p w14:paraId="3A6966E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(77.1%)</w:t>
            </w:r>
          </w:p>
        </w:tc>
        <w:tc>
          <w:tcPr>
            <w:tcW w:w="689" w:type="dxa"/>
            <w:vMerge w:val="restart"/>
            <w:noWrap/>
            <w:hideMark/>
          </w:tcPr>
          <w:p w14:paraId="789D7D96" w14:textId="77777777" w:rsidR="004C1CBD" w:rsidRPr="00A13D97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0.339</w:t>
            </w:r>
          </w:p>
        </w:tc>
      </w:tr>
      <w:tr w:rsidR="004C1CBD" w:rsidRPr="00855F6F" w14:paraId="179FC196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7705B62F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5000-9999 SAR</w:t>
            </w:r>
          </w:p>
        </w:tc>
        <w:tc>
          <w:tcPr>
            <w:tcW w:w="1080" w:type="dxa"/>
            <w:vAlign w:val="bottom"/>
          </w:tcPr>
          <w:p w14:paraId="312B2229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46 (21.5%)</w:t>
            </w:r>
          </w:p>
        </w:tc>
        <w:tc>
          <w:tcPr>
            <w:tcW w:w="1140" w:type="dxa"/>
            <w:noWrap/>
            <w:vAlign w:val="bottom"/>
            <w:hideMark/>
          </w:tcPr>
          <w:p w14:paraId="5ECA46C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13 (28.3%)</w:t>
            </w:r>
          </w:p>
        </w:tc>
        <w:tc>
          <w:tcPr>
            <w:tcW w:w="1141" w:type="dxa"/>
            <w:noWrap/>
            <w:vAlign w:val="bottom"/>
            <w:hideMark/>
          </w:tcPr>
          <w:p w14:paraId="1109150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33 (71.7%)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2477BEBA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20DCA69C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 (21.7%)</w:t>
            </w:r>
          </w:p>
        </w:tc>
        <w:tc>
          <w:tcPr>
            <w:tcW w:w="1079" w:type="dxa"/>
            <w:noWrap/>
            <w:vAlign w:val="bottom"/>
            <w:hideMark/>
          </w:tcPr>
          <w:p w14:paraId="4BF07B9F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36 (78.3%)</w:t>
            </w:r>
          </w:p>
        </w:tc>
        <w:tc>
          <w:tcPr>
            <w:tcW w:w="633" w:type="dxa"/>
            <w:vMerge/>
            <w:noWrap/>
            <w:hideMark/>
          </w:tcPr>
          <w:p w14:paraId="63C37181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BE64D89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 (10.9%)</w:t>
            </w:r>
          </w:p>
        </w:tc>
        <w:tc>
          <w:tcPr>
            <w:tcW w:w="1137" w:type="dxa"/>
            <w:noWrap/>
            <w:vAlign w:val="bottom"/>
            <w:hideMark/>
          </w:tcPr>
          <w:p w14:paraId="2D395B49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41 (89.1%)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0C6FC32F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369F966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 (45.7%)</w:t>
            </w:r>
          </w:p>
        </w:tc>
        <w:tc>
          <w:tcPr>
            <w:tcW w:w="1093" w:type="dxa"/>
            <w:noWrap/>
            <w:vAlign w:val="bottom"/>
            <w:hideMark/>
          </w:tcPr>
          <w:p w14:paraId="2358B27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25 (54.3%)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1CC39E6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4F4EDEB2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66D262DE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10000-14999 SAR</w:t>
            </w:r>
          </w:p>
        </w:tc>
        <w:tc>
          <w:tcPr>
            <w:tcW w:w="1080" w:type="dxa"/>
            <w:vAlign w:val="bottom"/>
          </w:tcPr>
          <w:p w14:paraId="3027D483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55 (25.7%)</w:t>
            </w:r>
          </w:p>
        </w:tc>
        <w:tc>
          <w:tcPr>
            <w:tcW w:w="1140" w:type="dxa"/>
            <w:noWrap/>
            <w:vAlign w:val="bottom"/>
            <w:hideMark/>
          </w:tcPr>
          <w:p w14:paraId="031074B8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16 (29.1%)</w:t>
            </w:r>
          </w:p>
        </w:tc>
        <w:tc>
          <w:tcPr>
            <w:tcW w:w="1141" w:type="dxa"/>
            <w:noWrap/>
            <w:vAlign w:val="bottom"/>
            <w:hideMark/>
          </w:tcPr>
          <w:p w14:paraId="295A632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39 (70.9%)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0B99A9E2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2116F2C2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14 (25.5%)</w:t>
            </w:r>
          </w:p>
        </w:tc>
        <w:tc>
          <w:tcPr>
            <w:tcW w:w="1079" w:type="dxa"/>
            <w:noWrap/>
            <w:vAlign w:val="bottom"/>
            <w:hideMark/>
          </w:tcPr>
          <w:p w14:paraId="086BC409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41 (74.5%)</w:t>
            </w:r>
          </w:p>
        </w:tc>
        <w:tc>
          <w:tcPr>
            <w:tcW w:w="633" w:type="dxa"/>
            <w:vMerge/>
            <w:noWrap/>
            <w:hideMark/>
          </w:tcPr>
          <w:p w14:paraId="294C52A8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00BB226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13 (23.6%)</w:t>
            </w:r>
          </w:p>
        </w:tc>
        <w:tc>
          <w:tcPr>
            <w:tcW w:w="1137" w:type="dxa"/>
            <w:noWrap/>
            <w:vAlign w:val="bottom"/>
            <w:hideMark/>
          </w:tcPr>
          <w:p w14:paraId="0BBE41B6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42 (76.4%)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1CEB97CB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152B14D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16 (29.1%)</w:t>
            </w:r>
          </w:p>
        </w:tc>
        <w:tc>
          <w:tcPr>
            <w:tcW w:w="1093" w:type="dxa"/>
            <w:noWrap/>
            <w:vAlign w:val="bottom"/>
            <w:hideMark/>
          </w:tcPr>
          <w:p w14:paraId="30CAA078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39 (70.9%)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687AEFD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7E343090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1FC22E3B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15000-19999 SAR</w:t>
            </w:r>
          </w:p>
        </w:tc>
        <w:tc>
          <w:tcPr>
            <w:tcW w:w="1080" w:type="dxa"/>
            <w:vAlign w:val="bottom"/>
          </w:tcPr>
          <w:p w14:paraId="77743F8F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34 (15.9%)</w:t>
            </w:r>
          </w:p>
        </w:tc>
        <w:tc>
          <w:tcPr>
            <w:tcW w:w="1140" w:type="dxa"/>
            <w:noWrap/>
            <w:vAlign w:val="bottom"/>
            <w:hideMark/>
          </w:tcPr>
          <w:p w14:paraId="41B73EA5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 (32.4%)</w:t>
            </w:r>
          </w:p>
        </w:tc>
        <w:tc>
          <w:tcPr>
            <w:tcW w:w="1141" w:type="dxa"/>
            <w:noWrap/>
            <w:vAlign w:val="bottom"/>
            <w:hideMark/>
          </w:tcPr>
          <w:p w14:paraId="2DEB16C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23 (67.6%)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2ED5E48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5EABE74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13 (38.2%)</w:t>
            </w:r>
          </w:p>
        </w:tc>
        <w:tc>
          <w:tcPr>
            <w:tcW w:w="1079" w:type="dxa"/>
            <w:noWrap/>
            <w:vAlign w:val="bottom"/>
            <w:hideMark/>
          </w:tcPr>
          <w:p w14:paraId="03D47466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 (61.8%)</w:t>
            </w:r>
          </w:p>
        </w:tc>
        <w:tc>
          <w:tcPr>
            <w:tcW w:w="633" w:type="dxa"/>
            <w:vMerge/>
            <w:noWrap/>
            <w:hideMark/>
          </w:tcPr>
          <w:p w14:paraId="08822C3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4E73EE8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 (32.4%)</w:t>
            </w:r>
          </w:p>
        </w:tc>
        <w:tc>
          <w:tcPr>
            <w:tcW w:w="1137" w:type="dxa"/>
            <w:noWrap/>
            <w:vAlign w:val="bottom"/>
            <w:hideMark/>
          </w:tcPr>
          <w:p w14:paraId="3665069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23 (67.6%)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5CBAFDE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0CAAD34C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12 (35.3%)</w:t>
            </w:r>
          </w:p>
        </w:tc>
        <w:tc>
          <w:tcPr>
            <w:tcW w:w="1093" w:type="dxa"/>
            <w:noWrap/>
            <w:vAlign w:val="bottom"/>
            <w:hideMark/>
          </w:tcPr>
          <w:p w14:paraId="1078B852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22 (64.7%)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0243CDA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45B1C032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3338026C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20000-24999 SAR</w:t>
            </w:r>
          </w:p>
        </w:tc>
        <w:tc>
          <w:tcPr>
            <w:tcW w:w="1080" w:type="dxa"/>
            <w:vAlign w:val="bottom"/>
          </w:tcPr>
          <w:p w14:paraId="06C1A841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 (4.7%)</w:t>
            </w:r>
          </w:p>
        </w:tc>
        <w:tc>
          <w:tcPr>
            <w:tcW w:w="1140" w:type="dxa"/>
            <w:noWrap/>
            <w:vAlign w:val="bottom"/>
            <w:hideMark/>
          </w:tcPr>
          <w:p w14:paraId="4E606FDF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 (20.0%)</w:t>
            </w:r>
          </w:p>
        </w:tc>
        <w:tc>
          <w:tcPr>
            <w:tcW w:w="1141" w:type="dxa"/>
            <w:noWrap/>
            <w:vAlign w:val="bottom"/>
            <w:hideMark/>
          </w:tcPr>
          <w:p w14:paraId="64B0A8EF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(80.0%)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684DBA6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08F4081D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 (20.0%)</w:t>
            </w:r>
          </w:p>
        </w:tc>
        <w:tc>
          <w:tcPr>
            <w:tcW w:w="1079" w:type="dxa"/>
            <w:noWrap/>
            <w:vAlign w:val="bottom"/>
            <w:hideMark/>
          </w:tcPr>
          <w:p w14:paraId="14E7F11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(80.0%)</w:t>
            </w:r>
          </w:p>
        </w:tc>
        <w:tc>
          <w:tcPr>
            <w:tcW w:w="633" w:type="dxa"/>
            <w:vMerge/>
            <w:noWrap/>
            <w:hideMark/>
          </w:tcPr>
          <w:p w14:paraId="2118CDCF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F9C387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 (20.0%)</w:t>
            </w:r>
          </w:p>
        </w:tc>
        <w:tc>
          <w:tcPr>
            <w:tcW w:w="1137" w:type="dxa"/>
            <w:noWrap/>
            <w:vAlign w:val="bottom"/>
            <w:hideMark/>
          </w:tcPr>
          <w:p w14:paraId="37301FC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(80.0%)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4C3EEAC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24C0DE6F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 (30.0%)</w:t>
            </w:r>
          </w:p>
        </w:tc>
        <w:tc>
          <w:tcPr>
            <w:tcW w:w="1093" w:type="dxa"/>
            <w:noWrap/>
            <w:vAlign w:val="bottom"/>
            <w:hideMark/>
          </w:tcPr>
          <w:p w14:paraId="16220685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 (70.0%)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3260C6A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7D509B37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4F271B99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&gt;25000 SAR</w:t>
            </w:r>
          </w:p>
        </w:tc>
        <w:tc>
          <w:tcPr>
            <w:tcW w:w="1080" w:type="dxa"/>
            <w:vAlign w:val="bottom"/>
          </w:tcPr>
          <w:p w14:paraId="2A5AA9D4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34 (15.9%)</w:t>
            </w:r>
          </w:p>
        </w:tc>
        <w:tc>
          <w:tcPr>
            <w:tcW w:w="1140" w:type="dxa"/>
            <w:noWrap/>
            <w:vAlign w:val="bottom"/>
            <w:hideMark/>
          </w:tcPr>
          <w:p w14:paraId="7331FD68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 (29.4%)</w:t>
            </w:r>
          </w:p>
        </w:tc>
        <w:tc>
          <w:tcPr>
            <w:tcW w:w="1141" w:type="dxa"/>
            <w:noWrap/>
            <w:vAlign w:val="bottom"/>
            <w:hideMark/>
          </w:tcPr>
          <w:p w14:paraId="5FD3855A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24 (70.6%)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50AFB03A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7F08757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(23.5%)</w:t>
            </w:r>
          </w:p>
        </w:tc>
        <w:tc>
          <w:tcPr>
            <w:tcW w:w="1079" w:type="dxa"/>
            <w:noWrap/>
            <w:vAlign w:val="bottom"/>
            <w:hideMark/>
          </w:tcPr>
          <w:p w14:paraId="028E37C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26 (76.5%)</w:t>
            </w:r>
          </w:p>
        </w:tc>
        <w:tc>
          <w:tcPr>
            <w:tcW w:w="633" w:type="dxa"/>
            <w:vMerge/>
            <w:noWrap/>
            <w:hideMark/>
          </w:tcPr>
          <w:p w14:paraId="24FDE0E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AA8AB3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 (20.6%)</w:t>
            </w:r>
          </w:p>
        </w:tc>
        <w:tc>
          <w:tcPr>
            <w:tcW w:w="1137" w:type="dxa"/>
            <w:noWrap/>
            <w:vAlign w:val="bottom"/>
            <w:hideMark/>
          </w:tcPr>
          <w:p w14:paraId="73BD7CE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(79.4%)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476C8F0B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2AB8619A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 (29.4%)</w:t>
            </w:r>
          </w:p>
        </w:tc>
        <w:tc>
          <w:tcPr>
            <w:tcW w:w="1093" w:type="dxa"/>
            <w:noWrap/>
            <w:vAlign w:val="bottom"/>
            <w:hideMark/>
          </w:tcPr>
          <w:p w14:paraId="7E852B28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24 (70.6%)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55D5920B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244DBAAF" w14:textId="77777777" w:rsidTr="005D0856">
        <w:trPr>
          <w:trHeight w:val="20"/>
          <w:jc w:val="center"/>
        </w:trPr>
        <w:tc>
          <w:tcPr>
            <w:tcW w:w="14940" w:type="dxa"/>
            <w:gridSpan w:val="14"/>
          </w:tcPr>
          <w:p w14:paraId="185F8A6A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AE238C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Housing type</w:t>
            </w:r>
          </w:p>
        </w:tc>
      </w:tr>
      <w:tr w:rsidR="004C1CBD" w:rsidRPr="00855F6F" w14:paraId="0061CC6D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54FF8B90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</w:t>
            </w:r>
            <w:r w:rsidRPr="00855F6F">
              <w:rPr>
                <w:rFonts w:ascii="Cambria" w:hAnsi="Cambria" w:cs="Arial"/>
                <w:sz w:val="16"/>
                <w:szCs w:val="16"/>
              </w:rPr>
              <w:t>loor in a villa</w:t>
            </w:r>
          </w:p>
        </w:tc>
        <w:tc>
          <w:tcPr>
            <w:tcW w:w="1080" w:type="dxa"/>
            <w:vAlign w:val="bottom"/>
          </w:tcPr>
          <w:p w14:paraId="6A99F1CB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22 (10.3%)</w:t>
            </w:r>
          </w:p>
        </w:tc>
        <w:tc>
          <w:tcPr>
            <w:tcW w:w="1140" w:type="dxa"/>
            <w:noWrap/>
            <w:vAlign w:val="bottom"/>
            <w:hideMark/>
          </w:tcPr>
          <w:p w14:paraId="2EDDFAD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 (27.3%)</w:t>
            </w:r>
          </w:p>
        </w:tc>
        <w:tc>
          <w:tcPr>
            <w:tcW w:w="1141" w:type="dxa"/>
            <w:noWrap/>
            <w:vAlign w:val="bottom"/>
            <w:hideMark/>
          </w:tcPr>
          <w:p w14:paraId="14EC30B8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16 (72.7%)</w:t>
            </w:r>
          </w:p>
        </w:tc>
        <w:tc>
          <w:tcPr>
            <w:tcW w:w="633" w:type="dxa"/>
            <w:vMerge w:val="restart"/>
            <w:noWrap/>
            <w:hideMark/>
          </w:tcPr>
          <w:p w14:paraId="4415C1EF" w14:textId="77777777" w:rsidR="004C1CBD" w:rsidRPr="00A13D97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0.108</w:t>
            </w:r>
          </w:p>
        </w:tc>
        <w:tc>
          <w:tcPr>
            <w:tcW w:w="1078" w:type="dxa"/>
            <w:noWrap/>
            <w:vAlign w:val="bottom"/>
            <w:hideMark/>
          </w:tcPr>
          <w:p w14:paraId="11BDC56B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 (9.1%)</w:t>
            </w:r>
          </w:p>
        </w:tc>
        <w:tc>
          <w:tcPr>
            <w:tcW w:w="1079" w:type="dxa"/>
            <w:noWrap/>
            <w:vAlign w:val="bottom"/>
            <w:hideMark/>
          </w:tcPr>
          <w:p w14:paraId="384B5A4F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 (90.9%)</w:t>
            </w:r>
          </w:p>
        </w:tc>
        <w:tc>
          <w:tcPr>
            <w:tcW w:w="633" w:type="dxa"/>
            <w:vMerge w:val="restart"/>
            <w:noWrap/>
            <w:hideMark/>
          </w:tcPr>
          <w:p w14:paraId="3DD46AA2" w14:textId="77777777" w:rsidR="004C1CBD" w:rsidRPr="00695B71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695B71">
              <w:rPr>
                <w:rFonts w:ascii="Cambria" w:hAnsi="Cambria" w:cs="Arial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020" w:type="dxa"/>
            <w:noWrap/>
            <w:vAlign w:val="bottom"/>
            <w:hideMark/>
          </w:tcPr>
          <w:p w14:paraId="190B8BD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 (18.2%)</w:t>
            </w:r>
          </w:p>
        </w:tc>
        <w:tc>
          <w:tcPr>
            <w:tcW w:w="1137" w:type="dxa"/>
            <w:noWrap/>
            <w:vAlign w:val="bottom"/>
            <w:hideMark/>
          </w:tcPr>
          <w:p w14:paraId="6B00796A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18 (81.8%)</w:t>
            </w:r>
          </w:p>
        </w:tc>
        <w:tc>
          <w:tcPr>
            <w:tcW w:w="604" w:type="dxa"/>
            <w:vMerge w:val="restart"/>
            <w:noWrap/>
            <w:hideMark/>
          </w:tcPr>
          <w:p w14:paraId="0C3ECE3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0.912</w:t>
            </w:r>
          </w:p>
        </w:tc>
        <w:tc>
          <w:tcPr>
            <w:tcW w:w="1093" w:type="dxa"/>
            <w:noWrap/>
            <w:vAlign w:val="bottom"/>
            <w:hideMark/>
          </w:tcPr>
          <w:p w14:paraId="60792336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 (18.2%)</w:t>
            </w:r>
          </w:p>
        </w:tc>
        <w:tc>
          <w:tcPr>
            <w:tcW w:w="1093" w:type="dxa"/>
            <w:noWrap/>
            <w:vAlign w:val="bottom"/>
            <w:hideMark/>
          </w:tcPr>
          <w:p w14:paraId="2248C0A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18 (81.8%)</w:t>
            </w:r>
          </w:p>
        </w:tc>
        <w:tc>
          <w:tcPr>
            <w:tcW w:w="689" w:type="dxa"/>
            <w:vMerge w:val="restart"/>
            <w:noWrap/>
            <w:hideMark/>
          </w:tcPr>
          <w:p w14:paraId="5C13D86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0.162</w:t>
            </w:r>
          </w:p>
        </w:tc>
      </w:tr>
      <w:tr w:rsidR="004C1CBD" w:rsidRPr="00855F6F" w14:paraId="34A32893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42EC1F61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</w:t>
            </w:r>
            <w:r w:rsidRPr="00855F6F">
              <w:rPr>
                <w:rFonts w:ascii="Cambria" w:hAnsi="Cambria" w:cs="Arial"/>
                <w:sz w:val="16"/>
                <w:szCs w:val="16"/>
              </w:rPr>
              <w:t>partment</w:t>
            </w:r>
          </w:p>
        </w:tc>
        <w:tc>
          <w:tcPr>
            <w:tcW w:w="1080" w:type="dxa"/>
            <w:vAlign w:val="bottom"/>
          </w:tcPr>
          <w:p w14:paraId="777CA567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98 (45.8%)</w:t>
            </w:r>
          </w:p>
        </w:tc>
        <w:tc>
          <w:tcPr>
            <w:tcW w:w="1140" w:type="dxa"/>
            <w:noWrap/>
            <w:vAlign w:val="bottom"/>
            <w:hideMark/>
          </w:tcPr>
          <w:p w14:paraId="03E24E7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 (21.4%)</w:t>
            </w:r>
          </w:p>
        </w:tc>
        <w:tc>
          <w:tcPr>
            <w:tcW w:w="1141" w:type="dxa"/>
            <w:noWrap/>
            <w:vAlign w:val="bottom"/>
            <w:hideMark/>
          </w:tcPr>
          <w:p w14:paraId="1BE9E4CF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77 (78.6%)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76FB930A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2C44EF87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22 (22.4%)</w:t>
            </w:r>
          </w:p>
        </w:tc>
        <w:tc>
          <w:tcPr>
            <w:tcW w:w="1079" w:type="dxa"/>
            <w:noWrap/>
            <w:vAlign w:val="bottom"/>
            <w:hideMark/>
          </w:tcPr>
          <w:p w14:paraId="6BA5E27C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76 (77.6%)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55EEA415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F19AF5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 (21.4%)</w:t>
            </w:r>
          </w:p>
        </w:tc>
        <w:tc>
          <w:tcPr>
            <w:tcW w:w="1137" w:type="dxa"/>
            <w:noWrap/>
            <w:vAlign w:val="bottom"/>
            <w:hideMark/>
          </w:tcPr>
          <w:p w14:paraId="57688428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77 (78.6%)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5FA2CD6B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03AF686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 (30.6%)</w:t>
            </w:r>
          </w:p>
        </w:tc>
        <w:tc>
          <w:tcPr>
            <w:tcW w:w="1093" w:type="dxa"/>
            <w:noWrap/>
            <w:vAlign w:val="bottom"/>
            <w:hideMark/>
          </w:tcPr>
          <w:p w14:paraId="7B43F0E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68 (69.4%)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787ED44B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28771CAB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72585575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V</w:t>
            </w:r>
            <w:r w:rsidRPr="00855F6F">
              <w:rPr>
                <w:rFonts w:ascii="Cambria" w:hAnsi="Cambria" w:cs="Arial"/>
                <w:sz w:val="16"/>
                <w:szCs w:val="16"/>
              </w:rPr>
              <w:t>illa</w:t>
            </w:r>
          </w:p>
        </w:tc>
        <w:tc>
          <w:tcPr>
            <w:tcW w:w="1080" w:type="dxa"/>
            <w:vAlign w:val="bottom"/>
          </w:tcPr>
          <w:p w14:paraId="41D36356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94 (43.9%)</w:t>
            </w:r>
          </w:p>
        </w:tc>
        <w:tc>
          <w:tcPr>
            <w:tcW w:w="1140" w:type="dxa"/>
            <w:noWrap/>
            <w:vAlign w:val="bottom"/>
            <w:hideMark/>
          </w:tcPr>
          <w:p w14:paraId="6596C19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33 (35.1%)</w:t>
            </w:r>
          </w:p>
        </w:tc>
        <w:tc>
          <w:tcPr>
            <w:tcW w:w="1141" w:type="dxa"/>
            <w:noWrap/>
            <w:vAlign w:val="bottom"/>
            <w:hideMark/>
          </w:tcPr>
          <w:p w14:paraId="638CC405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61 (64.9%)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2A48E6AF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49C68C82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 (33.0%)</w:t>
            </w:r>
          </w:p>
        </w:tc>
        <w:tc>
          <w:tcPr>
            <w:tcW w:w="1079" w:type="dxa"/>
            <w:noWrap/>
            <w:vAlign w:val="bottom"/>
            <w:hideMark/>
          </w:tcPr>
          <w:p w14:paraId="6109354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63 (67.0%)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394D239B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F5BCA1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 (22.3%)</w:t>
            </w:r>
          </w:p>
        </w:tc>
        <w:tc>
          <w:tcPr>
            <w:tcW w:w="1137" w:type="dxa"/>
            <w:noWrap/>
            <w:vAlign w:val="bottom"/>
            <w:hideMark/>
          </w:tcPr>
          <w:p w14:paraId="5F65044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73 (77.7%)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4162513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73D3808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36 (38.3%)</w:t>
            </w:r>
          </w:p>
        </w:tc>
        <w:tc>
          <w:tcPr>
            <w:tcW w:w="1093" w:type="dxa"/>
            <w:noWrap/>
            <w:vAlign w:val="bottom"/>
            <w:hideMark/>
          </w:tcPr>
          <w:p w14:paraId="13F5AB8F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58 (61.7%)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52C3469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429B565B" w14:textId="77777777" w:rsidTr="005D0856">
        <w:trPr>
          <w:trHeight w:val="20"/>
          <w:jc w:val="center"/>
        </w:trPr>
        <w:tc>
          <w:tcPr>
            <w:tcW w:w="14940" w:type="dxa"/>
            <w:gridSpan w:val="14"/>
          </w:tcPr>
          <w:p w14:paraId="7C93867D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AE238C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Number of individuals residing in the household</w:t>
            </w:r>
          </w:p>
        </w:tc>
      </w:tr>
      <w:tr w:rsidR="004C1CBD" w:rsidRPr="00855F6F" w14:paraId="715E23FE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5C4CBF18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1 person</w:t>
            </w:r>
          </w:p>
        </w:tc>
        <w:tc>
          <w:tcPr>
            <w:tcW w:w="1080" w:type="dxa"/>
            <w:vAlign w:val="bottom"/>
          </w:tcPr>
          <w:p w14:paraId="074BD3FD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 (3.3%)</w:t>
            </w:r>
          </w:p>
        </w:tc>
        <w:tc>
          <w:tcPr>
            <w:tcW w:w="1140" w:type="dxa"/>
            <w:noWrap/>
            <w:vAlign w:val="bottom"/>
            <w:hideMark/>
          </w:tcPr>
          <w:p w14:paraId="0310435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 (0.0%)</w:t>
            </w:r>
          </w:p>
        </w:tc>
        <w:tc>
          <w:tcPr>
            <w:tcW w:w="1141" w:type="dxa"/>
            <w:noWrap/>
            <w:vAlign w:val="bottom"/>
            <w:hideMark/>
          </w:tcPr>
          <w:p w14:paraId="21F41D7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 (100.0%)</w:t>
            </w:r>
          </w:p>
        </w:tc>
        <w:tc>
          <w:tcPr>
            <w:tcW w:w="633" w:type="dxa"/>
            <w:vMerge w:val="restart"/>
            <w:noWrap/>
            <w:hideMark/>
          </w:tcPr>
          <w:p w14:paraId="2D1A8B24" w14:textId="77777777" w:rsidR="004C1CBD" w:rsidRPr="00695B71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695B71">
              <w:rPr>
                <w:rFonts w:ascii="Cambria" w:hAnsi="Cambria" w:cs="Arial"/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1078" w:type="dxa"/>
            <w:noWrap/>
            <w:vAlign w:val="bottom"/>
            <w:hideMark/>
          </w:tcPr>
          <w:p w14:paraId="6E589DB2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 (14.3%)</w:t>
            </w:r>
          </w:p>
        </w:tc>
        <w:tc>
          <w:tcPr>
            <w:tcW w:w="1079" w:type="dxa"/>
            <w:noWrap/>
            <w:vAlign w:val="bottom"/>
            <w:hideMark/>
          </w:tcPr>
          <w:p w14:paraId="58A6A9A7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 (85.7%)</w:t>
            </w:r>
          </w:p>
        </w:tc>
        <w:tc>
          <w:tcPr>
            <w:tcW w:w="633" w:type="dxa"/>
            <w:vMerge w:val="restart"/>
            <w:noWrap/>
            <w:hideMark/>
          </w:tcPr>
          <w:p w14:paraId="0CC74C67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0.387</w:t>
            </w:r>
          </w:p>
        </w:tc>
        <w:tc>
          <w:tcPr>
            <w:tcW w:w="1020" w:type="dxa"/>
            <w:noWrap/>
            <w:vAlign w:val="bottom"/>
            <w:hideMark/>
          </w:tcPr>
          <w:p w14:paraId="54CAD20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 (0.0%)</w:t>
            </w:r>
          </w:p>
        </w:tc>
        <w:tc>
          <w:tcPr>
            <w:tcW w:w="1137" w:type="dxa"/>
            <w:noWrap/>
            <w:vAlign w:val="bottom"/>
            <w:hideMark/>
          </w:tcPr>
          <w:p w14:paraId="03E727E4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 (100.0%)</w:t>
            </w:r>
          </w:p>
        </w:tc>
        <w:tc>
          <w:tcPr>
            <w:tcW w:w="604" w:type="dxa"/>
            <w:vMerge w:val="restart"/>
            <w:noWrap/>
            <w:hideMark/>
          </w:tcPr>
          <w:p w14:paraId="55F1F9CB" w14:textId="77777777" w:rsidR="004C1CBD" w:rsidRPr="00A13D97" w:rsidRDefault="004C1CBD" w:rsidP="005D0856">
            <w:pPr>
              <w:ind w:left="-54"/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0.083</w:t>
            </w:r>
          </w:p>
        </w:tc>
        <w:tc>
          <w:tcPr>
            <w:tcW w:w="1093" w:type="dxa"/>
            <w:noWrap/>
            <w:vAlign w:val="bottom"/>
            <w:hideMark/>
          </w:tcPr>
          <w:p w14:paraId="3F08C1C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 (14.3%)</w:t>
            </w:r>
          </w:p>
        </w:tc>
        <w:tc>
          <w:tcPr>
            <w:tcW w:w="1093" w:type="dxa"/>
            <w:noWrap/>
            <w:vAlign w:val="bottom"/>
            <w:hideMark/>
          </w:tcPr>
          <w:p w14:paraId="4DFED1C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 (85.7%)</w:t>
            </w:r>
          </w:p>
        </w:tc>
        <w:tc>
          <w:tcPr>
            <w:tcW w:w="689" w:type="dxa"/>
            <w:vMerge w:val="restart"/>
            <w:noWrap/>
            <w:hideMark/>
          </w:tcPr>
          <w:p w14:paraId="43C18027" w14:textId="77777777" w:rsidR="004C1CBD" w:rsidRPr="00695B71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695B71">
              <w:rPr>
                <w:rFonts w:ascii="Cambria" w:hAnsi="Cambria" w:cs="Arial"/>
                <w:b/>
                <w:bCs/>
                <w:sz w:val="16"/>
                <w:szCs w:val="16"/>
              </w:rPr>
              <w:t>0.039</w:t>
            </w:r>
          </w:p>
        </w:tc>
      </w:tr>
      <w:tr w:rsidR="004C1CBD" w:rsidRPr="00855F6F" w14:paraId="6FEB5063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4397C095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2 people</w:t>
            </w:r>
          </w:p>
        </w:tc>
        <w:tc>
          <w:tcPr>
            <w:tcW w:w="1080" w:type="dxa"/>
            <w:vAlign w:val="bottom"/>
          </w:tcPr>
          <w:p w14:paraId="2FC3F0F7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29 (13.6%)</w:t>
            </w:r>
          </w:p>
        </w:tc>
        <w:tc>
          <w:tcPr>
            <w:tcW w:w="1140" w:type="dxa"/>
            <w:noWrap/>
            <w:vAlign w:val="bottom"/>
            <w:hideMark/>
          </w:tcPr>
          <w:p w14:paraId="0B000F9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 (10.3%)</w:t>
            </w:r>
          </w:p>
        </w:tc>
        <w:tc>
          <w:tcPr>
            <w:tcW w:w="1141" w:type="dxa"/>
            <w:noWrap/>
            <w:vAlign w:val="bottom"/>
            <w:hideMark/>
          </w:tcPr>
          <w:p w14:paraId="1C630839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26 (89.7%)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1E3F298F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782A04EC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 (17.2%)</w:t>
            </w:r>
          </w:p>
        </w:tc>
        <w:tc>
          <w:tcPr>
            <w:tcW w:w="1079" w:type="dxa"/>
            <w:noWrap/>
            <w:vAlign w:val="bottom"/>
            <w:hideMark/>
          </w:tcPr>
          <w:p w14:paraId="7F0BD7DA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24 (82.8%)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0464CBCC" w14:textId="77777777" w:rsidR="004C1CBD" w:rsidRPr="00217797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9EAFF7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 (6.9%)</w:t>
            </w:r>
          </w:p>
        </w:tc>
        <w:tc>
          <w:tcPr>
            <w:tcW w:w="1137" w:type="dxa"/>
            <w:noWrap/>
            <w:vAlign w:val="bottom"/>
            <w:hideMark/>
          </w:tcPr>
          <w:p w14:paraId="375848F6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(93.1%)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50F3C415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32B634B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 (13.8%)</w:t>
            </w:r>
          </w:p>
        </w:tc>
        <w:tc>
          <w:tcPr>
            <w:tcW w:w="1093" w:type="dxa"/>
            <w:noWrap/>
            <w:vAlign w:val="bottom"/>
            <w:hideMark/>
          </w:tcPr>
          <w:p w14:paraId="13123212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25 (86.2%)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3C17963C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547544F7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3177E8F1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3-5 people</w:t>
            </w:r>
          </w:p>
        </w:tc>
        <w:tc>
          <w:tcPr>
            <w:tcW w:w="1080" w:type="dxa"/>
            <w:vAlign w:val="bottom"/>
          </w:tcPr>
          <w:p w14:paraId="60302C82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94 (43.9%)</w:t>
            </w:r>
          </w:p>
        </w:tc>
        <w:tc>
          <w:tcPr>
            <w:tcW w:w="1140" w:type="dxa"/>
            <w:noWrap/>
            <w:vAlign w:val="bottom"/>
            <w:hideMark/>
          </w:tcPr>
          <w:p w14:paraId="3328519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 (31.9%)</w:t>
            </w:r>
          </w:p>
        </w:tc>
        <w:tc>
          <w:tcPr>
            <w:tcW w:w="1141" w:type="dxa"/>
            <w:noWrap/>
            <w:vAlign w:val="bottom"/>
            <w:hideMark/>
          </w:tcPr>
          <w:p w14:paraId="2CCEE9F2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64 (68.1%)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18F1A575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09654A5B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29 (30.9%)</w:t>
            </w:r>
          </w:p>
        </w:tc>
        <w:tc>
          <w:tcPr>
            <w:tcW w:w="1079" w:type="dxa"/>
            <w:noWrap/>
            <w:vAlign w:val="bottom"/>
            <w:hideMark/>
          </w:tcPr>
          <w:p w14:paraId="0DE2382A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65 (69.1%)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3A91521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40703FC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23 (24.5%)</w:t>
            </w:r>
          </w:p>
        </w:tc>
        <w:tc>
          <w:tcPr>
            <w:tcW w:w="1137" w:type="dxa"/>
            <w:noWrap/>
            <w:vAlign w:val="bottom"/>
            <w:hideMark/>
          </w:tcPr>
          <w:p w14:paraId="4C30CD4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71 (75.5%)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073F60C7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2570792D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38 (40.4%)</w:t>
            </w:r>
          </w:p>
        </w:tc>
        <w:tc>
          <w:tcPr>
            <w:tcW w:w="1093" w:type="dxa"/>
            <w:noWrap/>
            <w:vAlign w:val="bottom"/>
            <w:hideMark/>
          </w:tcPr>
          <w:p w14:paraId="66E586B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56 (59.6%)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0E6F073C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3B508FE6" w14:textId="77777777" w:rsidTr="005D0856">
        <w:trPr>
          <w:trHeight w:val="20"/>
          <w:jc w:val="center"/>
        </w:trPr>
        <w:tc>
          <w:tcPr>
            <w:tcW w:w="2520" w:type="dxa"/>
            <w:hideMark/>
          </w:tcPr>
          <w:p w14:paraId="31E38C1A" w14:textId="77777777" w:rsidR="004C1CBD" w:rsidRPr="00855F6F" w:rsidRDefault="004C1CBD" w:rsidP="005D0856">
            <w:pPr>
              <w:rPr>
                <w:rFonts w:ascii="Cambria" w:hAnsi="Cambria" w:cs="Arial"/>
                <w:sz w:val="16"/>
                <w:szCs w:val="16"/>
              </w:rPr>
            </w:pPr>
            <w:r w:rsidRPr="00855F6F">
              <w:rPr>
                <w:rFonts w:ascii="Cambria" w:hAnsi="Cambria" w:cs="Arial"/>
                <w:sz w:val="16"/>
                <w:szCs w:val="16"/>
              </w:rPr>
              <w:t>&gt;6 people</w:t>
            </w:r>
          </w:p>
        </w:tc>
        <w:tc>
          <w:tcPr>
            <w:tcW w:w="1080" w:type="dxa"/>
            <w:vAlign w:val="bottom"/>
          </w:tcPr>
          <w:p w14:paraId="01828928" w14:textId="77777777" w:rsidR="004C1CBD" w:rsidRPr="00855F6F" w:rsidRDefault="004C1CBD" w:rsidP="005D0856">
            <w:pPr>
              <w:ind w:left="-106"/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84 (39.3%)</w:t>
            </w:r>
          </w:p>
        </w:tc>
        <w:tc>
          <w:tcPr>
            <w:tcW w:w="1140" w:type="dxa"/>
            <w:noWrap/>
            <w:vAlign w:val="bottom"/>
            <w:hideMark/>
          </w:tcPr>
          <w:p w14:paraId="07D4707E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(32.1%)</w:t>
            </w:r>
          </w:p>
        </w:tc>
        <w:tc>
          <w:tcPr>
            <w:tcW w:w="1141" w:type="dxa"/>
            <w:noWrap/>
            <w:vAlign w:val="bottom"/>
            <w:hideMark/>
          </w:tcPr>
          <w:p w14:paraId="7BEC44A6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57 (67.9%)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32128676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0BBD193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 (23.8%)</w:t>
            </w:r>
          </w:p>
        </w:tc>
        <w:tc>
          <w:tcPr>
            <w:tcW w:w="1079" w:type="dxa"/>
            <w:noWrap/>
            <w:vAlign w:val="bottom"/>
            <w:hideMark/>
          </w:tcPr>
          <w:p w14:paraId="707C0261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64 (76.2%)</w:t>
            </w:r>
          </w:p>
        </w:tc>
        <w:tc>
          <w:tcPr>
            <w:tcW w:w="633" w:type="dxa"/>
            <w:vMerge/>
            <w:noWrap/>
            <w:vAlign w:val="bottom"/>
            <w:hideMark/>
          </w:tcPr>
          <w:p w14:paraId="60742910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3584552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 (25.0%)</w:t>
            </w:r>
          </w:p>
        </w:tc>
        <w:tc>
          <w:tcPr>
            <w:tcW w:w="1137" w:type="dxa"/>
            <w:noWrap/>
            <w:vAlign w:val="bottom"/>
            <w:hideMark/>
          </w:tcPr>
          <w:p w14:paraId="4C6833F4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63 (75.0%)</w:t>
            </w:r>
          </w:p>
        </w:tc>
        <w:tc>
          <w:tcPr>
            <w:tcW w:w="604" w:type="dxa"/>
            <w:vMerge/>
            <w:noWrap/>
            <w:vAlign w:val="bottom"/>
            <w:hideMark/>
          </w:tcPr>
          <w:p w14:paraId="549DF753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93" w:type="dxa"/>
            <w:noWrap/>
            <w:vAlign w:val="bottom"/>
            <w:hideMark/>
          </w:tcPr>
          <w:p w14:paraId="4B260345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(32.1%)</w:t>
            </w:r>
          </w:p>
        </w:tc>
        <w:tc>
          <w:tcPr>
            <w:tcW w:w="1093" w:type="dxa"/>
            <w:noWrap/>
            <w:vAlign w:val="bottom"/>
            <w:hideMark/>
          </w:tcPr>
          <w:p w14:paraId="0C5838EC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57 (67.9%)</w:t>
            </w:r>
          </w:p>
        </w:tc>
        <w:tc>
          <w:tcPr>
            <w:tcW w:w="689" w:type="dxa"/>
            <w:vMerge/>
            <w:noWrap/>
            <w:vAlign w:val="bottom"/>
            <w:hideMark/>
          </w:tcPr>
          <w:p w14:paraId="2F8C7AD2" w14:textId="77777777" w:rsidR="004C1CBD" w:rsidRPr="00855F6F" w:rsidRDefault="004C1CBD" w:rsidP="005D0856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1CBD" w:rsidRPr="00855F6F" w14:paraId="3CAD194E" w14:textId="77777777" w:rsidTr="005D0856">
        <w:trPr>
          <w:trHeight w:val="20"/>
          <w:jc w:val="center"/>
        </w:trPr>
        <w:tc>
          <w:tcPr>
            <w:tcW w:w="14940" w:type="dxa"/>
            <w:gridSpan w:val="14"/>
          </w:tcPr>
          <w:p w14:paraId="1CAD3A95" w14:textId="77777777" w:rsidR="004C1CBD" w:rsidRPr="003F3CED" w:rsidRDefault="004C1CBD" w:rsidP="005D0856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 w:rsidRPr="003F3CED">
              <w:rPr>
                <w:rFonts w:ascii="Cambria" w:hAnsi="Cambria" w:cs="Arial"/>
                <w:i/>
                <w:iCs/>
                <w:sz w:val="16"/>
                <w:szCs w:val="16"/>
              </w:rPr>
              <w:t>Bolded p-values are significant</w:t>
            </w:r>
          </w:p>
        </w:tc>
      </w:tr>
    </w:tbl>
    <w:p w14:paraId="57B0A17F" w14:textId="77777777" w:rsidR="00841C1E" w:rsidRDefault="00F37B57"/>
    <w:p w14:paraId="2E306F03" w14:textId="77777777" w:rsidR="004C1CBD" w:rsidRDefault="004C1CBD"/>
    <w:p w14:paraId="131F92D2" w14:textId="77777777" w:rsidR="004C1CBD" w:rsidRDefault="004C1CBD"/>
    <w:p w14:paraId="3D5035C4" w14:textId="101BE6B2" w:rsidR="004C1CBD" w:rsidRPr="00434BD7" w:rsidRDefault="00F37B57" w:rsidP="004C1CBD">
      <w:pPr>
        <w:ind w:left="-900" w:right="-180"/>
        <w:jc w:val="center"/>
        <w:rPr>
          <w:rFonts w:ascii="Cambria" w:hAnsi="Cambria"/>
          <w:sz w:val="20"/>
        </w:rPr>
      </w:pPr>
      <w:r w:rsidRPr="00F37B57">
        <w:rPr>
          <w:rFonts w:ascii="Cambria" w:hAnsi="Cambria"/>
          <w:sz w:val="20"/>
        </w:rPr>
        <w:lastRenderedPageBreak/>
        <w:t xml:space="preserve">Supplementary </w:t>
      </w:r>
      <w:r w:rsidR="004C1CBD" w:rsidRPr="00457D58">
        <w:rPr>
          <w:rFonts w:ascii="Cambria" w:hAnsi="Cambria"/>
          <w:sz w:val="20"/>
        </w:rPr>
        <w:t xml:space="preserve">Table </w:t>
      </w:r>
      <w:r w:rsidR="00D97AD9">
        <w:rPr>
          <w:rFonts w:ascii="Cambria" w:hAnsi="Cambria"/>
          <w:sz w:val="20"/>
        </w:rPr>
        <w:t>2</w:t>
      </w:r>
      <w:r w:rsidR="004C1CBD">
        <w:rPr>
          <w:rFonts w:ascii="Cambria" w:hAnsi="Cambria"/>
          <w:sz w:val="20"/>
        </w:rPr>
        <w:t xml:space="preserve">. Relationship </w:t>
      </w:r>
      <w:r w:rsidR="004C1CBD" w:rsidRPr="00457D58">
        <w:rPr>
          <w:rFonts w:ascii="Cambria" w:hAnsi="Cambria"/>
          <w:sz w:val="20"/>
        </w:rPr>
        <w:t xml:space="preserve">between </w:t>
      </w:r>
      <w:r w:rsidR="004C1CBD">
        <w:rPr>
          <w:rFonts w:ascii="Cambria" w:hAnsi="Cambria"/>
          <w:sz w:val="20"/>
        </w:rPr>
        <w:t xml:space="preserve">knowledge/concerns about COVID-19 </w:t>
      </w:r>
      <w:r w:rsidR="004C1CBD" w:rsidRPr="00457D58">
        <w:rPr>
          <w:rFonts w:ascii="Cambria" w:hAnsi="Cambria"/>
          <w:sz w:val="20"/>
        </w:rPr>
        <w:t>and the psychological impact</w:t>
      </w:r>
      <w:r w:rsidR="004C1CBD">
        <w:rPr>
          <w:rFonts w:ascii="Cambria" w:hAnsi="Cambria"/>
          <w:sz w:val="20"/>
        </w:rPr>
        <w:t>/</w:t>
      </w:r>
      <w:r w:rsidR="004C1CBD" w:rsidRPr="00457D58">
        <w:rPr>
          <w:rFonts w:ascii="Cambria" w:hAnsi="Cambria"/>
          <w:sz w:val="20"/>
        </w:rPr>
        <w:t>adverse mental</w:t>
      </w:r>
      <w:r w:rsidR="004C1CBD">
        <w:rPr>
          <w:rFonts w:ascii="Cambria" w:hAnsi="Cambria"/>
          <w:sz w:val="20"/>
        </w:rPr>
        <w:t xml:space="preserve"> </w:t>
      </w:r>
      <w:r w:rsidR="004C1CBD" w:rsidRPr="00457D58">
        <w:rPr>
          <w:rFonts w:ascii="Cambria" w:hAnsi="Cambria"/>
          <w:sz w:val="20"/>
        </w:rPr>
        <w:t xml:space="preserve">health status </w:t>
      </w:r>
      <w:r w:rsidR="004C1CBD">
        <w:rPr>
          <w:rFonts w:ascii="Cambria" w:hAnsi="Cambria"/>
          <w:sz w:val="20"/>
        </w:rPr>
        <w:t xml:space="preserve">of COVID-19 quarantine </w:t>
      </w:r>
      <w:r w:rsidR="004C1CBD" w:rsidRPr="00457D58">
        <w:rPr>
          <w:rFonts w:ascii="Cambria" w:hAnsi="Cambria"/>
          <w:sz w:val="20"/>
        </w:rPr>
        <w:t xml:space="preserve">(n = </w:t>
      </w:r>
      <w:r w:rsidR="00D97AD9">
        <w:rPr>
          <w:rFonts w:ascii="Cambria" w:hAnsi="Cambria"/>
          <w:sz w:val="20"/>
        </w:rPr>
        <w:t>214</w:t>
      </w:r>
      <w:r w:rsidR="004C1CBD" w:rsidRPr="00457D58">
        <w:rPr>
          <w:rFonts w:ascii="Cambria" w:hAnsi="Cambria"/>
          <w:sz w:val="20"/>
        </w:rPr>
        <w:t>).</w:t>
      </w:r>
    </w:p>
    <w:tbl>
      <w:tblPr>
        <w:tblStyle w:val="TableGrid"/>
        <w:tblW w:w="14940" w:type="dxa"/>
        <w:jc w:val="right"/>
        <w:tblLayout w:type="fixed"/>
        <w:tblLook w:val="04A0" w:firstRow="1" w:lastRow="0" w:firstColumn="1" w:lastColumn="0" w:noHBand="0" w:noVBand="1"/>
      </w:tblPr>
      <w:tblGrid>
        <w:gridCol w:w="2520"/>
        <w:gridCol w:w="1080"/>
        <w:gridCol w:w="1140"/>
        <w:gridCol w:w="1141"/>
        <w:gridCol w:w="633"/>
        <w:gridCol w:w="1078"/>
        <w:gridCol w:w="1079"/>
        <w:gridCol w:w="633"/>
        <w:gridCol w:w="1020"/>
        <w:gridCol w:w="1137"/>
        <w:gridCol w:w="604"/>
        <w:gridCol w:w="1093"/>
        <w:gridCol w:w="1093"/>
        <w:gridCol w:w="689"/>
      </w:tblGrid>
      <w:tr w:rsidR="004C1CBD" w:rsidRPr="00434BD7" w14:paraId="6821D239" w14:textId="77777777" w:rsidTr="005D0856">
        <w:trPr>
          <w:trHeight w:val="20"/>
          <w:jc w:val="right"/>
        </w:trPr>
        <w:tc>
          <w:tcPr>
            <w:tcW w:w="2520" w:type="dxa"/>
            <w:vMerge w:val="restart"/>
            <w:vAlign w:val="center"/>
            <w:hideMark/>
          </w:tcPr>
          <w:p w14:paraId="492B71E0" w14:textId="77777777" w:rsidR="004C1CBD" w:rsidRPr="00434BD7" w:rsidRDefault="004C1CBD" w:rsidP="005D0856">
            <w:pPr>
              <w:jc w:val="center"/>
              <w:rPr>
                <w:color w:val="000000" w:themeColor="text1"/>
                <w:sz w:val="20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Variables</w:t>
            </w:r>
          </w:p>
        </w:tc>
        <w:tc>
          <w:tcPr>
            <w:tcW w:w="1080" w:type="dxa"/>
            <w:vMerge w:val="restart"/>
            <w:vAlign w:val="center"/>
          </w:tcPr>
          <w:p w14:paraId="22BC77C4" w14:textId="77777777" w:rsidR="004C1CBD" w:rsidRPr="00434BD7" w:rsidRDefault="004C1CBD" w:rsidP="005D0856">
            <w:pPr>
              <w:ind w:left="-106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N (%)</w:t>
            </w:r>
          </w:p>
        </w:tc>
        <w:tc>
          <w:tcPr>
            <w:tcW w:w="2914" w:type="dxa"/>
            <w:gridSpan w:val="3"/>
            <w:hideMark/>
          </w:tcPr>
          <w:p w14:paraId="334B686E" w14:textId="77777777" w:rsidR="004C1CBD" w:rsidRPr="00434BD7" w:rsidRDefault="00DF1491" w:rsidP="00DF1491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  <w:r w:rsidRPr="00DF1491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en-CA"/>
              </w:rPr>
              <w:t>psychological distress</w:t>
            </w:r>
            <w:r w:rsidRPr="00DF1491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4C1CBD"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(IES-R)</w:t>
            </w:r>
          </w:p>
        </w:tc>
        <w:tc>
          <w:tcPr>
            <w:tcW w:w="2790" w:type="dxa"/>
            <w:gridSpan w:val="3"/>
            <w:hideMark/>
          </w:tcPr>
          <w:p w14:paraId="6EF20FB6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Stress (DASS)</w:t>
            </w:r>
          </w:p>
        </w:tc>
        <w:tc>
          <w:tcPr>
            <w:tcW w:w="2761" w:type="dxa"/>
            <w:gridSpan w:val="3"/>
            <w:hideMark/>
          </w:tcPr>
          <w:p w14:paraId="5751AB75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Anxiety (DASS)</w:t>
            </w:r>
          </w:p>
        </w:tc>
        <w:tc>
          <w:tcPr>
            <w:tcW w:w="2875" w:type="dxa"/>
            <w:gridSpan w:val="3"/>
            <w:hideMark/>
          </w:tcPr>
          <w:p w14:paraId="732B8889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Depression (DASS)</w:t>
            </w:r>
          </w:p>
        </w:tc>
      </w:tr>
      <w:tr w:rsidR="004C1CBD" w:rsidRPr="00434BD7" w14:paraId="6C349DE3" w14:textId="77777777" w:rsidTr="005D0856">
        <w:trPr>
          <w:trHeight w:val="20"/>
          <w:jc w:val="right"/>
        </w:trPr>
        <w:tc>
          <w:tcPr>
            <w:tcW w:w="2520" w:type="dxa"/>
            <w:vMerge/>
            <w:hideMark/>
          </w:tcPr>
          <w:p w14:paraId="748AC89E" w14:textId="77777777" w:rsidR="004C1CBD" w:rsidRPr="00434BD7" w:rsidRDefault="004C1CBD" w:rsidP="005D0856">
            <w:pPr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</w:tcPr>
          <w:p w14:paraId="0B3F5588" w14:textId="77777777" w:rsidR="004C1CBD" w:rsidRPr="00434BD7" w:rsidRDefault="004C1CBD" w:rsidP="005D0856">
            <w:pPr>
              <w:ind w:left="-106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hideMark/>
          </w:tcPr>
          <w:p w14:paraId="17C0E6E6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41" w:type="dxa"/>
            <w:hideMark/>
          </w:tcPr>
          <w:p w14:paraId="5E66CAA3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633" w:type="dxa"/>
            <w:noWrap/>
            <w:hideMark/>
          </w:tcPr>
          <w:p w14:paraId="2878BB30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078" w:type="dxa"/>
            <w:hideMark/>
          </w:tcPr>
          <w:p w14:paraId="3AB1F076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079" w:type="dxa"/>
            <w:hideMark/>
          </w:tcPr>
          <w:p w14:paraId="5762B868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633" w:type="dxa"/>
            <w:noWrap/>
            <w:hideMark/>
          </w:tcPr>
          <w:p w14:paraId="014949F2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020" w:type="dxa"/>
            <w:hideMark/>
          </w:tcPr>
          <w:p w14:paraId="73A68C6C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37" w:type="dxa"/>
            <w:hideMark/>
          </w:tcPr>
          <w:p w14:paraId="5765FE53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604" w:type="dxa"/>
            <w:noWrap/>
            <w:hideMark/>
          </w:tcPr>
          <w:p w14:paraId="7EDA9B87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093" w:type="dxa"/>
            <w:hideMark/>
          </w:tcPr>
          <w:p w14:paraId="238D8108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093" w:type="dxa"/>
            <w:hideMark/>
          </w:tcPr>
          <w:p w14:paraId="069BD478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689" w:type="dxa"/>
            <w:noWrap/>
            <w:hideMark/>
          </w:tcPr>
          <w:p w14:paraId="2332BACA" w14:textId="77777777" w:rsidR="004C1CBD" w:rsidRPr="00434BD7" w:rsidRDefault="004C1CBD" w:rsidP="005D085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</w:tr>
      <w:tr w:rsidR="004C1CBD" w:rsidRPr="00434BD7" w14:paraId="659B0FD6" w14:textId="77777777" w:rsidTr="005D0856">
        <w:trPr>
          <w:trHeight w:val="20"/>
          <w:jc w:val="right"/>
        </w:trPr>
        <w:tc>
          <w:tcPr>
            <w:tcW w:w="14940" w:type="dxa"/>
            <w:gridSpan w:val="14"/>
            <w:shd w:val="clear" w:color="auto" w:fill="D9D9D9" w:themeFill="background1" w:themeFillShade="D9"/>
          </w:tcPr>
          <w:p w14:paraId="399A0ABF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Sources of information about COVID-19</w:t>
            </w:r>
          </w:p>
        </w:tc>
      </w:tr>
      <w:tr w:rsidR="004C1CBD" w:rsidRPr="00434BD7" w14:paraId="182DE009" w14:textId="77777777" w:rsidTr="005D0856">
        <w:trPr>
          <w:trHeight w:val="20"/>
          <w:jc w:val="right"/>
        </w:trPr>
        <w:tc>
          <w:tcPr>
            <w:tcW w:w="14940" w:type="dxa"/>
            <w:gridSpan w:val="14"/>
          </w:tcPr>
          <w:p w14:paraId="08BB6567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Ministry of health</w:t>
            </w:r>
          </w:p>
        </w:tc>
      </w:tr>
      <w:tr w:rsidR="004C1CBD" w:rsidRPr="00434BD7" w14:paraId="6388B34C" w14:textId="77777777" w:rsidTr="005D0856">
        <w:trPr>
          <w:trHeight w:val="20"/>
          <w:jc w:val="right"/>
        </w:trPr>
        <w:tc>
          <w:tcPr>
            <w:tcW w:w="2520" w:type="dxa"/>
            <w:hideMark/>
          </w:tcPr>
          <w:p w14:paraId="32F874EA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14:paraId="00A9FEF7" w14:textId="77777777" w:rsidR="004C1CBD" w:rsidRPr="00434BD7" w:rsidRDefault="004C1CBD" w:rsidP="005D0856">
            <w:pPr>
              <w:ind w:left="-106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187 (87.4%)</w:t>
            </w:r>
          </w:p>
        </w:tc>
        <w:tc>
          <w:tcPr>
            <w:tcW w:w="1140" w:type="dxa"/>
            <w:noWrap/>
            <w:hideMark/>
          </w:tcPr>
          <w:p w14:paraId="14A707ED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50 (26.7%)</w:t>
            </w:r>
          </w:p>
        </w:tc>
        <w:tc>
          <w:tcPr>
            <w:tcW w:w="1141" w:type="dxa"/>
            <w:noWrap/>
            <w:hideMark/>
          </w:tcPr>
          <w:p w14:paraId="66E7B96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137 (73.3%)</w:t>
            </w:r>
          </w:p>
        </w:tc>
        <w:tc>
          <w:tcPr>
            <w:tcW w:w="633" w:type="dxa"/>
            <w:vMerge w:val="restart"/>
            <w:noWrap/>
            <w:hideMark/>
          </w:tcPr>
          <w:p w14:paraId="62C1AE5A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0.265</w:t>
            </w:r>
          </w:p>
        </w:tc>
        <w:tc>
          <w:tcPr>
            <w:tcW w:w="1078" w:type="dxa"/>
            <w:noWrap/>
            <w:hideMark/>
          </w:tcPr>
          <w:p w14:paraId="3B4A9EB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47 (25.1%)</w:t>
            </w:r>
          </w:p>
        </w:tc>
        <w:tc>
          <w:tcPr>
            <w:tcW w:w="1079" w:type="dxa"/>
            <w:noWrap/>
            <w:hideMark/>
          </w:tcPr>
          <w:p w14:paraId="38B8B604" w14:textId="77777777" w:rsidR="004C1CBD" w:rsidRPr="00434BD7" w:rsidRDefault="004C1CBD" w:rsidP="005D0856">
            <w:pPr>
              <w:ind w:left="-114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140 (74.9%)</w:t>
            </w:r>
          </w:p>
        </w:tc>
        <w:tc>
          <w:tcPr>
            <w:tcW w:w="633" w:type="dxa"/>
            <w:vMerge w:val="restart"/>
            <w:noWrap/>
            <w:hideMark/>
          </w:tcPr>
          <w:p w14:paraId="212B8CE0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0.617</w:t>
            </w:r>
          </w:p>
        </w:tc>
        <w:tc>
          <w:tcPr>
            <w:tcW w:w="1020" w:type="dxa"/>
            <w:noWrap/>
            <w:hideMark/>
          </w:tcPr>
          <w:p w14:paraId="1EC8238D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(21.4%)</w:t>
            </w:r>
          </w:p>
        </w:tc>
        <w:tc>
          <w:tcPr>
            <w:tcW w:w="1137" w:type="dxa"/>
            <w:noWrap/>
            <w:hideMark/>
          </w:tcPr>
          <w:p w14:paraId="7F089835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147 (78.6%)</w:t>
            </w:r>
          </w:p>
        </w:tc>
        <w:tc>
          <w:tcPr>
            <w:tcW w:w="604" w:type="dxa"/>
            <w:vMerge w:val="restart"/>
            <w:noWrap/>
            <w:hideMark/>
          </w:tcPr>
          <w:p w14:paraId="07C42E1B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0.922</w:t>
            </w:r>
          </w:p>
        </w:tc>
        <w:tc>
          <w:tcPr>
            <w:tcW w:w="1093" w:type="dxa"/>
            <w:noWrap/>
            <w:hideMark/>
          </w:tcPr>
          <w:p w14:paraId="0C29773C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60 (32.1%)</w:t>
            </w:r>
          </w:p>
        </w:tc>
        <w:tc>
          <w:tcPr>
            <w:tcW w:w="1093" w:type="dxa"/>
            <w:noWrap/>
            <w:hideMark/>
          </w:tcPr>
          <w:p w14:paraId="2DCFFFD5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127 (67.9%)</w:t>
            </w:r>
          </w:p>
        </w:tc>
        <w:tc>
          <w:tcPr>
            <w:tcW w:w="689" w:type="dxa"/>
            <w:vMerge w:val="restart"/>
            <w:noWrap/>
            <w:hideMark/>
          </w:tcPr>
          <w:p w14:paraId="1F96495A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0.608</w:t>
            </w:r>
          </w:p>
        </w:tc>
      </w:tr>
      <w:tr w:rsidR="004C1CBD" w:rsidRPr="00434BD7" w14:paraId="068DFE69" w14:textId="77777777" w:rsidTr="005D0856">
        <w:trPr>
          <w:trHeight w:val="20"/>
          <w:jc w:val="right"/>
        </w:trPr>
        <w:tc>
          <w:tcPr>
            <w:tcW w:w="2520" w:type="dxa"/>
            <w:hideMark/>
          </w:tcPr>
          <w:p w14:paraId="0E534DE5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2CDFF128" w14:textId="77777777" w:rsidR="004C1CBD" w:rsidRPr="00434BD7" w:rsidRDefault="004C1CBD" w:rsidP="005D0856">
            <w:pPr>
              <w:ind w:left="-106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27 (12.6%)</w:t>
            </w:r>
          </w:p>
        </w:tc>
        <w:tc>
          <w:tcPr>
            <w:tcW w:w="1140" w:type="dxa"/>
            <w:noWrap/>
            <w:hideMark/>
          </w:tcPr>
          <w:p w14:paraId="26335064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 (37.0%)</w:t>
            </w:r>
          </w:p>
        </w:tc>
        <w:tc>
          <w:tcPr>
            <w:tcW w:w="1141" w:type="dxa"/>
            <w:noWrap/>
            <w:hideMark/>
          </w:tcPr>
          <w:p w14:paraId="199FE366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17 (63.0%)</w:t>
            </w:r>
          </w:p>
        </w:tc>
        <w:tc>
          <w:tcPr>
            <w:tcW w:w="633" w:type="dxa"/>
            <w:vMerge/>
            <w:noWrap/>
            <w:hideMark/>
          </w:tcPr>
          <w:p w14:paraId="25E37614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2235B5A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 (29.6%)</w:t>
            </w:r>
          </w:p>
        </w:tc>
        <w:tc>
          <w:tcPr>
            <w:tcW w:w="1079" w:type="dxa"/>
            <w:noWrap/>
            <w:hideMark/>
          </w:tcPr>
          <w:p w14:paraId="0187BAF1" w14:textId="77777777" w:rsidR="004C1CBD" w:rsidRPr="00434BD7" w:rsidRDefault="004C1CBD" w:rsidP="005D0856">
            <w:pPr>
              <w:ind w:left="-114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19 (70.4%)</w:t>
            </w:r>
          </w:p>
        </w:tc>
        <w:tc>
          <w:tcPr>
            <w:tcW w:w="633" w:type="dxa"/>
            <w:vMerge/>
            <w:noWrap/>
            <w:hideMark/>
          </w:tcPr>
          <w:p w14:paraId="4F1B6426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14:paraId="68DDF346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 (22.2%)</w:t>
            </w:r>
          </w:p>
        </w:tc>
        <w:tc>
          <w:tcPr>
            <w:tcW w:w="1137" w:type="dxa"/>
            <w:noWrap/>
            <w:hideMark/>
          </w:tcPr>
          <w:p w14:paraId="25CAB832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 (77.8%)</w:t>
            </w:r>
          </w:p>
        </w:tc>
        <w:tc>
          <w:tcPr>
            <w:tcW w:w="604" w:type="dxa"/>
            <w:vMerge/>
            <w:noWrap/>
            <w:hideMark/>
          </w:tcPr>
          <w:p w14:paraId="6D0921FD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noWrap/>
            <w:hideMark/>
          </w:tcPr>
          <w:p w14:paraId="1269E039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 (37.0%)</w:t>
            </w:r>
          </w:p>
        </w:tc>
        <w:tc>
          <w:tcPr>
            <w:tcW w:w="1093" w:type="dxa"/>
            <w:noWrap/>
            <w:hideMark/>
          </w:tcPr>
          <w:p w14:paraId="02CBA12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17 (63.0%)</w:t>
            </w:r>
          </w:p>
        </w:tc>
        <w:tc>
          <w:tcPr>
            <w:tcW w:w="689" w:type="dxa"/>
            <w:vMerge/>
            <w:noWrap/>
            <w:hideMark/>
          </w:tcPr>
          <w:p w14:paraId="58F33D92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</w:tr>
      <w:tr w:rsidR="004C1CBD" w:rsidRPr="00434BD7" w14:paraId="27297B21" w14:textId="77777777" w:rsidTr="005D0856">
        <w:trPr>
          <w:trHeight w:val="20"/>
          <w:jc w:val="right"/>
        </w:trPr>
        <w:tc>
          <w:tcPr>
            <w:tcW w:w="14940" w:type="dxa"/>
            <w:gridSpan w:val="14"/>
          </w:tcPr>
          <w:p w14:paraId="1065A9A3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Non-official social media applications and platforms (e.g. WhatsApp, Twitter, YouTube, etc.)</w:t>
            </w:r>
          </w:p>
        </w:tc>
      </w:tr>
      <w:tr w:rsidR="004C1CBD" w:rsidRPr="00434BD7" w14:paraId="728E255C" w14:textId="77777777" w:rsidTr="005D0856">
        <w:trPr>
          <w:trHeight w:val="20"/>
          <w:jc w:val="right"/>
        </w:trPr>
        <w:tc>
          <w:tcPr>
            <w:tcW w:w="2520" w:type="dxa"/>
            <w:hideMark/>
          </w:tcPr>
          <w:p w14:paraId="7D655B34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14:paraId="3468DF44" w14:textId="77777777" w:rsidR="004C1CBD" w:rsidRPr="00434BD7" w:rsidRDefault="004C1CBD" w:rsidP="005D0856">
            <w:pPr>
              <w:ind w:left="-106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58 (27.1%)</w:t>
            </w:r>
          </w:p>
        </w:tc>
        <w:tc>
          <w:tcPr>
            <w:tcW w:w="1140" w:type="dxa"/>
            <w:noWrap/>
            <w:hideMark/>
          </w:tcPr>
          <w:p w14:paraId="3649F378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18 (31.0%)</w:t>
            </w:r>
          </w:p>
        </w:tc>
        <w:tc>
          <w:tcPr>
            <w:tcW w:w="1141" w:type="dxa"/>
            <w:noWrap/>
            <w:hideMark/>
          </w:tcPr>
          <w:p w14:paraId="4E0E0C2C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(69.0%)</w:t>
            </w:r>
          </w:p>
        </w:tc>
        <w:tc>
          <w:tcPr>
            <w:tcW w:w="633" w:type="dxa"/>
            <w:vMerge w:val="restart"/>
            <w:noWrap/>
            <w:hideMark/>
          </w:tcPr>
          <w:p w14:paraId="0BF5DC10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0.552</w:t>
            </w:r>
          </w:p>
        </w:tc>
        <w:tc>
          <w:tcPr>
            <w:tcW w:w="1078" w:type="dxa"/>
            <w:noWrap/>
            <w:hideMark/>
          </w:tcPr>
          <w:p w14:paraId="720810C0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15 (25.9%)</w:t>
            </w:r>
          </w:p>
        </w:tc>
        <w:tc>
          <w:tcPr>
            <w:tcW w:w="1079" w:type="dxa"/>
            <w:noWrap/>
            <w:hideMark/>
          </w:tcPr>
          <w:p w14:paraId="3A7785C5" w14:textId="77777777" w:rsidR="004C1CBD" w:rsidRPr="00434BD7" w:rsidRDefault="004C1CBD" w:rsidP="005D0856">
            <w:pPr>
              <w:ind w:left="-114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43 (74.1%)</w:t>
            </w:r>
          </w:p>
        </w:tc>
        <w:tc>
          <w:tcPr>
            <w:tcW w:w="633" w:type="dxa"/>
            <w:vMerge w:val="restart"/>
            <w:noWrap/>
            <w:hideMark/>
          </w:tcPr>
          <w:p w14:paraId="16539F53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0.974</w:t>
            </w:r>
          </w:p>
        </w:tc>
        <w:tc>
          <w:tcPr>
            <w:tcW w:w="1020" w:type="dxa"/>
            <w:noWrap/>
            <w:hideMark/>
          </w:tcPr>
          <w:p w14:paraId="2113F4F1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14 (24.1%)</w:t>
            </w:r>
          </w:p>
        </w:tc>
        <w:tc>
          <w:tcPr>
            <w:tcW w:w="1137" w:type="dxa"/>
            <w:noWrap/>
            <w:hideMark/>
          </w:tcPr>
          <w:p w14:paraId="15A88776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44 (75.9%)</w:t>
            </w:r>
          </w:p>
        </w:tc>
        <w:tc>
          <w:tcPr>
            <w:tcW w:w="604" w:type="dxa"/>
            <w:vMerge w:val="restart"/>
            <w:noWrap/>
            <w:hideMark/>
          </w:tcPr>
          <w:p w14:paraId="7D617F66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0.566</w:t>
            </w:r>
          </w:p>
        </w:tc>
        <w:tc>
          <w:tcPr>
            <w:tcW w:w="1093" w:type="dxa"/>
            <w:noWrap/>
            <w:hideMark/>
          </w:tcPr>
          <w:p w14:paraId="20615B7A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18 (31.0%)</w:t>
            </w:r>
          </w:p>
        </w:tc>
        <w:tc>
          <w:tcPr>
            <w:tcW w:w="1093" w:type="dxa"/>
            <w:noWrap/>
            <w:hideMark/>
          </w:tcPr>
          <w:p w14:paraId="51FF0EB1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(69.0%)</w:t>
            </w:r>
          </w:p>
        </w:tc>
        <w:tc>
          <w:tcPr>
            <w:tcW w:w="689" w:type="dxa"/>
            <w:vMerge w:val="restart"/>
            <w:noWrap/>
            <w:hideMark/>
          </w:tcPr>
          <w:p w14:paraId="40E37F0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0.750</w:t>
            </w:r>
          </w:p>
        </w:tc>
      </w:tr>
      <w:tr w:rsidR="004C1CBD" w:rsidRPr="00434BD7" w14:paraId="62711B9C" w14:textId="77777777" w:rsidTr="005D0856">
        <w:trPr>
          <w:trHeight w:val="20"/>
          <w:jc w:val="right"/>
        </w:trPr>
        <w:tc>
          <w:tcPr>
            <w:tcW w:w="2520" w:type="dxa"/>
            <w:hideMark/>
          </w:tcPr>
          <w:p w14:paraId="523C1C21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670FF26E" w14:textId="77777777" w:rsidR="004C1CBD" w:rsidRPr="00434BD7" w:rsidRDefault="004C1CBD" w:rsidP="005D0856">
            <w:pPr>
              <w:ind w:left="-106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156 (72.9%)</w:t>
            </w:r>
          </w:p>
        </w:tc>
        <w:tc>
          <w:tcPr>
            <w:tcW w:w="1140" w:type="dxa"/>
            <w:noWrap/>
            <w:hideMark/>
          </w:tcPr>
          <w:p w14:paraId="69D45AF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42 (26.9%)</w:t>
            </w:r>
          </w:p>
        </w:tc>
        <w:tc>
          <w:tcPr>
            <w:tcW w:w="1141" w:type="dxa"/>
            <w:noWrap/>
            <w:hideMark/>
          </w:tcPr>
          <w:p w14:paraId="12B3DE34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114 (73.1%)</w:t>
            </w:r>
          </w:p>
        </w:tc>
        <w:tc>
          <w:tcPr>
            <w:tcW w:w="633" w:type="dxa"/>
            <w:vMerge/>
            <w:noWrap/>
            <w:hideMark/>
          </w:tcPr>
          <w:p w14:paraId="19602425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18575C36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(25.6%)</w:t>
            </w:r>
          </w:p>
        </w:tc>
        <w:tc>
          <w:tcPr>
            <w:tcW w:w="1079" w:type="dxa"/>
            <w:noWrap/>
            <w:hideMark/>
          </w:tcPr>
          <w:p w14:paraId="6A794301" w14:textId="77777777" w:rsidR="004C1CBD" w:rsidRPr="00434BD7" w:rsidRDefault="004C1CBD" w:rsidP="005D0856">
            <w:pPr>
              <w:ind w:left="-114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116 (74.4%)</w:t>
            </w:r>
          </w:p>
        </w:tc>
        <w:tc>
          <w:tcPr>
            <w:tcW w:w="633" w:type="dxa"/>
            <w:vMerge/>
            <w:noWrap/>
            <w:hideMark/>
          </w:tcPr>
          <w:p w14:paraId="490C70D4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14:paraId="7D514B54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32 (20.5%)</w:t>
            </w:r>
          </w:p>
        </w:tc>
        <w:tc>
          <w:tcPr>
            <w:tcW w:w="1137" w:type="dxa"/>
            <w:noWrap/>
            <w:hideMark/>
          </w:tcPr>
          <w:p w14:paraId="32C3DF4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124 (79.5%)</w:t>
            </w:r>
          </w:p>
        </w:tc>
        <w:tc>
          <w:tcPr>
            <w:tcW w:w="604" w:type="dxa"/>
            <w:vMerge/>
            <w:noWrap/>
            <w:hideMark/>
          </w:tcPr>
          <w:p w14:paraId="1F5AB50A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noWrap/>
            <w:hideMark/>
          </w:tcPr>
          <w:p w14:paraId="75E00437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52 (33.3%)</w:t>
            </w:r>
          </w:p>
        </w:tc>
        <w:tc>
          <w:tcPr>
            <w:tcW w:w="1093" w:type="dxa"/>
            <w:noWrap/>
            <w:hideMark/>
          </w:tcPr>
          <w:p w14:paraId="2E0EAC0A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104 (66.7%)</w:t>
            </w:r>
          </w:p>
        </w:tc>
        <w:tc>
          <w:tcPr>
            <w:tcW w:w="689" w:type="dxa"/>
            <w:vMerge/>
            <w:noWrap/>
            <w:hideMark/>
          </w:tcPr>
          <w:p w14:paraId="03EAD16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</w:tr>
      <w:tr w:rsidR="004C1CBD" w:rsidRPr="00434BD7" w14:paraId="4D2C0403" w14:textId="77777777" w:rsidTr="005D0856">
        <w:trPr>
          <w:trHeight w:val="20"/>
          <w:jc w:val="right"/>
        </w:trPr>
        <w:tc>
          <w:tcPr>
            <w:tcW w:w="14940" w:type="dxa"/>
            <w:gridSpan w:val="14"/>
          </w:tcPr>
          <w:p w14:paraId="283D27C9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World Health Organization</w:t>
            </w:r>
          </w:p>
        </w:tc>
      </w:tr>
      <w:tr w:rsidR="004C1CBD" w:rsidRPr="00434BD7" w14:paraId="7D82B617" w14:textId="77777777" w:rsidTr="005D0856">
        <w:trPr>
          <w:trHeight w:val="20"/>
          <w:jc w:val="right"/>
        </w:trPr>
        <w:tc>
          <w:tcPr>
            <w:tcW w:w="2520" w:type="dxa"/>
            <w:hideMark/>
          </w:tcPr>
          <w:p w14:paraId="2CA2D78F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14:paraId="7E345513" w14:textId="77777777" w:rsidR="004C1CBD" w:rsidRPr="00434BD7" w:rsidRDefault="004C1CBD" w:rsidP="005D0856">
            <w:pPr>
              <w:ind w:left="-106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83 (38.8%)</w:t>
            </w:r>
          </w:p>
        </w:tc>
        <w:tc>
          <w:tcPr>
            <w:tcW w:w="1140" w:type="dxa"/>
            <w:noWrap/>
            <w:hideMark/>
          </w:tcPr>
          <w:p w14:paraId="38B0A8B9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 (25.3%)</w:t>
            </w:r>
          </w:p>
        </w:tc>
        <w:tc>
          <w:tcPr>
            <w:tcW w:w="1141" w:type="dxa"/>
            <w:noWrap/>
            <w:hideMark/>
          </w:tcPr>
          <w:p w14:paraId="6C458D8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62 (74.7%)</w:t>
            </w:r>
          </w:p>
        </w:tc>
        <w:tc>
          <w:tcPr>
            <w:tcW w:w="633" w:type="dxa"/>
            <w:vMerge w:val="restart"/>
            <w:noWrap/>
            <w:hideMark/>
          </w:tcPr>
          <w:p w14:paraId="4354844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0.478</w:t>
            </w:r>
          </w:p>
        </w:tc>
        <w:tc>
          <w:tcPr>
            <w:tcW w:w="1078" w:type="dxa"/>
            <w:noWrap/>
            <w:hideMark/>
          </w:tcPr>
          <w:p w14:paraId="1C64B121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 (24.1%)</w:t>
            </w:r>
          </w:p>
        </w:tc>
        <w:tc>
          <w:tcPr>
            <w:tcW w:w="1079" w:type="dxa"/>
            <w:noWrap/>
            <w:hideMark/>
          </w:tcPr>
          <w:p w14:paraId="5DEBFE14" w14:textId="77777777" w:rsidR="004C1CBD" w:rsidRPr="00434BD7" w:rsidRDefault="004C1CBD" w:rsidP="005D0856">
            <w:pPr>
              <w:ind w:left="-114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63 (75.9%)</w:t>
            </w:r>
          </w:p>
        </w:tc>
        <w:tc>
          <w:tcPr>
            <w:tcW w:w="633" w:type="dxa"/>
            <w:vMerge w:val="restart"/>
            <w:noWrap/>
            <w:hideMark/>
          </w:tcPr>
          <w:p w14:paraId="417F1CDB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0.669</w:t>
            </w:r>
          </w:p>
        </w:tc>
        <w:tc>
          <w:tcPr>
            <w:tcW w:w="1020" w:type="dxa"/>
            <w:noWrap/>
            <w:hideMark/>
          </w:tcPr>
          <w:p w14:paraId="4482E45C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17 (20.5%)</w:t>
            </w:r>
          </w:p>
        </w:tc>
        <w:tc>
          <w:tcPr>
            <w:tcW w:w="1137" w:type="dxa"/>
            <w:noWrap/>
            <w:hideMark/>
          </w:tcPr>
          <w:p w14:paraId="6C7F7F5A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66 (79.5%)</w:t>
            </w:r>
          </w:p>
        </w:tc>
        <w:tc>
          <w:tcPr>
            <w:tcW w:w="604" w:type="dxa"/>
            <w:vMerge w:val="restart"/>
            <w:noWrap/>
            <w:hideMark/>
          </w:tcPr>
          <w:p w14:paraId="7245890B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0.774</w:t>
            </w:r>
          </w:p>
        </w:tc>
        <w:tc>
          <w:tcPr>
            <w:tcW w:w="1093" w:type="dxa"/>
            <w:noWrap/>
            <w:hideMark/>
          </w:tcPr>
          <w:p w14:paraId="70A753D1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28 (33.7%)</w:t>
            </w:r>
          </w:p>
        </w:tc>
        <w:tc>
          <w:tcPr>
            <w:tcW w:w="1093" w:type="dxa"/>
            <w:noWrap/>
            <w:hideMark/>
          </w:tcPr>
          <w:p w14:paraId="5E477D9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55 (66.3%)</w:t>
            </w:r>
          </w:p>
        </w:tc>
        <w:tc>
          <w:tcPr>
            <w:tcW w:w="689" w:type="dxa"/>
            <w:vMerge w:val="restart"/>
            <w:noWrap/>
            <w:hideMark/>
          </w:tcPr>
          <w:p w14:paraId="77AB30F9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0.799</w:t>
            </w:r>
          </w:p>
        </w:tc>
      </w:tr>
      <w:tr w:rsidR="004C1CBD" w:rsidRPr="00434BD7" w14:paraId="1A9BB3BC" w14:textId="77777777" w:rsidTr="005D0856">
        <w:trPr>
          <w:trHeight w:val="20"/>
          <w:jc w:val="right"/>
        </w:trPr>
        <w:tc>
          <w:tcPr>
            <w:tcW w:w="2520" w:type="dxa"/>
            <w:hideMark/>
          </w:tcPr>
          <w:p w14:paraId="1A909774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380F03CC" w14:textId="77777777" w:rsidR="004C1CBD" w:rsidRPr="00434BD7" w:rsidRDefault="004C1CBD" w:rsidP="005D0856">
            <w:pPr>
              <w:ind w:left="-106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131 (61.2%)</w:t>
            </w:r>
          </w:p>
        </w:tc>
        <w:tc>
          <w:tcPr>
            <w:tcW w:w="1140" w:type="dxa"/>
            <w:noWrap/>
            <w:hideMark/>
          </w:tcPr>
          <w:p w14:paraId="33118DF7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39 (29.8%)</w:t>
            </w:r>
          </w:p>
        </w:tc>
        <w:tc>
          <w:tcPr>
            <w:tcW w:w="1141" w:type="dxa"/>
            <w:noWrap/>
            <w:hideMark/>
          </w:tcPr>
          <w:p w14:paraId="438002F0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92 (70.2%)</w:t>
            </w:r>
          </w:p>
        </w:tc>
        <w:tc>
          <w:tcPr>
            <w:tcW w:w="633" w:type="dxa"/>
            <w:vMerge/>
            <w:noWrap/>
            <w:hideMark/>
          </w:tcPr>
          <w:p w14:paraId="20FD9299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3AEDB027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35 (26.7%)</w:t>
            </w:r>
          </w:p>
        </w:tc>
        <w:tc>
          <w:tcPr>
            <w:tcW w:w="1079" w:type="dxa"/>
            <w:noWrap/>
            <w:hideMark/>
          </w:tcPr>
          <w:p w14:paraId="4B8BA754" w14:textId="77777777" w:rsidR="004C1CBD" w:rsidRPr="00434BD7" w:rsidRDefault="004C1CBD" w:rsidP="005D0856">
            <w:pPr>
              <w:ind w:left="-114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96 (73.3%)</w:t>
            </w:r>
          </w:p>
        </w:tc>
        <w:tc>
          <w:tcPr>
            <w:tcW w:w="633" w:type="dxa"/>
            <w:vMerge/>
            <w:noWrap/>
            <w:hideMark/>
          </w:tcPr>
          <w:p w14:paraId="479F0F37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14:paraId="3C1798A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29 (22.1%)</w:t>
            </w:r>
          </w:p>
        </w:tc>
        <w:tc>
          <w:tcPr>
            <w:tcW w:w="1137" w:type="dxa"/>
            <w:noWrap/>
            <w:hideMark/>
          </w:tcPr>
          <w:p w14:paraId="70493408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102 (77.9%)</w:t>
            </w:r>
          </w:p>
        </w:tc>
        <w:tc>
          <w:tcPr>
            <w:tcW w:w="604" w:type="dxa"/>
            <w:vMerge/>
            <w:noWrap/>
            <w:hideMark/>
          </w:tcPr>
          <w:p w14:paraId="435E1B88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noWrap/>
            <w:hideMark/>
          </w:tcPr>
          <w:p w14:paraId="0C52F75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42 (32.1%)</w:t>
            </w:r>
          </w:p>
        </w:tc>
        <w:tc>
          <w:tcPr>
            <w:tcW w:w="1093" w:type="dxa"/>
            <w:noWrap/>
            <w:hideMark/>
          </w:tcPr>
          <w:p w14:paraId="65E88526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89 (67.9%)</w:t>
            </w:r>
          </w:p>
        </w:tc>
        <w:tc>
          <w:tcPr>
            <w:tcW w:w="689" w:type="dxa"/>
            <w:vMerge/>
            <w:noWrap/>
            <w:hideMark/>
          </w:tcPr>
          <w:p w14:paraId="2448DEE5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</w:tr>
      <w:tr w:rsidR="004C1CBD" w:rsidRPr="00434BD7" w14:paraId="72EAD8E7" w14:textId="77777777" w:rsidTr="005D0856">
        <w:trPr>
          <w:trHeight w:val="20"/>
          <w:jc w:val="right"/>
        </w:trPr>
        <w:tc>
          <w:tcPr>
            <w:tcW w:w="14940" w:type="dxa"/>
            <w:gridSpan w:val="14"/>
          </w:tcPr>
          <w:p w14:paraId="624B0425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Electronic newspapers</w:t>
            </w:r>
          </w:p>
        </w:tc>
      </w:tr>
      <w:tr w:rsidR="004C1CBD" w:rsidRPr="00434BD7" w14:paraId="002ACCC6" w14:textId="77777777" w:rsidTr="005D0856">
        <w:trPr>
          <w:trHeight w:val="20"/>
          <w:jc w:val="right"/>
        </w:trPr>
        <w:tc>
          <w:tcPr>
            <w:tcW w:w="2520" w:type="dxa"/>
            <w:hideMark/>
          </w:tcPr>
          <w:p w14:paraId="3690117A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14:paraId="4FFB3D07" w14:textId="77777777" w:rsidR="004C1CBD" w:rsidRPr="00434BD7" w:rsidRDefault="004C1CBD" w:rsidP="005D0856">
            <w:pPr>
              <w:ind w:left="-106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50 (23.4%)</w:t>
            </w:r>
          </w:p>
        </w:tc>
        <w:tc>
          <w:tcPr>
            <w:tcW w:w="1140" w:type="dxa"/>
            <w:noWrap/>
            <w:hideMark/>
          </w:tcPr>
          <w:p w14:paraId="746108DC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12 (24.0%)</w:t>
            </w:r>
          </w:p>
        </w:tc>
        <w:tc>
          <w:tcPr>
            <w:tcW w:w="1141" w:type="dxa"/>
            <w:noWrap/>
            <w:hideMark/>
          </w:tcPr>
          <w:p w14:paraId="499DDF86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38 (76.0%)</w:t>
            </w:r>
          </w:p>
        </w:tc>
        <w:tc>
          <w:tcPr>
            <w:tcW w:w="633" w:type="dxa"/>
            <w:vMerge w:val="restart"/>
            <w:noWrap/>
            <w:hideMark/>
          </w:tcPr>
          <w:p w14:paraId="4894FE68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0.468</w:t>
            </w:r>
          </w:p>
        </w:tc>
        <w:tc>
          <w:tcPr>
            <w:tcW w:w="1078" w:type="dxa"/>
            <w:noWrap/>
            <w:hideMark/>
          </w:tcPr>
          <w:p w14:paraId="16F0B6B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13 (26.0%)</w:t>
            </w:r>
          </w:p>
        </w:tc>
        <w:tc>
          <w:tcPr>
            <w:tcW w:w="1079" w:type="dxa"/>
            <w:noWrap/>
            <w:hideMark/>
          </w:tcPr>
          <w:p w14:paraId="2B9F847F" w14:textId="77777777" w:rsidR="004C1CBD" w:rsidRPr="00434BD7" w:rsidRDefault="004C1CBD" w:rsidP="005D0856">
            <w:pPr>
              <w:ind w:left="-114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37 (74.0%)</w:t>
            </w:r>
          </w:p>
        </w:tc>
        <w:tc>
          <w:tcPr>
            <w:tcW w:w="633" w:type="dxa"/>
            <w:vMerge w:val="restart"/>
            <w:noWrap/>
            <w:hideMark/>
          </w:tcPr>
          <w:p w14:paraId="21AABE13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0.956</w:t>
            </w:r>
          </w:p>
        </w:tc>
        <w:tc>
          <w:tcPr>
            <w:tcW w:w="1020" w:type="dxa"/>
            <w:noWrap/>
            <w:hideMark/>
          </w:tcPr>
          <w:p w14:paraId="2E4AB2C0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12 (24.0%)</w:t>
            </w:r>
          </w:p>
        </w:tc>
        <w:tc>
          <w:tcPr>
            <w:tcW w:w="1137" w:type="dxa"/>
            <w:noWrap/>
            <w:hideMark/>
          </w:tcPr>
          <w:p w14:paraId="02B82D0C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38 (76.0%)</w:t>
            </w:r>
          </w:p>
        </w:tc>
        <w:tc>
          <w:tcPr>
            <w:tcW w:w="604" w:type="dxa"/>
            <w:vMerge w:val="restart"/>
            <w:noWrap/>
            <w:hideMark/>
          </w:tcPr>
          <w:p w14:paraId="6EA4C8CC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0.622</w:t>
            </w:r>
          </w:p>
        </w:tc>
        <w:tc>
          <w:tcPr>
            <w:tcW w:w="1093" w:type="dxa"/>
            <w:noWrap/>
            <w:hideMark/>
          </w:tcPr>
          <w:p w14:paraId="42B83718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17 (34.0%)</w:t>
            </w:r>
          </w:p>
        </w:tc>
        <w:tc>
          <w:tcPr>
            <w:tcW w:w="1093" w:type="dxa"/>
            <w:noWrap/>
            <w:hideMark/>
          </w:tcPr>
          <w:p w14:paraId="30265D60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33 (66.0%)</w:t>
            </w:r>
          </w:p>
        </w:tc>
        <w:tc>
          <w:tcPr>
            <w:tcW w:w="689" w:type="dxa"/>
            <w:vMerge w:val="restart"/>
            <w:noWrap/>
            <w:hideMark/>
          </w:tcPr>
          <w:p w14:paraId="4AD8F48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0.824</w:t>
            </w:r>
          </w:p>
        </w:tc>
      </w:tr>
      <w:tr w:rsidR="004C1CBD" w:rsidRPr="00434BD7" w14:paraId="67D89702" w14:textId="77777777" w:rsidTr="005D0856">
        <w:trPr>
          <w:trHeight w:val="20"/>
          <w:jc w:val="right"/>
        </w:trPr>
        <w:tc>
          <w:tcPr>
            <w:tcW w:w="2520" w:type="dxa"/>
            <w:hideMark/>
          </w:tcPr>
          <w:p w14:paraId="04FE6B99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34BD7">
              <w:rPr>
                <w:rFonts w:ascii="Cambria" w:hAnsi="Cambria" w:cs="Arial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2F7291BE" w14:textId="77777777" w:rsidR="004C1CBD" w:rsidRPr="00434BD7" w:rsidRDefault="004C1CBD" w:rsidP="005D0856">
            <w:pPr>
              <w:ind w:left="-106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164 (76.6%)</w:t>
            </w:r>
          </w:p>
        </w:tc>
        <w:tc>
          <w:tcPr>
            <w:tcW w:w="1140" w:type="dxa"/>
            <w:noWrap/>
            <w:hideMark/>
          </w:tcPr>
          <w:p w14:paraId="594E00F9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48 (29.3%)</w:t>
            </w:r>
          </w:p>
        </w:tc>
        <w:tc>
          <w:tcPr>
            <w:tcW w:w="1141" w:type="dxa"/>
            <w:noWrap/>
            <w:hideMark/>
          </w:tcPr>
          <w:p w14:paraId="2088270A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116 (70.7%)</w:t>
            </w:r>
          </w:p>
        </w:tc>
        <w:tc>
          <w:tcPr>
            <w:tcW w:w="633" w:type="dxa"/>
            <w:vMerge/>
            <w:noWrap/>
            <w:hideMark/>
          </w:tcPr>
          <w:p w14:paraId="224E6CDF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35B3705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42 (25.6%)</w:t>
            </w:r>
          </w:p>
        </w:tc>
        <w:tc>
          <w:tcPr>
            <w:tcW w:w="1079" w:type="dxa"/>
            <w:noWrap/>
            <w:hideMark/>
          </w:tcPr>
          <w:p w14:paraId="3FEA9952" w14:textId="77777777" w:rsidR="004C1CBD" w:rsidRPr="00434BD7" w:rsidRDefault="004C1CBD" w:rsidP="005D0856">
            <w:pPr>
              <w:ind w:left="-114"/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122 (74.4%)</w:t>
            </w:r>
          </w:p>
        </w:tc>
        <w:tc>
          <w:tcPr>
            <w:tcW w:w="633" w:type="dxa"/>
            <w:vMerge/>
            <w:noWrap/>
            <w:hideMark/>
          </w:tcPr>
          <w:p w14:paraId="2608AA18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14:paraId="35722340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34 (20.7%)</w:t>
            </w:r>
          </w:p>
        </w:tc>
        <w:tc>
          <w:tcPr>
            <w:tcW w:w="1137" w:type="dxa"/>
            <w:noWrap/>
            <w:hideMark/>
          </w:tcPr>
          <w:p w14:paraId="76BF217E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130 (79.3%)</w:t>
            </w:r>
          </w:p>
        </w:tc>
        <w:tc>
          <w:tcPr>
            <w:tcW w:w="604" w:type="dxa"/>
            <w:vMerge/>
            <w:noWrap/>
            <w:hideMark/>
          </w:tcPr>
          <w:p w14:paraId="1D74D769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noWrap/>
            <w:hideMark/>
          </w:tcPr>
          <w:p w14:paraId="26789BB5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53 (32.3%)</w:t>
            </w:r>
          </w:p>
        </w:tc>
        <w:tc>
          <w:tcPr>
            <w:tcW w:w="1093" w:type="dxa"/>
            <w:noWrap/>
            <w:hideMark/>
          </w:tcPr>
          <w:p w14:paraId="7BFA29F2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111 (67.7%)</w:t>
            </w:r>
          </w:p>
        </w:tc>
        <w:tc>
          <w:tcPr>
            <w:tcW w:w="689" w:type="dxa"/>
            <w:vMerge/>
            <w:noWrap/>
            <w:hideMark/>
          </w:tcPr>
          <w:p w14:paraId="472815C9" w14:textId="77777777" w:rsidR="004C1CBD" w:rsidRPr="00434BD7" w:rsidRDefault="004C1CBD" w:rsidP="005D0856">
            <w:pPr>
              <w:jc w:val="right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</w:tc>
      </w:tr>
      <w:tr w:rsidR="004C1CBD" w:rsidRPr="00434BD7" w14:paraId="012D0EC4" w14:textId="77777777" w:rsidTr="005D0856">
        <w:trPr>
          <w:trHeight w:val="20"/>
          <w:jc w:val="right"/>
        </w:trPr>
        <w:tc>
          <w:tcPr>
            <w:tcW w:w="14940" w:type="dxa"/>
            <w:gridSpan w:val="14"/>
            <w:noWrap/>
          </w:tcPr>
          <w:p w14:paraId="7B262381" w14:textId="77777777" w:rsidR="004C1CBD" w:rsidRPr="00434BD7" w:rsidRDefault="004C1CBD" w:rsidP="005D0856">
            <w:pPr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3F3CED">
              <w:rPr>
                <w:rFonts w:ascii="Cambria" w:hAnsi="Cambria" w:cs="Arial"/>
                <w:i/>
                <w:iCs/>
                <w:sz w:val="16"/>
                <w:szCs w:val="16"/>
              </w:rPr>
              <w:t>Bolded p-values are significant</w:t>
            </w:r>
          </w:p>
        </w:tc>
      </w:tr>
    </w:tbl>
    <w:p w14:paraId="389C3545" w14:textId="77777777" w:rsidR="004C1CBD" w:rsidRDefault="004C1CBD"/>
    <w:p w14:paraId="5BB45728" w14:textId="77777777" w:rsidR="00D40A60" w:rsidRDefault="00D40A60"/>
    <w:p w14:paraId="30807C96" w14:textId="77777777" w:rsidR="00D97AD9" w:rsidRDefault="00D97AD9"/>
    <w:p w14:paraId="4C386547" w14:textId="77777777" w:rsidR="00D97AD9" w:rsidRDefault="00D97AD9"/>
    <w:p w14:paraId="2A922604" w14:textId="77777777" w:rsidR="00D97AD9" w:rsidRDefault="00D97AD9"/>
    <w:p w14:paraId="43C93D65" w14:textId="77777777" w:rsidR="00D97AD9" w:rsidRDefault="00D97AD9"/>
    <w:p w14:paraId="1A4532A5" w14:textId="58D63E08" w:rsidR="00D97AD9" w:rsidRDefault="00F37B57" w:rsidP="00D97AD9">
      <w:pPr>
        <w:rPr>
          <w:rFonts w:ascii="Cambria" w:hAnsi="Cambria"/>
          <w:sz w:val="20"/>
        </w:rPr>
      </w:pPr>
      <w:r w:rsidRPr="00F37B57">
        <w:rPr>
          <w:rFonts w:ascii="Cambria" w:hAnsi="Cambria"/>
          <w:sz w:val="20"/>
        </w:rPr>
        <w:t xml:space="preserve">Supplementary </w:t>
      </w:r>
      <w:r w:rsidR="00D97AD9">
        <w:rPr>
          <w:rFonts w:ascii="Cambria" w:hAnsi="Cambria"/>
          <w:sz w:val="20"/>
        </w:rPr>
        <w:t>Table 3. Regression analyses to identify sociodemographic predictors of PTSD, stress, anxiety, and depression</w:t>
      </w:r>
    </w:p>
    <w:tbl>
      <w:tblPr>
        <w:tblStyle w:val="TableGrid"/>
        <w:tblW w:w="12568" w:type="dxa"/>
        <w:tblLook w:val="04A0" w:firstRow="1" w:lastRow="0" w:firstColumn="1" w:lastColumn="0" w:noHBand="0" w:noVBand="1"/>
      </w:tblPr>
      <w:tblGrid>
        <w:gridCol w:w="3972"/>
        <w:gridCol w:w="1073"/>
        <w:gridCol w:w="1075"/>
        <w:gridCol w:w="1074"/>
        <w:gridCol w:w="1075"/>
        <w:gridCol w:w="1074"/>
        <w:gridCol w:w="1075"/>
        <w:gridCol w:w="1074"/>
        <w:gridCol w:w="1076"/>
      </w:tblGrid>
      <w:tr w:rsidR="00D97AD9" w:rsidRPr="00C95B8B" w14:paraId="6DEF4D4C" w14:textId="77777777" w:rsidTr="005D0856">
        <w:trPr>
          <w:trHeight w:val="288"/>
        </w:trPr>
        <w:tc>
          <w:tcPr>
            <w:tcW w:w="3972" w:type="dxa"/>
            <w:vMerge w:val="restart"/>
            <w:hideMark/>
          </w:tcPr>
          <w:p w14:paraId="6BB4AD72" w14:textId="77777777" w:rsidR="00D97AD9" w:rsidRPr="00C95B8B" w:rsidRDefault="00D97AD9" w:rsidP="005D085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Sociodemographic variables</w:t>
            </w:r>
          </w:p>
        </w:tc>
        <w:tc>
          <w:tcPr>
            <w:tcW w:w="2148" w:type="dxa"/>
            <w:gridSpan w:val="2"/>
          </w:tcPr>
          <w:p w14:paraId="0D6ECF86" w14:textId="77777777" w:rsidR="00D97AD9" w:rsidRPr="00C95B8B" w:rsidRDefault="00DF1491" w:rsidP="00DF149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F1491">
              <w:rPr>
                <w:rFonts w:ascii="Cambria" w:hAnsi="Cambria"/>
                <w:b/>
                <w:bCs/>
                <w:sz w:val="18"/>
                <w:szCs w:val="18"/>
                <w:lang w:val="en-CA"/>
              </w:rPr>
              <w:t>psychological distress</w:t>
            </w:r>
          </w:p>
        </w:tc>
        <w:tc>
          <w:tcPr>
            <w:tcW w:w="2149" w:type="dxa"/>
            <w:gridSpan w:val="2"/>
            <w:hideMark/>
          </w:tcPr>
          <w:p w14:paraId="6F1C0ABD" w14:textId="77777777" w:rsidR="00D97AD9" w:rsidRPr="00C95B8B" w:rsidRDefault="00D97AD9" w:rsidP="005D0856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Stress</w:t>
            </w:r>
          </w:p>
        </w:tc>
        <w:tc>
          <w:tcPr>
            <w:tcW w:w="2149" w:type="dxa"/>
            <w:gridSpan w:val="2"/>
            <w:noWrap/>
            <w:hideMark/>
          </w:tcPr>
          <w:p w14:paraId="21D4E44E" w14:textId="77777777" w:rsidR="00D97AD9" w:rsidRPr="00C95B8B" w:rsidRDefault="00D97AD9" w:rsidP="005D0856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Anxiety</w:t>
            </w:r>
          </w:p>
        </w:tc>
        <w:tc>
          <w:tcPr>
            <w:tcW w:w="2149" w:type="dxa"/>
            <w:gridSpan w:val="2"/>
            <w:noWrap/>
            <w:hideMark/>
          </w:tcPr>
          <w:p w14:paraId="7F4750AF" w14:textId="77777777" w:rsidR="00D97AD9" w:rsidRPr="00C95B8B" w:rsidRDefault="00D97AD9" w:rsidP="005D0856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Depression</w:t>
            </w:r>
          </w:p>
        </w:tc>
      </w:tr>
      <w:tr w:rsidR="00D97AD9" w:rsidRPr="00C95B8B" w14:paraId="2EA3C8CE" w14:textId="77777777" w:rsidTr="005D0856">
        <w:trPr>
          <w:trHeight w:val="288"/>
        </w:trPr>
        <w:tc>
          <w:tcPr>
            <w:tcW w:w="3972" w:type="dxa"/>
            <w:vMerge/>
            <w:hideMark/>
          </w:tcPr>
          <w:p w14:paraId="1075430A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7D9995CB" w14:textId="77777777" w:rsidR="00D97AD9" w:rsidRPr="00C95B8B" w:rsidRDefault="00D97AD9" w:rsidP="005D0856">
            <w:pPr>
              <w:ind w:left="-16" w:right="-3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dds ratio</w:t>
            </w:r>
          </w:p>
        </w:tc>
        <w:tc>
          <w:tcPr>
            <w:tcW w:w="1074" w:type="dxa"/>
            <w:hideMark/>
          </w:tcPr>
          <w:p w14:paraId="081491AC" w14:textId="77777777" w:rsidR="00D97AD9" w:rsidRPr="00C95B8B" w:rsidRDefault="00D97AD9" w:rsidP="005D0856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74" w:type="dxa"/>
          </w:tcPr>
          <w:p w14:paraId="18252FF4" w14:textId="77777777" w:rsidR="00D97AD9" w:rsidRPr="00C95B8B" w:rsidRDefault="00D97AD9" w:rsidP="005D0856">
            <w:pPr>
              <w:ind w:left="-16" w:right="-3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dds ratio</w:t>
            </w:r>
          </w:p>
        </w:tc>
        <w:tc>
          <w:tcPr>
            <w:tcW w:w="1074" w:type="dxa"/>
            <w:noWrap/>
            <w:hideMark/>
          </w:tcPr>
          <w:p w14:paraId="65AD6D85" w14:textId="77777777" w:rsidR="00D97AD9" w:rsidRPr="00C95B8B" w:rsidRDefault="00D97AD9" w:rsidP="005D0856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74" w:type="dxa"/>
            <w:noWrap/>
            <w:hideMark/>
          </w:tcPr>
          <w:p w14:paraId="494F64E7" w14:textId="77777777" w:rsidR="00D97AD9" w:rsidRPr="0002207E" w:rsidRDefault="00D97AD9" w:rsidP="005D0856">
            <w:pPr>
              <w:ind w:left="-16" w:right="-3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dds ratio</w:t>
            </w:r>
          </w:p>
        </w:tc>
        <w:tc>
          <w:tcPr>
            <w:tcW w:w="1074" w:type="dxa"/>
            <w:noWrap/>
            <w:hideMark/>
          </w:tcPr>
          <w:p w14:paraId="05DEC6BE" w14:textId="77777777" w:rsidR="00D97AD9" w:rsidRPr="00C95B8B" w:rsidRDefault="00D97AD9" w:rsidP="005D0856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74" w:type="dxa"/>
            <w:noWrap/>
            <w:hideMark/>
          </w:tcPr>
          <w:p w14:paraId="4E7B0BD0" w14:textId="77777777" w:rsidR="00D97AD9" w:rsidRPr="0002207E" w:rsidRDefault="00D97AD9" w:rsidP="005D0856">
            <w:pPr>
              <w:ind w:left="-16" w:right="-3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dds ratio</w:t>
            </w:r>
          </w:p>
        </w:tc>
        <w:tc>
          <w:tcPr>
            <w:tcW w:w="1074" w:type="dxa"/>
            <w:noWrap/>
            <w:hideMark/>
          </w:tcPr>
          <w:p w14:paraId="61810B85" w14:textId="77777777" w:rsidR="00D97AD9" w:rsidRPr="00C95B8B" w:rsidRDefault="00D97AD9" w:rsidP="005D0856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95B8B">
              <w:rPr>
                <w:rFonts w:ascii="Cambria" w:hAnsi="Cambria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D97AD9" w:rsidRPr="00C95B8B" w14:paraId="20254FD6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5C5B585B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S</w:t>
            </w:r>
            <w:r w:rsidRPr="00C95B8B">
              <w:rPr>
                <w:rFonts w:ascii="Cambria" w:hAnsi="Cambria" w:cs="Arial"/>
                <w:sz w:val="18"/>
                <w:szCs w:val="18"/>
              </w:rPr>
              <w:t>e</w:t>
            </w:r>
            <w:r>
              <w:rPr>
                <w:rFonts w:ascii="Cambria" w:hAnsi="Cambria" w:cs="Arial"/>
                <w:sz w:val="18"/>
                <w:szCs w:val="18"/>
              </w:rPr>
              <w:t>x</w:t>
            </w:r>
          </w:p>
        </w:tc>
        <w:tc>
          <w:tcPr>
            <w:tcW w:w="1073" w:type="dxa"/>
            <w:vAlign w:val="center"/>
          </w:tcPr>
          <w:p w14:paraId="37598CE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.408</w:t>
            </w:r>
          </w:p>
        </w:tc>
        <w:tc>
          <w:tcPr>
            <w:tcW w:w="1074" w:type="dxa"/>
            <w:noWrap/>
            <w:vAlign w:val="center"/>
            <w:hideMark/>
          </w:tcPr>
          <w:p w14:paraId="017E43D9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.008</w:t>
            </w:r>
            <w:r>
              <w:rPr>
                <w:rFonts w:ascii="Cambria" w:hAnsi="Cambria" w:cs="Arial"/>
                <w:sz w:val="18"/>
                <w:szCs w:val="18"/>
              </w:rPr>
              <w:t>*</w:t>
            </w:r>
          </w:p>
        </w:tc>
        <w:tc>
          <w:tcPr>
            <w:tcW w:w="1074" w:type="dxa"/>
            <w:noWrap/>
            <w:vAlign w:val="center"/>
          </w:tcPr>
          <w:p w14:paraId="63FD8078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.315</w:t>
            </w:r>
          </w:p>
        </w:tc>
        <w:tc>
          <w:tcPr>
            <w:tcW w:w="1074" w:type="dxa"/>
            <w:noWrap/>
            <w:vAlign w:val="center"/>
            <w:hideMark/>
          </w:tcPr>
          <w:p w14:paraId="0F3674FB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.001</w:t>
            </w:r>
            <w:r>
              <w:rPr>
                <w:rFonts w:ascii="Cambria" w:hAnsi="Cambria" w:cs="Arial"/>
                <w:sz w:val="18"/>
                <w:szCs w:val="18"/>
              </w:rPr>
              <w:t>*</w:t>
            </w:r>
          </w:p>
        </w:tc>
        <w:tc>
          <w:tcPr>
            <w:tcW w:w="1074" w:type="dxa"/>
            <w:noWrap/>
            <w:vAlign w:val="center"/>
          </w:tcPr>
          <w:p w14:paraId="37328A04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.469</w:t>
            </w:r>
          </w:p>
        </w:tc>
        <w:tc>
          <w:tcPr>
            <w:tcW w:w="1074" w:type="dxa"/>
            <w:noWrap/>
            <w:vAlign w:val="center"/>
            <w:hideMark/>
          </w:tcPr>
          <w:p w14:paraId="28E5843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.040</w:t>
            </w:r>
            <w:r>
              <w:rPr>
                <w:rFonts w:ascii="Cambria" w:hAnsi="Cambria" w:cs="Arial"/>
                <w:sz w:val="18"/>
                <w:szCs w:val="18"/>
              </w:rPr>
              <w:t>*</w:t>
            </w:r>
          </w:p>
        </w:tc>
        <w:tc>
          <w:tcPr>
            <w:tcW w:w="1074" w:type="dxa"/>
            <w:noWrap/>
            <w:vAlign w:val="center"/>
          </w:tcPr>
          <w:p w14:paraId="080DCD68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.461</w:t>
            </w:r>
          </w:p>
        </w:tc>
        <w:tc>
          <w:tcPr>
            <w:tcW w:w="1074" w:type="dxa"/>
            <w:noWrap/>
            <w:vAlign w:val="center"/>
            <w:hideMark/>
          </w:tcPr>
          <w:p w14:paraId="148DD4B1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.020</w:t>
            </w:r>
            <w:r>
              <w:rPr>
                <w:rFonts w:ascii="Cambria" w:hAnsi="Cambria" w:cs="Arial"/>
                <w:sz w:val="18"/>
                <w:szCs w:val="18"/>
              </w:rPr>
              <w:t>*</w:t>
            </w:r>
          </w:p>
        </w:tc>
      </w:tr>
      <w:tr w:rsidR="00D97AD9" w:rsidRPr="00C95B8B" w14:paraId="3C0C50F0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52748DCC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Age</w:t>
            </w:r>
          </w:p>
        </w:tc>
        <w:tc>
          <w:tcPr>
            <w:tcW w:w="1073" w:type="dxa"/>
            <w:vAlign w:val="center"/>
          </w:tcPr>
          <w:p w14:paraId="5C70A8C5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1.788</w:t>
            </w:r>
          </w:p>
        </w:tc>
        <w:tc>
          <w:tcPr>
            <w:tcW w:w="1074" w:type="dxa"/>
            <w:noWrap/>
            <w:vAlign w:val="center"/>
            <w:hideMark/>
          </w:tcPr>
          <w:p w14:paraId="6907695A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.169</w:t>
            </w:r>
          </w:p>
        </w:tc>
        <w:tc>
          <w:tcPr>
            <w:tcW w:w="1074" w:type="dxa"/>
            <w:noWrap/>
            <w:vAlign w:val="center"/>
          </w:tcPr>
          <w:p w14:paraId="5C618F17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1.213</w:t>
            </w:r>
          </w:p>
        </w:tc>
        <w:tc>
          <w:tcPr>
            <w:tcW w:w="1074" w:type="dxa"/>
            <w:noWrap/>
            <w:vAlign w:val="center"/>
            <w:hideMark/>
          </w:tcPr>
          <w:p w14:paraId="25BB46B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.655</w:t>
            </w:r>
          </w:p>
        </w:tc>
        <w:tc>
          <w:tcPr>
            <w:tcW w:w="1074" w:type="dxa"/>
            <w:noWrap/>
            <w:vAlign w:val="center"/>
          </w:tcPr>
          <w:p w14:paraId="1C93A5E8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1.182</w:t>
            </w:r>
          </w:p>
        </w:tc>
        <w:tc>
          <w:tcPr>
            <w:tcW w:w="1074" w:type="dxa"/>
            <w:noWrap/>
            <w:vAlign w:val="center"/>
            <w:hideMark/>
          </w:tcPr>
          <w:p w14:paraId="6750723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.708</w:t>
            </w:r>
          </w:p>
        </w:tc>
        <w:tc>
          <w:tcPr>
            <w:tcW w:w="1074" w:type="dxa"/>
            <w:noWrap/>
            <w:vAlign w:val="center"/>
          </w:tcPr>
          <w:p w14:paraId="1439DBDB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1.061</w:t>
            </w:r>
          </w:p>
        </w:tc>
        <w:tc>
          <w:tcPr>
            <w:tcW w:w="1074" w:type="dxa"/>
            <w:noWrap/>
            <w:vAlign w:val="center"/>
            <w:hideMark/>
          </w:tcPr>
          <w:p w14:paraId="0AB4256C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.885</w:t>
            </w:r>
          </w:p>
        </w:tc>
      </w:tr>
      <w:tr w:rsidR="00D97AD9" w:rsidRPr="00C95B8B" w14:paraId="54CB8542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3F89E393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Level of education</w:t>
            </w:r>
          </w:p>
        </w:tc>
        <w:tc>
          <w:tcPr>
            <w:tcW w:w="1073" w:type="dxa"/>
            <w:vAlign w:val="center"/>
          </w:tcPr>
          <w:p w14:paraId="27EC56D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1.871</w:t>
            </w:r>
          </w:p>
        </w:tc>
        <w:tc>
          <w:tcPr>
            <w:tcW w:w="1074" w:type="dxa"/>
            <w:noWrap/>
            <w:vAlign w:val="center"/>
            <w:hideMark/>
          </w:tcPr>
          <w:p w14:paraId="30CB76A7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.125</w:t>
            </w:r>
          </w:p>
        </w:tc>
        <w:tc>
          <w:tcPr>
            <w:tcW w:w="1074" w:type="dxa"/>
            <w:noWrap/>
            <w:vAlign w:val="center"/>
          </w:tcPr>
          <w:p w14:paraId="0893BFA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.503</w:t>
            </w:r>
          </w:p>
        </w:tc>
        <w:tc>
          <w:tcPr>
            <w:tcW w:w="1074" w:type="dxa"/>
            <w:noWrap/>
            <w:vAlign w:val="center"/>
            <w:hideMark/>
          </w:tcPr>
          <w:p w14:paraId="272B70F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.147</w:t>
            </w:r>
          </w:p>
        </w:tc>
        <w:tc>
          <w:tcPr>
            <w:tcW w:w="1074" w:type="dxa"/>
            <w:noWrap/>
            <w:vAlign w:val="center"/>
          </w:tcPr>
          <w:p w14:paraId="48994F4E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.594</w:t>
            </w:r>
          </w:p>
        </w:tc>
        <w:tc>
          <w:tcPr>
            <w:tcW w:w="1074" w:type="dxa"/>
            <w:noWrap/>
            <w:vAlign w:val="center"/>
            <w:hideMark/>
          </w:tcPr>
          <w:p w14:paraId="3C84372E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.294</w:t>
            </w:r>
          </w:p>
        </w:tc>
        <w:tc>
          <w:tcPr>
            <w:tcW w:w="1074" w:type="dxa"/>
            <w:noWrap/>
            <w:vAlign w:val="center"/>
          </w:tcPr>
          <w:p w14:paraId="3745C35E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1.090</w:t>
            </w:r>
          </w:p>
        </w:tc>
        <w:tc>
          <w:tcPr>
            <w:tcW w:w="1074" w:type="dxa"/>
            <w:noWrap/>
            <w:vAlign w:val="center"/>
            <w:hideMark/>
          </w:tcPr>
          <w:p w14:paraId="0A64B6F5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.828</w:t>
            </w:r>
          </w:p>
        </w:tc>
      </w:tr>
      <w:tr w:rsidR="00D97AD9" w:rsidRPr="00C95B8B" w14:paraId="3DB6CA43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1EC40DEB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Marital status</w:t>
            </w:r>
          </w:p>
        </w:tc>
        <w:tc>
          <w:tcPr>
            <w:tcW w:w="1073" w:type="dxa"/>
            <w:vAlign w:val="center"/>
          </w:tcPr>
          <w:p w14:paraId="6256BB2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2.455</w:t>
            </w:r>
          </w:p>
        </w:tc>
        <w:tc>
          <w:tcPr>
            <w:tcW w:w="1074" w:type="dxa"/>
            <w:noWrap/>
            <w:vAlign w:val="center"/>
            <w:hideMark/>
          </w:tcPr>
          <w:p w14:paraId="34568549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.205</w:t>
            </w:r>
          </w:p>
        </w:tc>
        <w:tc>
          <w:tcPr>
            <w:tcW w:w="1074" w:type="dxa"/>
            <w:noWrap/>
            <w:vAlign w:val="center"/>
          </w:tcPr>
          <w:p w14:paraId="76440B3F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1.968</w:t>
            </w:r>
          </w:p>
        </w:tc>
        <w:tc>
          <w:tcPr>
            <w:tcW w:w="1074" w:type="dxa"/>
            <w:noWrap/>
            <w:vAlign w:val="center"/>
            <w:hideMark/>
          </w:tcPr>
          <w:p w14:paraId="2B7065E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.347</w:t>
            </w:r>
          </w:p>
        </w:tc>
        <w:tc>
          <w:tcPr>
            <w:tcW w:w="1074" w:type="dxa"/>
            <w:noWrap/>
            <w:vAlign w:val="center"/>
          </w:tcPr>
          <w:p w14:paraId="120205B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6.112</w:t>
            </w:r>
          </w:p>
        </w:tc>
        <w:tc>
          <w:tcPr>
            <w:tcW w:w="1074" w:type="dxa"/>
            <w:noWrap/>
            <w:vAlign w:val="center"/>
            <w:hideMark/>
          </w:tcPr>
          <w:p w14:paraId="72A128AC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.036</w:t>
            </w:r>
            <w:r>
              <w:rPr>
                <w:rFonts w:ascii="Cambria" w:hAnsi="Cambria" w:cs="Arial"/>
                <w:sz w:val="18"/>
                <w:szCs w:val="18"/>
              </w:rPr>
              <w:t>*</w:t>
            </w:r>
          </w:p>
        </w:tc>
        <w:tc>
          <w:tcPr>
            <w:tcW w:w="1074" w:type="dxa"/>
            <w:noWrap/>
            <w:vAlign w:val="center"/>
          </w:tcPr>
          <w:p w14:paraId="2BA2325E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6.404</w:t>
            </w:r>
          </w:p>
        </w:tc>
        <w:tc>
          <w:tcPr>
            <w:tcW w:w="1074" w:type="dxa"/>
            <w:noWrap/>
            <w:vAlign w:val="center"/>
            <w:hideMark/>
          </w:tcPr>
          <w:p w14:paraId="0872F893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.023</w:t>
            </w:r>
            <w:r>
              <w:rPr>
                <w:rFonts w:ascii="Cambria" w:hAnsi="Cambria" w:cs="Arial"/>
                <w:sz w:val="18"/>
                <w:szCs w:val="18"/>
              </w:rPr>
              <w:t>*</w:t>
            </w:r>
          </w:p>
        </w:tc>
      </w:tr>
      <w:tr w:rsidR="00D97AD9" w:rsidRPr="00C95B8B" w14:paraId="22672092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287A4249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Number of </w:t>
            </w:r>
            <w:r w:rsidRPr="00C95B8B">
              <w:rPr>
                <w:rFonts w:ascii="Cambria" w:hAnsi="Cambria" w:cs="Arial"/>
                <w:sz w:val="18"/>
                <w:szCs w:val="18"/>
              </w:rPr>
              <w:t>children</w:t>
            </w:r>
          </w:p>
        </w:tc>
        <w:tc>
          <w:tcPr>
            <w:tcW w:w="1073" w:type="dxa"/>
            <w:vAlign w:val="center"/>
          </w:tcPr>
          <w:p w14:paraId="754DAB1B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3.307</w:t>
            </w:r>
          </w:p>
        </w:tc>
        <w:tc>
          <w:tcPr>
            <w:tcW w:w="1074" w:type="dxa"/>
            <w:noWrap/>
            <w:vAlign w:val="center"/>
            <w:hideMark/>
          </w:tcPr>
          <w:p w14:paraId="3FAA1AAD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.092</w:t>
            </w:r>
          </w:p>
        </w:tc>
        <w:tc>
          <w:tcPr>
            <w:tcW w:w="1074" w:type="dxa"/>
            <w:noWrap/>
            <w:vAlign w:val="center"/>
          </w:tcPr>
          <w:p w14:paraId="7BCE4007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1.778</w:t>
            </w:r>
          </w:p>
        </w:tc>
        <w:tc>
          <w:tcPr>
            <w:tcW w:w="1074" w:type="dxa"/>
            <w:noWrap/>
            <w:vAlign w:val="center"/>
            <w:hideMark/>
          </w:tcPr>
          <w:p w14:paraId="327B3CF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.420</w:t>
            </w:r>
          </w:p>
        </w:tc>
        <w:tc>
          <w:tcPr>
            <w:tcW w:w="1074" w:type="dxa"/>
            <w:noWrap/>
            <w:vAlign w:val="center"/>
          </w:tcPr>
          <w:p w14:paraId="3CDD8859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5.445</w:t>
            </w:r>
          </w:p>
        </w:tc>
        <w:tc>
          <w:tcPr>
            <w:tcW w:w="1074" w:type="dxa"/>
            <w:noWrap/>
            <w:vAlign w:val="center"/>
            <w:hideMark/>
          </w:tcPr>
          <w:p w14:paraId="19C48AE9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.052</w:t>
            </w:r>
          </w:p>
        </w:tc>
        <w:tc>
          <w:tcPr>
            <w:tcW w:w="1074" w:type="dxa"/>
            <w:noWrap/>
            <w:vAlign w:val="center"/>
          </w:tcPr>
          <w:p w14:paraId="2411D88D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4.793</w:t>
            </w:r>
          </w:p>
        </w:tc>
        <w:tc>
          <w:tcPr>
            <w:tcW w:w="1074" w:type="dxa"/>
            <w:noWrap/>
            <w:vAlign w:val="center"/>
            <w:hideMark/>
          </w:tcPr>
          <w:p w14:paraId="5BAD4CC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.053</w:t>
            </w:r>
          </w:p>
        </w:tc>
      </w:tr>
      <w:tr w:rsidR="00D97AD9" w:rsidRPr="00C95B8B" w14:paraId="1326D673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6959564E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Emplo</w:t>
            </w:r>
            <w:r>
              <w:rPr>
                <w:rFonts w:ascii="Cambria" w:hAnsi="Cambria" w:cs="Arial"/>
                <w:sz w:val="18"/>
                <w:szCs w:val="18"/>
              </w:rPr>
              <w:t>yment status</w:t>
            </w:r>
          </w:p>
        </w:tc>
        <w:tc>
          <w:tcPr>
            <w:tcW w:w="1073" w:type="dxa"/>
            <w:vAlign w:val="center"/>
          </w:tcPr>
          <w:p w14:paraId="2350E34D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.815</w:t>
            </w:r>
          </w:p>
        </w:tc>
        <w:tc>
          <w:tcPr>
            <w:tcW w:w="1074" w:type="dxa"/>
            <w:noWrap/>
            <w:vAlign w:val="center"/>
            <w:hideMark/>
          </w:tcPr>
          <w:p w14:paraId="712CC933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.699</w:t>
            </w:r>
          </w:p>
        </w:tc>
        <w:tc>
          <w:tcPr>
            <w:tcW w:w="1074" w:type="dxa"/>
            <w:noWrap/>
            <w:vAlign w:val="center"/>
          </w:tcPr>
          <w:p w14:paraId="5E2FADA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1.999</w:t>
            </w:r>
          </w:p>
        </w:tc>
        <w:tc>
          <w:tcPr>
            <w:tcW w:w="1074" w:type="dxa"/>
            <w:noWrap/>
            <w:vAlign w:val="center"/>
            <w:hideMark/>
          </w:tcPr>
          <w:p w14:paraId="6624B5F4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.244</w:t>
            </w:r>
          </w:p>
        </w:tc>
        <w:tc>
          <w:tcPr>
            <w:tcW w:w="1074" w:type="dxa"/>
            <w:noWrap/>
            <w:vAlign w:val="center"/>
          </w:tcPr>
          <w:p w14:paraId="296541E3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1.836</w:t>
            </w:r>
          </w:p>
        </w:tc>
        <w:tc>
          <w:tcPr>
            <w:tcW w:w="1074" w:type="dxa"/>
            <w:noWrap/>
            <w:vAlign w:val="center"/>
            <w:hideMark/>
          </w:tcPr>
          <w:p w14:paraId="2C9D58B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.378</w:t>
            </w:r>
          </w:p>
        </w:tc>
        <w:tc>
          <w:tcPr>
            <w:tcW w:w="1074" w:type="dxa"/>
            <w:noWrap/>
            <w:vAlign w:val="center"/>
          </w:tcPr>
          <w:p w14:paraId="2B602CC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2.507</w:t>
            </w:r>
          </w:p>
        </w:tc>
        <w:tc>
          <w:tcPr>
            <w:tcW w:w="1074" w:type="dxa"/>
            <w:noWrap/>
            <w:vAlign w:val="center"/>
            <w:hideMark/>
          </w:tcPr>
          <w:p w14:paraId="23A1D9A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.111</w:t>
            </w:r>
          </w:p>
        </w:tc>
      </w:tr>
      <w:tr w:rsidR="00D97AD9" w:rsidRPr="00C95B8B" w14:paraId="404917E0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53FDAEE7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</w:t>
            </w:r>
            <w:r w:rsidRPr="00C95B8B">
              <w:rPr>
                <w:rFonts w:ascii="Cambria" w:hAnsi="Cambria" w:cs="Arial"/>
                <w:sz w:val="18"/>
                <w:szCs w:val="18"/>
              </w:rPr>
              <w:t>ork</w:t>
            </w:r>
            <w:r>
              <w:rPr>
                <w:rFonts w:ascii="Cambria" w:hAnsi="Cambria" w:cs="Arial"/>
                <w:sz w:val="18"/>
                <w:szCs w:val="18"/>
              </w:rPr>
              <w:t xml:space="preserve"> in </w:t>
            </w:r>
            <w:r w:rsidRPr="00C95B8B">
              <w:rPr>
                <w:rFonts w:ascii="Cambria" w:hAnsi="Cambria" w:cs="Arial"/>
                <w:sz w:val="18"/>
                <w:szCs w:val="18"/>
              </w:rPr>
              <w:t>medical</w:t>
            </w:r>
            <w:r>
              <w:rPr>
                <w:rFonts w:ascii="Cambria" w:hAnsi="Cambria" w:cs="Arial"/>
                <w:sz w:val="18"/>
                <w:szCs w:val="18"/>
              </w:rPr>
              <w:t xml:space="preserve"> field</w:t>
            </w:r>
          </w:p>
        </w:tc>
        <w:tc>
          <w:tcPr>
            <w:tcW w:w="1073" w:type="dxa"/>
            <w:vAlign w:val="center"/>
          </w:tcPr>
          <w:p w14:paraId="462BA571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.468</w:t>
            </w:r>
          </w:p>
        </w:tc>
        <w:tc>
          <w:tcPr>
            <w:tcW w:w="1074" w:type="dxa"/>
            <w:noWrap/>
            <w:vAlign w:val="center"/>
            <w:hideMark/>
          </w:tcPr>
          <w:p w14:paraId="1376AB8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.258</w:t>
            </w:r>
          </w:p>
        </w:tc>
        <w:tc>
          <w:tcPr>
            <w:tcW w:w="1074" w:type="dxa"/>
            <w:noWrap/>
            <w:vAlign w:val="center"/>
          </w:tcPr>
          <w:p w14:paraId="4A9E4A55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.417</w:t>
            </w:r>
          </w:p>
        </w:tc>
        <w:tc>
          <w:tcPr>
            <w:tcW w:w="1074" w:type="dxa"/>
            <w:noWrap/>
            <w:vAlign w:val="center"/>
            <w:hideMark/>
          </w:tcPr>
          <w:p w14:paraId="359669E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.168</w:t>
            </w:r>
          </w:p>
        </w:tc>
        <w:tc>
          <w:tcPr>
            <w:tcW w:w="1074" w:type="dxa"/>
            <w:noWrap/>
            <w:vAlign w:val="center"/>
          </w:tcPr>
          <w:p w14:paraId="6668D61F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.513</w:t>
            </w:r>
          </w:p>
        </w:tc>
        <w:tc>
          <w:tcPr>
            <w:tcW w:w="1074" w:type="dxa"/>
            <w:noWrap/>
            <w:vAlign w:val="center"/>
            <w:hideMark/>
          </w:tcPr>
          <w:p w14:paraId="5EEB46FD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.322</w:t>
            </w:r>
          </w:p>
        </w:tc>
        <w:tc>
          <w:tcPr>
            <w:tcW w:w="1074" w:type="dxa"/>
            <w:noWrap/>
            <w:vAlign w:val="center"/>
          </w:tcPr>
          <w:p w14:paraId="030F4F0D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.542</w:t>
            </w:r>
          </w:p>
        </w:tc>
        <w:tc>
          <w:tcPr>
            <w:tcW w:w="1074" w:type="dxa"/>
            <w:noWrap/>
            <w:vAlign w:val="center"/>
            <w:hideMark/>
          </w:tcPr>
          <w:p w14:paraId="7D5851DA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.281</w:t>
            </w:r>
          </w:p>
        </w:tc>
      </w:tr>
      <w:tr w:rsidR="00D97AD9" w:rsidRPr="00C95B8B" w14:paraId="6D0345FD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4F25CAB6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Has family member </w:t>
            </w:r>
            <w:r w:rsidRPr="00C95B8B">
              <w:rPr>
                <w:rFonts w:ascii="Cambria" w:hAnsi="Cambria" w:cs="Arial"/>
                <w:sz w:val="18"/>
                <w:szCs w:val="18"/>
              </w:rPr>
              <w:t>work</w:t>
            </w:r>
            <w:r>
              <w:rPr>
                <w:rFonts w:ascii="Cambria" w:hAnsi="Cambria" w:cs="Arial"/>
                <w:sz w:val="18"/>
                <w:szCs w:val="18"/>
              </w:rPr>
              <w:t xml:space="preserve">ing in </w:t>
            </w:r>
            <w:r w:rsidRPr="00C95B8B">
              <w:rPr>
                <w:rFonts w:ascii="Cambria" w:hAnsi="Cambria" w:cs="Arial"/>
                <w:sz w:val="18"/>
                <w:szCs w:val="18"/>
              </w:rPr>
              <w:t>medical</w:t>
            </w:r>
            <w:r>
              <w:rPr>
                <w:rFonts w:ascii="Cambria" w:hAnsi="Cambria" w:cs="Arial"/>
                <w:sz w:val="18"/>
                <w:szCs w:val="18"/>
              </w:rPr>
              <w:t xml:space="preserve"> field</w:t>
            </w:r>
          </w:p>
        </w:tc>
        <w:tc>
          <w:tcPr>
            <w:tcW w:w="1073" w:type="dxa"/>
            <w:vAlign w:val="center"/>
          </w:tcPr>
          <w:p w14:paraId="77DE75E4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.488</w:t>
            </w:r>
          </w:p>
        </w:tc>
        <w:tc>
          <w:tcPr>
            <w:tcW w:w="1074" w:type="dxa"/>
            <w:noWrap/>
            <w:vAlign w:val="center"/>
            <w:hideMark/>
          </w:tcPr>
          <w:p w14:paraId="2C5D9A8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.070</w:t>
            </w:r>
          </w:p>
        </w:tc>
        <w:tc>
          <w:tcPr>
            <w:tcW w:w="1074" w:type="dxa"/>
            <w:noWrap/>
            <w:vAlign w:val="center"/>
          </w:tcPr>
          <w:p w14:paraId="1DFCDEEB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.887</w:t>
            </w:r>
          </w:p>
        </w:tc>
        <w:tc>
          <w:tcPr>
            <w:tcW w:w="1074" w:type="dxa"/>
            <w:noWrap/>
            <w:vAlign w:val="center"/>
            <w:hideMark/>
          </w:tcPr>
          <w:p w14:paraId="09009C9D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.761</w:t>
            </w:r>
          </w:p>
        </w:tc>
        <w:tc>
          <w:tcPr>
            <w:tcW w:w="1074" w:type="dxa"/>
            <w:noWrap/>
            <w:vAlign w:val="center"/>
          </w:tcPr>
          <w:p w14:paraId="7784F23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.820</w:t>
            </w:r>
          </w:p>
        </w:tc>
        <w:tc>
          <w:tcPr>
            <w:tcW w:w="1074" w:type="dxa"/>
            <w:noWrap/>
            <w:vAlign w:val="center"/>
            <w:hideMark/>
          </w:tcPr>
          <w:p w14:paraId="424C6D1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.631</w:t>
            </w:r>
          </w:p>
        </w:tc>
        <w:tc>
          <w:tcPr>
            <w:tcW w:w="1074" w:type="dxa"/>
            <w:noWrap/>
            <w:vAlign w:val="center"/>
          </w:tcPr>
          <w:p w14:paraId="0901C7D4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.462</w:t>
            </w:r>
          </w:p>
        </w:tc>
        <w:tc>
          <w:tcPr>
            <w:tcW w:w="1074" w:type="dxa"/>
            <w:noWrap/>
            <w:vAlign w:val="center"/>
            <w:hideMark/>
          </w:tcPr>
          <w:p w14:paraId="245BB389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.046</w:t>
            </w:r>
            <w:r>
              <w:rPr>
                <w:rFonts w:ascii="Cambria" w:hAnsi="Cambria" w:cs="Arial"/>
                <w:sz w:val="18"/>
                <w:szCs w:val="18"/>
              </w:rPr>
              <w:t>*</w:t>
            </w:r>
          </w:p>
        </w:tc>
      </w:tr>
      <w:tr w:rsidR="00D97AD9" w:rsidRPr="00C95B8B" w14:paraId="314AA5FC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31A0F618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Monthly income</w:t>
            </w:r>
          </w:p>
        </w:tc>
        <w:tc>
          <w:tcPr>
            <w:tcW w:w="1073" w:type="dxa"/>
            <w:vAlign w:val="center"/>
          </w:tcPr>
          <w:p w14:paraId="070DC1E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.655</w:t>
            </w:r>
          </w:p>
        </w:tc>
        <w:tc>
          <w:tcPr>
            <w:tcW w:w="1074" w:type="dxa"/>
            <w:noWrap/>
            <w:vAlign w:val="center"/>
            <w:hideMark/>
          </w:tcPr>
          <w:p w14:paraId="35D368F8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.261</w:t>
            </w:r>
          </w:p>
        </w:tc>
        <w:tc>
          <w:tcPr>
            <w:tcW w:w="1074" w:type="dxa"/>
            <w:noWrap/>
            <w:vAlign w:val="center"/>
          </w:tcPr>
          <w:p w14:paraId="0A6ECD9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.952</w:t>
            </w:r>
          </w:p>
        </w:tc>
        <w:tc>
          <w:tcPr>
            <w:tcW w:w="1074" w:type="dxa"/>
            <w:noWrap/>
            <w:vAlign w:val="center"/>
            <w:hideMark/>
          </w:tcPr>
          <w:p w14:paraId="57D19EA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.899</w:t>
            </w:r>
          </w:p>
        </w:tc>
        <w:tc>
          <w:tcPr>
            <w:tcW w:w="1074" w:type="dxa"/>
            <w:noWrap/>
            <w:vAlign w:val="center"/>
          </w:tcPr>
          <w:p w14:paraId="1FC0382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.645</w:t>
            </w:r>
          </w:p>
        </w:tc>
        <w:tc>
          <w:tcPr>
            <w:tcW w:w="1074" w:type="dxa"/>
            <w:noWrap/>
            <w:vAlign w:val="center"/>
            <w:hideMark/>
          </w:tcPr>
          <w:p w14:paraId="2C35D3BB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.288</w:t>
            </w:r>
          </w:p>
        </w:tc>
        <w:tc>
          <w:tcPr>
            <w:tcW w:w="1074" w:type="dxa"/>
            <w:noWrap/>
            <w:vAlign w:val="center"/>
          </w:tcPr>
          <w:p w14:paraId="280877F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1.314</w:t>
            </w:r>
          </w:p>
        </w:tc>
        <w:tc>
          <w:tcPr>
            <w:tcW w:w="1074" w:type="dxa"/>
            <w:noWrap/>
            <w:vAlign w:val="center"/>
            <w:hideMark/>
          </w:tcPr>
          <w:p w14:paraId="67EE0535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.440</w:t>
            </w:r>
          </w:p>
        </w:tc>
      </w:tr>
      <w:tr w:rsidR="00D97AD9" w:rsidRPr="00C95B8B" w14:paraId="7322147E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17CE8553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House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C95B8B">
              <w:rPr>
                <w:rFonts w:ascii="Cambria" w:hAnsi="Cambria" w:cs="Arial"/>
                <w:sz w:val="18"/>
                <w:szCs w:val="18"/>
              </w:rPr>
              <w:t>type</w:t>
            </w:r>
          </w:p>
        </w:tc>
        <w:tc>
          <w:tcPr>
            <w:tcW w:w="1073" w:type="dxa"/>
            <w:vAlign w:val="center"/>
          </w:tcPr>
          <w:p w14:paraId="68DD6D48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.609</w:t>
            </w:r>
          </w:p>
        </w:tc>
        <w:tc>
          <w:tcPr>
            <w:tcW w:w="1074" w:type="dxa"/>
            <w:noWrap/>
            <w:vAlign w:val="center"/>
            <w:hideMark/>
          </w:tcPr>
          <w:p w14:paraId="11B662D6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.243</w:t>
            </w:r>
          </w:p>
        </w:tc>
        <w:tc>
          <w:tcPr>
            <w:tcW w:w="1074" w:type="dxa"/>
            <w:noWrap/>
            <w:vAlign w:val="center"/>
          </w:tcPr>
          <w:p w14:paraId="1CFA7300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.352</w:t>
            </w:r>
          </w:p>
        </w:tc>
        <w:tc>
          <w:tcPr>
            <w:tcW w:w="1074" w:type="dxa"/>
            <w:noWrap/>
            <w:vAlign w:val="center"/>
            <w:hideMark/>
          </w:tcPr>
          <w:p w14:paraId="4F1A96DF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.021</w:t>
            </w:r>
            <w:r>
              <w:rPr>
                <w:rFonts w:ascii="Cambria" w:hAnsi="Cambria" w:cs="Arial"/>
                <w:sz w:val="18"/>
                <w:szCs w:val="18"/>
              </w:rPr>
              <w:t>*</w:t>
            </w:r>
          </w:p>
        </w:tc>
        <w:tc>
          <w:tcPr>
            <w:tcW w:w="1074" w:type="dxa"/>
            <w:noWrap/>
            <w:vAlign w:val="center"/>
          </w:tcPr>
          <w:p w14:paraId="4A1ADAFA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1.245</w:t>
            </w:r>
          </w:p>
        </w:tc>
        <w:tc>
          <w:tcPr>
            <w:tcW w:w="1074" w:type="dxa"/>
            <w:noWrap/>
            <w:vAlign w:val="center"/>
            <w:hideMark/>
          </w:tcPr>
          <w:p w14:paraId="034F8D3A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.630</w:t>
            </w:r>
          </w:p>
        </w:tc>
        <w:tc>
          <w:tcPr>
            <w:tcW w:w="1074" w:type="dxa"/>
            <w:noWrap/>
            <w:vAlign w:val="center"/>
          </w:tcPr>
          <w:p w14:paraId="1DE9ACD5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.540</w:t>
            </w:r>
          </w:p>
        </w:tc>
        <w:tc>
          <w:tcPr>
            <w:tcW w:w="1074" w:type="dxa"/>
            <w:noWrap/>
            <w:vAlign w:val="center"/>
            <w:hideMark/>
          </w:tcPr>
          <w:p w14:paraId="28983B27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.140</w:t>
            </w:r>
          </w:p>
        </w:tc>
      </w:tr>
      <w:tr w:rsidR="00D97AD9" w:rsidRPr="00C95B8B" w14:paraId="531AFD18" w14:textId="77777777" w:rsidTr="005D0856">
        <w:trPr>
          <w:trHeight w:val="288"/>
        </w:trPr>
        <w:tc>
          <w:tcPr>
            <w:tcW w:w="3972" w:type="dxa"/>
            <w:vAlign w:val="center"/>
            <w:hideMark/>
          </w:tcPr>
          <w:p w14:paraId="7D7910FE" w14:textId="77777777" w:rsidR="00D97AD9" w:rsidRPr="00C95B8B" w:rsidRDefault="00D97AD9" w:rsidP="005D0856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Number living in h</w:t>
            </w:r>
            <w:r w:rsidRPr="00C95B8B">
              <w:rPr>
                <w:rFonts w:ascii="Cambria" w:hAnsi="Cambria" w:cs="Arial"/>
                <w:sz w:val="18"/>
                <w:szCs w:val="18"/>
              </w:rPr>
              <w:t>ousehold</w:t>
            </w:r>
          </w:p>
        </w:tc>
        <w:tc>
          <w:tcPr>
            <w:tcW w:w="1073" w:type="dxa"/>
            <w:vAlign w:val="center"/>
          </w:tcPr>
          <w:p w14:paraId="288DDDC8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.787</w:t>
            </w:r>
          </w:p>
        </w:tc>
        <w:tc>
          <w:tcPr>
            <w:tcW w:w="1074" w:type="dxa"/>
            <w:noWrap/>
            <w:vAlign w:val="center"/>
            <w:hideMark/>
          </w:tcPr>
          <w:p w14:paraId="6581FEB9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.550</w:t>
            </w:r>
          </w:p>
        </w:tc>
        <w:tc>
          <w:tcPr>
            <w:tcW w:w="1074" w:type="dxa"/>
            <w:noWrap/>
            <w:vAlign w:val="center"/>
          </w:tcPr>
          <w:p w14:paraId="4715DA78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1.943</w:t>
            </w:r>
          </w:p>
        </w:tc>
        <w:tc>
          <w:tcPr>
            <w:tcW w:w="1074" w:type="dxa"/>
            <w:noWrap/>
            <w:vAlign w:val="center"/>
            <w:hideMark/>
          </w:tcPr>
          <w:p w14:paraId="2C6B1093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.116</w:t>
            </w:r>
          </w:p>
        </w:tc>
        <w:tc>
          <w:tcPr>
            <w:tcW w:w="1074" w:type="dxa"/>
            <w:noWrap/>
            <w:vAlign w:val="center"/>
          </w:tcPr>
          <w:p w14:paraId="2267AF38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.614</w:t>
            </w:r>
          </w:p>
        </w:tc>
        <w:tc>
          <w:tcPr>
            <w:tcW w:w="1074" w:type="dxa"/>
            <w:noWrap/>
            <w:vAlign w:val="center"/>
            <w:hideMark/>
          </w:tcPr>
          <w:p w14:paraId="7EB9CCAF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.280</w:t>
            </w:r>
          </w:p>
        </w:tc>
        <w:tc>
          <w:tcPr>
            <w:tcW w:w="1074" w:type="dxa"/>
            <w:noWrap/>
            <w:vAlign w:val="center"/>
          </w:tcPr>
          <w:p w14:paraId="38EE5182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C95B8B">
              <w:rPr>
                <w:rFonts w:ascii="Cambria" w:hAnsi="Cambria" w:cs="Arial"/>
                <w:sz w:val="18"/>
                <w:szCs w:val="18"/>
              </w:rPr>
              <w:t>1.316</w:t>
            </w:r>
          </w:p>
        </w:tc>
        <w:tc>
          <w:tcPr>
            <w:tcW w:w="1074" w:type="dxa"/>
            <w:noWrap/>
            <w:vAlign w:val="center"/>
            <w:hideMark/>
          </w:tcPr>
          <w:p w14:paraId="29B9AC7D" w14:textId="77777777" w:rsidR="00D97AD9" w:rsidRPr="00C95B8B" w:rsidRDefault="00D97AD9" w:rsidP="005D085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0</w:t>
            </w:r>
            <w:r w:rsidRPr="00C95B8B">
              <w:rPr>
                <w:rFonts w:ascii="Cambria" w:hAnsi="Cambria" w:cs="Arial"/>
                <w:sz w:val="18"/>
                <w:szCs w:val="18"/>
              </w:rPr>
              <w:t>.490</w:t>
            </w:r>
          </w:p>
        </w:tc>
      </w:tr>
      <w:tr w:rsidR="00D97AD9" w:rsidRPr="00C95B8B" w14:paraId="50941389" w14:textId="77777777" w:rsidTr="005D0856">
        <w:trPr>
          <w:trHeight w:val="288"/>
        </w:trPr>
        <w:tc>
          <w:tcPr>
            <w:tcW w:w="12568" w:type="dxa"/>
            <w:gridSpan w:val="9"/>
          </w:tcPr>
          <w:p w14:paraId="4D6C58B6" w14:textId="77777777" w:rsidR="00D97AD9" w:rsidRPr="007C05A3" w:rsidRDefault="00D97AD9" w:rsidP="005D0856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7C05A3">
              <w:rPr>
                <w:rFonts w:ascii="Cambria" w:hAnsi="Cambria" w:cs="Arial"/>
                <w:i/>
                <w:iCs/>
                <w:sz w:val="18"/>
                <w:szCs w:val="18"/>
              </w:rPr>
              <w:t>*p-value is significant at p &lt; 0.0</w:t>
            </w: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5</w:t>
            </w:r>
          </w:p>
        </w:tc>
      </w:tr>
    </w:tbl>
    <w:p w14:paraId="5BBE4B4E" w14:textId="77777777" w:rsidR="00D97AD9" w:rsidRDefault="00D97AD9"/>
    <w:sectPr w:rsidR="00D97AD9" w:rsidSect="004C1CBD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ysDAzMDEztTQ0MjdR0lEKTi0uzszPAykwrAUAv3ktrSwAAAA="/>
  </w:docVars>
  <w:rsids>
    <w:rsidRoot w:val="004C1CBD"/>
    <w:rsid w:val="004C1CBD"/>
    <w:rsid w:val="00763B7E"/>
    <w:rsid w:val="00D40A60"/>
    <w:rsid w:val="00D97AD9"/>
    <w:rsid w:val="00DE45FB"/>
    <w:rsid w:val="00DF1491"/>
    <w:rsid w:val="00F3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9F6D"/>
  <w15:chartTrackingRefBased/>
  <w15:docId w15:val="{680054B4-1C39-4AF8-843D-B4F95F0F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BD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C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 xkhmes</dc:creator>
  <cp:keywords/>
  <dc:description/>
  <cp:lastModifiedBy>Mel Phimester</cp:lastModifiedBy>
  <cp:revision>2</cp:revision>
  <dcterms:created xsi:type="dcterms:W3CDTF">2020-12-08T09:09:00Z</dcterms:created>
  <dcterms:modified xsi:type="dcterms:W3CDTF">2020-12-08T09:09:00Z</dcterms:modified>
</cp:coreProperties>
</file>