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1892" w14:textId="662F1D30" w:rsidR="00C20149" w:rsidRDefault="00C20149" w:rsidP="00175479">
      <w:pPr>
        <w:pStyle w:val="Heading1"/>
        <w:spacing w:line="480" w:lineRule="auto"/>
      </w:pPr>
      <w:r>
        <w:t>Supplementary Methods</w:t>
      </w:r>
    </w:p>
    <w:p w14:paraId="7EF82CFA" w14:textId="63F313BD" w:rsidR="00175479" w:rsidRDefault="00175479" w:rsidP="00175479">
      <w:pPr>
        <w:pStyle w:val="Heading2"/>
        <w:spacing w:line="480" w:lineRule="auto"/>
      </w:pPr>
      <w:r>
        <w:t>PIVOTAL protocol</w:t>
      </w:r>
    </w:p>
    <w:p w14:paraId="5E978982" w14:textId="00B13D06" w:rsidR="00CF1C23" w:rsidRDefault="00CF1C23" w:rsidP="00175479">
      <w:pPr>
        <w:spacing w:line="480" w:lineRule="auto"/>
      </w:pPr>
      <w:r>
        <w:t xml:space="preserve">The PIVOTAL study design is summarized below; a more </w:t>
      </w:r>
      <w:r>
        <w:t xml:space="preserve">detailed description of the study design was published by </w:t>
      </w:r>
      <w:proofErr w:type="spellStart"/>
      <w:r>
        <w:t>Macdougall</w:t>
      </w:r>
      <w:proofErr w:type="spellEnd"/>
      <w:r>
        <w:t xml:space="preserve"> et al. (2018).</w:t>
      </w:r>
      <w:r>
        <w:t xml:space="preserve"> </w:t>
      </w:r>
    </w:p>
    <w:p w14:paraId="107BA8F8" w14:textId="5F266257" w:rsidR="00885281" w:rsidRDefault="00885281" w:rsidP="00175479">
      <w:pPr>
        <w:spacing w:line="480" w:lineRule="auto"/>
      </w:pPr>
      <w:r>
        <w:t>In the PIVOTAL trial, t</w:t>
      </w:r>
      <w:r w:rsidR="00175479">
        <w:t xml:space="preserve">he amount of IV iron to be administered in the following month was based on the most recent levels of ferritin and TSAT, and is summarized in Table 1. </w:t>
      </w:r>
    </w:p>
    <w:p w14:paraId="0D154E76" w14:textId="77777777" w:rsidR="00885281" w:rsidRDefault="00885281" w:rsidP="00175479">
      <w:pPr>
        <w:pStyle w:val="ListParagraph"/>
        <w:numPr>
          <w:ilvl w:val="0"/>
          <w:numId w:val="39"/>
        </w:numPr>
        <w:spacing w:line="480" w:lineRule="auto"/>
      </w:pPr>
      <w:r>
        <w:t xml:space="preserve">In the proactive high-dose arm, patients received 600 mg IV iron at the start of the study (200 mg during each of the 3 dialysis sessions during the first week), and then 400 mg each month thereafter – 200 mg twice/week in the week following monthly blood tests. Doses were held if ferritin &gt;700 ng/mL or TSAT </w:t>
      </w:r>
      <w:r w:rsidRPr="00885281">
        <w:rPr>
          <w:rFonts w:cstheme="minorHAnsi"/>
        </w:rPr>
        <w:t>≥</w:t>
      </w:r>
      <w:r>
        <w:t>40%.</w:t>
      </w:r>
    </w:p>
    <w:p w14:paraId="5D9AAF8B" w14:textId="77777777" w:rsidR="00885281" w:rsidRDefault="00885281" w:rsidP="00175479">
      <w:pPr>
        <w:pStyle w:val="ListParagraph"/>
        <w:numPr>
          <w:ilvl w:val="0"/>
          <w:numId w:val="39"/>
        </w:numPr>
        <w:spacing w:line="480" w:lineRule="auto"/>
      </w:pPr>
      <w:r>
        <w:t>In the reactive low-dose arm, patients received IV iron only if they deemed to be iron deficient. Doses were held if monthly labs showed (</w:t>
      </w:r>
      <w:proofErr w:type="spellStart"/>
      <w:r>
        <w:t>i</w:t>
      </w:r>
      <w:proofErr w:type="spellEnd"/>
      <w:r>
        <w:t xml:space="preserve">) ferritin &gt;200 ng/mL and TSAT &gt;20%; (ii) ferritin &gt;700 ng/mL; or (iii) TSAT </w:t>
      </w:r>
      <w:r>
        <w:rPr>
          <w:rFonts w:cstheme="minorHAnsi"/>
        </w:rPr>
        <w:t>≥</w:t>
      </w:r>
      <w:r>
        <w:t>40%. Otherwise IV iron was administered based on the following protocol:</w:t>
      </w:r>
    </w:p>
    <w:p w14:paraId="349BCE7B" w14:textId="12C1E9D1" w:rsidR="00885281" w:rsidRDefault="00885281" w:rsidP="00885281">
      <w:pPr>
        <w:pStyle w:val="ListParagraph"/>
        <w:numPr>
          <w:ilvl w:val="1"/>
          <w:numId w:val="39"/>
        </w:numPr>
        <w:spacing w:line="480" w:lineRule="auto"/>
      </w:pPr>
      <w:r>
        <w:t xml:space="preserve">100 mg monthly if ferritin 201-700 ng/mL and TSAT </w:t>
      </w:r>
      <w:r>
        <w:rPr>
          <w:rFonts w:cstheme="minorHAnsi"/>
        </w:rPr>
        <w:t>≤</w:t>
      </w:r>
      <w:r>
        <w:t>20%</w:t>
      </w:r>
    </w:p>
    <w:p w14:paraId="3433AE39" w14:textId="30B4ACBD" w:rsidR="00885281" w:rsidRDefault="00885281" w:rsidP="00885281">
      <w:pPr>
        <w:pStyle w:val="ListParagraph"/>
        <w:numPr>
          <w:ilvl w:val="1"/>
          <w:numId w:val="39"/>
        </w:numPr>
        <w:spacing w:line="480" w:lineRule="auto"/>
      </w:pPr>
      <w:r>
        <w:t xml:space="preserve">200 mg monthly if </w:t>
      </w:r>
      <w:r w:rsidR="00CF1C23">
        <w:t>ferritin 100-200 ng/mL and TSAT &lt;40%</w:t>
      </w:r>
    </w:p>
    <w:p w14:paraId="1E53AC3F" w14:textId="7AB48FB4" w:rsidR="00CF1C23" w:rsidRDefault="00CF1C23" w:rsidP="00885281">
      <w:pPr>
        <w:pStyle w:val="ListParagraph"/>
        <w:numPr>
          <w:ilvl w:val="1"/>
          <w:numId w:val="39"/>
        </w:numPr>
        <w:spacing w:line="480" w:lineRule="auto"/>
      </w:pPr>
      <w:r>
        <w:t>400 mg monthly if ferritin &lt;100 and TSAT &lt;40%</w:t>
      </w:r>
    </w:p>
    <w:p w14:paraId="01F15802" w14:textId="181F1B9B" w:rsidR="00A734B9" w:rsidRDefault="00CF1C23" w:rsidP="00A734B9">
      <w:pPr>
        <w:spacing w:line="480" w:lineRule="auto"/>
      </w:pPr>
      <w:r>
        <w:t xml:space="preserve">In the PIVOTAL trial, </w:t>
      </w:r>
      <w:r w:rsidR="00A734B9">
        <w:t>ESA doses were to be titrated to achieve target hemoglobin of 10-12 g/dL throughout the study, with d</w:t>
      </w:r>
      <w:r w:rsidR="00A734B9" w:rsidRPr="00A734B9">
        <w:t>ose adjustments made a</w:t>
      </w:r>
      <w:r w:rsidR="00A734B9">
        <w:t>t the investigator’s discretion.</w:t>
      </w:r>
    </w:p>
    <w:p w14:paraId="06F36543" w14:textId="59AF550E" w:rsidR="00A734B9" w:rsidRDefault="00A734B9" w:rsidP="00A734B9">
      <w:pPr>
        <w:spacing w:line="480" w:lineRule="auto"/>
      </w:pPr>
      <w:bookmarkStart w:id="0" w:name="_GoBack"/>
      <w:bookmarkEnd w:id="0"/>
      <w:r>
        <w:t xml:space="preserve">In our emulation of PIVOTAL, we chose not to “intervene” on ESA dose for several reasons. First, “ESA dose requirement” was considered to be a secondary outcome in PIVOTAL – not an intervention. Second, the ESA treatment strategy did not vary between the two PIVOTAL arms. Third, there was no specific ESA dosing protocol included in the study design – clinicians were simply instructed to maintain </w:t>
      </w:r>
      <w:r>
        <w:lastRenderedPageBreak/>
        <w:t xml:space="preserve">hemoglobin levels within the target range of 10-12 g/dL – and so we would have had to </w:t>
      </w:r>
      <w:r w:rsidR="00097EB0">
        <w:t xml:space="preserve">create an ESA dosing algorithm that may not have been consistent with clinical practice. For these reasons, we only performed the natural course simulation to predict ESA doses, which should generally be in line with the prevailing clinical practice to maintain hemoglobin levels between 10-12 g/dL. </w:t>
      </w:r>
    </w:p>
    <w:p w14:paraId="3B0E7367" w14:textId="051EBADD" w:rsidR="00C20149" w:rsidRDefault="00C20149" w:rsidP="00A734B9">
      <w:pPr>
        <w:pStyle w:val="Heading2"/>
      </w:pPr>
      <w:r>
        <w:t>Step 1: Parametric models</w:t>
      </w:r>
    </w:p>
    <w:p w14:paraId="346E1282" w14:textId="5347A3BF" w:rsidR="00C20149" w:rsidRDefault="00C20149" w:rsidP="00175479">
      <w:pPr>
        <w:spacing w:line="480" w:lineRule="auto"/>
      </w:pPr>
      <w:r>
        <w:t xml:space="preserve">To estimate the coefficients used in the Step 2 simulation, we first modeled the joint distribution of all relevant variables, </w:t>
      </w:r>
      <w:r w:rsidR="00151584">
        <w:t xml:space="preserve">using baseline and time-lagged variables. We </w:t>
      </w:r>
      <w:r>
        <w:t xml:space="preserve">specified </w:t>
      </w:r>
      <w:r w:rsidR="00151584">
        <w:t xml:space="preserve">variables </w:t>
      </w:r>
      <w:r>
        <w:t xml:space="preserve">as either time-fixed (captured once at study enrollment) or time-updated (measured monthly). We fit separate regression models </w:t>
      </w:r>
      <w:r w:rsidRPr="00F371F4">
        <w:t>for each time-</w:t>
      </w:r>
      <w:r>
        <w:t>updated</w:t>
      </w:r>
      <w:r w:rsidRPr="00F371F4">
        <w:t xml:space="preserve"> </w:t>
      </w:r>
      <w:r>
        <w:t xml:space="preserve">variable – including treatments, potential confounders, and outcomes – for </w:t>
      </w:r>
      <w:r w:rsidRPr="00F371F4">
        <w:t xml:space="preserve">all </w:t>
      </w:r>
      <w:r>
        <w:t>patient-months with available</w:t>
      </w:r>
      <w:r w:rsidRPr="00F371F4">
        <w:t xml:space="preserve"> data</w:t>
      </w:r>
      <w:r>
        <w:t xml:space="preserve">. </w:t>
      </w:r>
      <w:r w:rsidR="00D01D8D">
        <w:t>The data were at the patient-month level, and a</w:t>
      </w:r>
      <w:r>
        <w:t>ll models in month k included the following variables:</w:t>
      </w:r>
    </w:p>
    <w:p w14:paraId="7DC8C1C4" w14:textId="2338B131" w:rsidR="00C20149" w:rsidRDefault="00C20149" w:rsidP="00175479">
      <w:pPr>
        <w:spacing w:line="480" w:lineRule="auto"/>
        <w:ind w:left="720"/>
      </w:pPr>
      <w:r>
        <w:t xml:space="preserve">(1) Time-fixed covariates: indicators for DOPPS phase and country; sex; age and time since </w:t>
      </w:r>
      <w:r w:rsidR="00755E82">
        <w:t xml:space="preserve">hemodialysis </w:t>
      </w:r>
      <w:r>
        <w:t>initiation (updated monthly); weight; and 14 indicators for summary comorbidities.</w:t>
      </w:r>
    </w:p>
    <w:p w14:paraId="19BE736B" w14:textId="521BBDFA" w:rsidR="00C20149" w:rsidRDefault="00C20149" w:rsidP="00C20149">
      <w:pPr>
        <w:spacing w:line="480" w:lineRule="auto"/>
        <w:ind w:left="720"/>
      </w:pPr>
      <w:r>
        <w:t xml:space="preserve">(2) </w:t>
      </w:r>
      <w:r w:rsidR="00E768C5">
        <w:t xml:space="preserve">Time-updated covariates measured monthly: </w:t>
      </w:r>
      <w:r>
        <w:t>Values from months k-1 and k-2 for the following time-updated covariates: indicators for hospitalization (any during month) and catheter use for vascular access (status at month end); serum phosphorus; hemoglobin; ESA dose; and IV iron dose.</w:t>
      </w:r>
    </w:p>
    <w:p w14:paraId="3A5E830C" w14:textId="4EBDEECF" w:rsidR="00C20149" w:rsidRPr="002205FA" w:rsidRDefault="00C20149" w:rsidP="00C20149">
      <w:pPr>
        <w:spacing w:line="480" w:lineRule="auto"/>
        <w:ind w:left="720"/>
      </w:pPr>
      <w:r>
        <w:t xml:space="preserve">(3) </w:t>
      </w:r>
      <w:r w:rsidR="00E768C5">
        <w:t xml:space="preserve">Time-updated covariates measured less frequently in some dialysis centers: </w:t>
      </w:r>
      <w:r>
        <w:t xml:space="preserve">Value from month k-1 (carried forward up to 2 months) for the following </w:t>
      </w:r>
      <w:r w:rsidRPr="00B02D8F">
        <w:t>time-updated covariates</w:t>
      </w:r>
      <w:r>
        <w:t xml:space="preserve">: C-reactive protein (CRP); serum albumin; ferritin; and TSAT. Because these variables were only assessed every 3 months in some </w:t>
      </w:r>
      <w:r w:rsidR="00755E82">
        <w:t xml:space="preserve">hemodialysis </w:t>
      </w:r>
      <w:r>
        <w:t xml:space="preserve">facilities, we carry forward to represent the most recent chart information available to the prescribing physician; to help counter potential biases </w:t>
      </w:r>
      <w:r>
        <w:lastRenderedPageBreak/>
        <w:t xml:space="preserve">with this approach, models also included indicator variables for </w:t>
      </w:r>
      <w:r w:rsidRPr="002205FA">
        <w:t>whether each lab was most recently measured 1, 2, or 3 months prior. DOPPS facilities that did not routinely measure ferritin or TSAT (in &lt;25% of patient-months) were excluded.</w:t>
      </w:r>
    </w:p>
    <w:p w14:paraId="56D63F85" w14:textId="478CE04C" w:rsidR="00C20149" w:rsidRDefault="00C20149" w:rsidP="00C20149">
      <w:pPr>
        <w:spacing w:line="480" w:lineRule="auto"/>
      </w:pPr>
      <w:r w:rsidRPr="002205FA">
        <w:t>Table 2 provides details on how each time-updated variable was parameterized when used as the outcome and when used</w:t>
      </w:r>
      <w:r>
        <w:t xml:space="preserve"> as an exposure. Model choices were intuitively linked to the distribution (e.g., logistic regression for binary, linear regression for normally distributed, log-transform if skewed). IV iron doses were primarily limited to a small number of discrete prescriptions (e.g., 25, 50, 62.5, or 100 mg/week). We thus categorized doses into 4 groups (0, 1-35, 35-63, &gt;63 mg/week), with each category roughly corresponding to 1 of the 4 doses assigned per clinical protocol in PIVOTAL (0, 100, 200, 400 mg/month). </w:t>
      </w:r>
      <w:r w:rsidR="00E22601">
        <w:t xml:space="preserve">Other continuous covariates were included as linear terms if linear associations were observed and biologically expected (serum albumin, CRP) or as categories if relationships with other variables were not monotonic (serum phosphorus, hemoglobin, ferritin, TSAT, ESA dose). Because </w:t>
      </w:r>
      <w:r w:rsidR="00E22601" w:rsidRPr="00E22601">
        <w:t xml:space="preserve">clinicians often make treatment decisions based on specific </w:t>
      </w:r>
      <w:proofErr w:type="spellStart"/>
      <w:r w:rsidR="00E22601" w:rsidRPr="00E22601">
        <w:t>cutpoints</w:t>
      </w:r>
      <w:proofErr w:type="spellEnd"/>
      <w:r w:rsidR="00E22601" w:rsidRPr="00E22601">
        <w:t xml:space="preserve"> (e.g., administer more iron if TSAT &lt;20 or ferritin &lt;200), a categorical-based approach </w:t>
      </w:r>
      <w:r w:rsidR="00E22601">
        <w:t>was chosen in favor of splines. All v</w:t>
      </w:r>
      <w:r w:rsidR="00E22601" w:rsidRPr="00E22601">
        <w:t xml:space="preserve">ariables </w:t>
      </w:r>
      <w:r w:rsidR="00E22601">
        <w:t xml:space="preserve">were </w:t>
      </w:r>
      <w:r w:rsidR="00E22601" w:rsidRPr="00E22601">
        <w:t>parameterized and modeled</w:t>
      </w:r>
      <w:r w:rsidR="00E22601">
        <w:t xml:space="preserve"> as shown in Table 2. </w:t>
      </w:r>
    </w:p>
    <w:p w14:paraId="14115E5D" w14:textId="6F5ECF31" w:rsidR="00391E0F" w:rsidRDefault="00C20149" w:rsidP="00C20149">
      <w:pPr>
        <w:spacing w:line="480" w:lineRule="auto"/>
      </w:pPr>
      <w:r w:rsidRPr="002205FA">
        <w:t xml:space="preserve">Table 2 also describes the sequential model ordering. Model 1 (hospitalization as the outcome) includes all predictors described in </w:t>
      </w:r>
      <w:r w:rsidR="00151584">
        <w:t>groups 1-3 above</w:t>
      </w:r>
      <w:r w:rsidRPr="002205FA">
        <w:t>, then Model 2 (CRP) includes all variables described above, plus an</w:t>
      </w:r>
      <w:r>
        <w:t xml:space="preserve"> indicator for hospitalization in the current month, then Model 3 adds CRP in the current month, etc. The model numbering indicates a natural ordering within each month: hospitalizations occurring during the month, then laboratory measurements, then catheter use and prescription of medications at month end. Laboratory values are generally measured simultaneously and thus the lab ordering is largely arbitrary. However, medication prescriptions at month end depend on the current month’s lab values (not vice versa), illustrating the importance of a “causal” ordering. </w:t>
      </w:r>
      <w:r w:rsidR="00391E0F">
        <w:t xml:space="preserve">Death is the last ordered variable and reflects </w:t>
      </w:r>
      <w:r w:rsidR="00391E0F" w:rsidRPr="00391E0F">
        <w:t>whether the patient died during the following month (k+1)</w:t>
      </w:r>
      <w:r w:rsidR="00391E0F">
        <w:t xml:space="preserve"> – not the current month </w:t>
      </w:r>
      <w:r w:rsidR="00391E0F">
        <w:lastRenderedPageBreak/>
        <w:t xml:space="preserve">(k); for death only, we avoid including predictors from the same </w:t>
      </w:r>
      <w:r w:rsidR="00391E0F" w:rsidRPr="00391E0F">
        <w:t xml:space="preserve">month </w:t>
      </w:r>
      <w:r w:rsidR="00391E0F">
        <w:t xml:space="preserve">because </w:t>
      </w:r>
      <w:r w:rsidR="00391E0F" w:rsidRPr="00391E0F">
        <w:t xml:space="preserve">laboratory values </w:t>
      </w:r>
      <w:r w:rsidR="00391E0F">
        <w:t xml:space="preserve">can </w:t>
      </w:r>
      <w:r w:rsidR="00391E0F" w:rsidRPr="00391E0F">
        <w:t>chang</w:t>
      </w:r>
      <w:r w:rsidR="00391E0F">
        <w:t>e</w:t>
      </w:r>
      <w:r w:rsidR="00391E0F" w:rsidRPr="00391E0F">
        <w:t xml:space="preserve"> in response to the death process</w:t>
      </w:r>
      <w:r w:rsidR="00391E0F">
        <w:t xml:space="preserve"> and thereby bias the estimated coefficients.</w:t>
      </w:r>
      <w:r w:rsidR="00C948FB">
        <w:t xml:space="preserve"> We did not include a model for censoring in Step 1 because in Step 2 we intervene to enforce no censoring during follow-up, per </w:t>
      </w:r>
      <w:proofErr w:type="spellStart"/>
      <w:r w:rsidR="00C948FB">
        <w:t>Taubman</w:t>
      </w:r>
      <w:proofErr w:type="spellEnd"/>
      <w:r w:rsidR="00C948FB">
        <w:t xml:space="preserve"> et al. (2009). </w:t>
      </w:r>
    </w:p>
    <w:p w14:paraId="31CD1387" w14:textId="77777777" w:rsidR="00C20149" w:rsidRDefault="00C20149" w:rsidP="00C20149">
      <w:pPr>
        <w:pStyle w:val="Heading2"/>
        <w:spacing w:line="480" w:lineRule="auto"/>
      </w:pPr>
      <w:r>
        <w:t>Step 2: Simulation</w:t>
      </w:r>
    </w:p>
    <w:p w14:paraId="2372FBE2" w14:textId="543422A4" w:rsidR="00C20149" w:rsidRDefault="00C20149" w:rsidP="00C20149">
      <w:pPr>
        <w:spacing w:line="480" w:lineRule="auto"/>
      </w:pPr>
      <w:r>
        <w:t xml:space="preserve">In the next step, we simulated variables and outcomes </w:t>
      </w:r>
      <w:r w:rsidR="00C24113">
        <w:t xml:space="preserve">for each patient in the DOPPS sample </w:t>
      </w:r>
      <w:r>
        <w:t xml:space="preserve">using output from the Step 1 models. We began </w:t>
      </w:r>
      <w:r w:rsidR="001010EE">
        <w:t xml:space="preserve">with the third month patients were enrolled in the study </w:t>
      </w:r>
      <w:r>
        <w:t xml:space="preserve">because data from the prior 2 months are needed to serve as inputs. We augmented our data by re-sampling patients with replacement (N=10,000) to obtain more stable estimates as recommended by </w:t>
      </w:r>
      <w:proofErr w:type="spellStart"/>
      <w:r>
        <w:t>Keil</w:t>
      </w:r>
      <w:proofErr w:type="spellEnd"/>
      <w:r>
        <w:t xml:space="preserve"> et </w:t>
      </w:r>
      <w:r w:rsidRPr="002205FA">
        <w:t>al. (2014).</w:t>
      </w:r>
      <w:r>
        <w:t xml:space="preserve"> </w:t>
      </w:r>
    </w:p>
    <w:p w14:paraId="0D35DEC7" w14:textId="515C4D56" w:rsidR="00C20149" w:rsidRDefault="00C20149" w:rsidP="00C20149">
      <w:pPr>
        <w:spacing w:line="480" w:lineRule="auto"/>
      </w:pPr>
      <w:r>
        <w:t>Starting with Model 1 (</w:t>
      </w:r>
      <w:r w:rsidRPr="002205FA">
        <w:t>hospitalization) in Table 2, we calculated</w:t>
      </w:r>
      <w:r>
        <w:t xml:space="preserve"> the predicted probability (</w:t>
      </w:r>
      <m:oMath>
        <m:acc>
          <m:accPr>
            <m:ctrlPr>
              <w:rPr>
                <w:rFonts w:ascii="Cambria Math" w:hAnsi="Cambria Math"/>
                <w:i/>
              </w:rPr>
            </m:ctrlPr>
          </m:accPr>
          <m:e>
            <m:r>
              <w:rPr>
                <w:rFonts w:ascii="Cambria Math" w:hAnsi="Cambria Math"/>
              </w:rPr>
              <m:t>p</m:t>
            </m:r>
          </m:e>
        </m:acc>
      </m:oMath>
      <w:r>
        <w:t xml:space="preserve">) of hospitalization for each patient by applying model coefficients from Step 1 to the observed covariates. We then moved to Model 2 (CRP) and calculated the predicted value for CRP by similarly applying model coefficients from Step 1 to the observed covariates and the newly predicted binary hospitalization indicator. This process was repeated iteratively for each modeled </w:t>
      </w:r>
      <w:r w:rsidRPr="002205FA">
        <w:t>outcome in Table 2 through Model</w:t>
      </w:r>
      <w:r>
        <w:t xml:space="preserve"> 10, when we calculated the predicted probability that the patient died in the following month, based on all of the newly predicted values plus patient characteristics and 2-month risk factor history. </w:t>
      </w:r>
      <w:r w:rsidR="00391E0F">
        <w:t xml:space="preserve">By predicting death in month k+1 rather than month k, we avoid simulating variables when patients have already died (or more accurately, were simulated to have died). </w:t>
      </w:r>
      <w:r w:rsidR="00391E0F" w:rsidRPr="00391E0F">
        <w:t>If the patient is simulated to have died in month k+1, then the patient is removed from the simulation from that point moving forward, and thus no values for any other non-death variable are simulated for month k+1 or henceforth.</w:t>
      </w:r>
    </w:p>
    <w:p w14:paraId="66B02B51" w14:textId="77777777" w:rsidR="00C20149" w:rsidRDefault="00C20149" w:rsidP="00C20149">
      <w:pPr>
        <w:spacing w:line="480" w:lineRule="auto"/>
      </w:pPr>
      <w:r>
        <w:t xml:space="preserve">Rather than assign values deterministically, error terms were added to every predicted value. For continuous outcomes, we added the square root of the model mean squared error (root MSE) multiplied </w:t>
      </w:r>
      <w:r>
        <w:lastRenderedPageBreak/>
        <w:t xml:space="preserve">by a randomly drawn value from a normal (0,1) distribution. If the updated predicted value falls outside the range of observed data, we re-drew the random value until it fell within the boundaries. For binary outcomes, we compared </w:t>
      </w:r>
      <m:oMath>
        <m:acc>
          <m:accPr>
            <m:ctrlPr>
              <w:rPr>
                <w:rFonts w:ascii="Cambria Math" w:hAnsi="Cambria Math"/>
                <w:i/>
              </w:rPr>
            </m:ctrlPr>
          </m:accPr>
          <m:e>
            <m:r>
              <w:rPr>
                <w:rFonts w:ascii="Cambria Math" w:hAnsi="Cambria Math"/>
              </w:rPr>
              <m:t>p</m:t>
            </m:r>
          </m:e>
        </m:acc>
      </m:oMath>
      <w:r>
        <w:rPr>
          <w:rFonts w:eastAsiaTheme="minorEastAsia"/>
        </w:rPr>
        <w:t xml:space="preserve"> with a randomly drawn value (</w:t>
      </w:r>
      <w:r w:rsidRPr="006D7BA9">
        <w:rPr>
          <w:rFonts w:eastAsiaTheme="minorEastAsia"/>
          <w:i/>
        </w:rPr>
        <w:t>U</w:t>
      </w:r>
      <w:r>
        <w:rPr>
          <w:rFonts w:eastAsiaTheme="minorEastAsia"/>
        </w:rPr>
        <w:t xml:space="preserve">) from a uniform (0,1) distribution, assigning a value of 1 if </w:t>
      </w:r>
      <m:oMath>
        <m:acc>
          <m:accPr>
            <m:ctrlPr>
              <w:rPr>
                <w:rFonts w:ascii="Cambria Math" w:hAnsi="Cambria Math"/>
                <w:i/>
              </w:rPr>
            </m:ctrlPr>
          </m:accPr>
          <m:e>
            <m:r>
              <w:rPr>
                <w:rFonts w:ascii="Cambria Math" w:hAnsi="Cambria Math"/>
              </w:rPr>
              <m:t>p</m:t>
            </m:r>
          </m:e>
        </m:acc>
      </m:oMath>
      <w:r>
        <w:rPr>
          <w:rFonts w:eastAsiaTheme="minorEastAsia"/>
        </w:rPr>
        <w:t xml:space="preserve"> &gt; </w:t>
      </w:r>
      <w:r w:rsidRPr="006D7BA9">
        <w:rPr>
          <w:rFonts w:eastAsiaTheme="minorEastAsia"/>
          <w:i/>
        </w:rPr>
        <w:t>U</w:t>
      </w:r>
      <w:r>
        <w:rPr>
          <w:rFonts w:eastAsiaTheme="minorEastAsia"/>
        </w:rPr>
        <w:t xml:space="preserve"> and 0 if </w:t>
      </w:r>
      <m:oMath>
        <m:acc>
          <m:accPr>
            <m:ctrlPr>
              <w:rPr>
                <w:rFonts w:ascii="Cambria Math" w:hAnsi="Cambria Math"/>
                <w:i/>
              </w:rPr>
            </m:ctrlPr>
          </m:accPr>
          <m:e>
            <m:r>
              <w:rPr>
                <w:rFonts w:ascii="Cambria Math" w:hAnsi="Cambria Math"/>
              </w:rPr>
              <m:t>p</m:t>
            </m:r>
          </m:e>
        </m:acc>
      </m:oMath>
      <w:r>
        <w:rPr>
          <w:rFonts w:eastAsiaTheme="minorEastAsia"/>
        </w:rPr>
        <w:t xml:space="preserve"> &lt; </w:t>
      </w:r>
      <w:r w:rsidRPr="006D7BA9">
        <w:rPr>
          <w:rFonts w:eastAsiaTheme="minorEastAsia"/>
          <w:i/>
        </w:rPr>
        <w:t>U</w:t>
      </w:r>
      <w:r>
        <w:t xml:space="preserve">. For multinomial outcomes, we divided the space between 0 and 1 proportionally based on the predicted probability of each category, then randomly drew a value from a uniform (0,1) distribution, assigning the value to whichever “bucket” the random number falls. </w:t>
      </w:r>
    </w:p>
    <w:p w14:paraId="0F7AB704" w14:textId="741CBD23" w:rsidR="00C20149" w:rsidRDefault="00C20149" w:rsidP="00C20149">
      <w:pPr>
        <w:spacing w:line="480" w:lineRule="auto"/>
      </w:pPr>
      <w:r>
        <w:t xml:space="preserve">After predicting values for all modeled variables in month </w:t>
      </w:r>
      <w:r w:rsidR="001010EE">
        <w:t>k</w:t>
      </w:r>
      <w:r>
        <w:t xml:space="preserve">, we removed patients who were simulated to have died in that month and replaced the observed k-2 values with observed k-1 values, and replaced the k-1 values with the newly predicted month k values. Starting again with Model 1, we predicted values in month 2 for hospitalization, CRP, etc. This process was iterated for 12 months to simulate 1 year of follow up. This simulation is </w:t>
      </w:r>
      <w:r w:rsidR="00C24113">
        <w:t xml:space="preserve">considered to be </w:t>
      </w:r>
      <w:r>
        <w:t>the</w:t>
      </w:r>
      <w:r w:rsidR="00C24113">
        <w:t xml:space="preserve"> (expected)</w:t>
      </w:r>
      <w:r>
        <w:t xml:space="preserve"> “natural course” because all variables – including the exposure of interest (IV iron dose) – were assigned probabilistically. Assuming independent censoring, the simulated risk factor histories and risk of death under the natural course should match the observed data because the joint distribution for the simulated population should be equal to the study population; any departures may signify potential model misspecification. </w:t>
      </w:r>
    </w:p>
    <w:p w14:paraId="71CBE034" w14:textId="77777777" w:rsidR="00C20149" w:rsidRDefault="00C20149" w:rsidP="00C20149">
      <w:pPr>
        <w:spacing w:line="480" w:lineRule="auto"/>
      </w:pPr>
      <w:r>
        <w:t xml:space="preserve">We performed this 12-month simulation three times: once under the “natural course” and then again under the proactive high-dose and reactive low-dose IV iron treatment strategies to simulate what would occur if the entire study population were treated under each protocol. For the latter approaches, we assigned IV iron deterministically, under the protocols </w:t>
      </w:r>
      <w:r w:rsidRPr="002205FA">
        <w:t>detailed in Table 1, based on</w:t>
      </w:r>
      <w:r>
        <w:t xml:space="preserve"> the most recent values of each patient’s ferritin and TSAT levels.  </w:t>
      </w:r>
    </w:p>
    <w:p w14:paraId="35651D3B" w14:textId="77777777" w:rsidR="00C20149" w:rsidRDefault="00C20149" w:rsidP="00C20149">
      <w:pPr>
        <w:pStyle w:val="Heading2"/>
        <w:spacing w:line="480" w:lineRule="auto"/>
      </w:pPr>
      <w:r>
        <w:t>Multiple imputation and bootstrapping</w:t>
      </w:r>
    </w:p>
    <w:p w14:paraId="73F3F407" w14:textId="121700CA" w:rsidR="003339ED" w:rsidRDefault="00C20149" w:rsidP="00C20149">
      <w:pPr>
        <w:spacing w:line="480" w:lineRule="auto"/>
      </w:pPr>
      <w:r w:rsidRPr="00983333">
        <w:t xml:space="preserve">Confidence </w:t>
      </w:r>
      <w:r w:rsidRPr="002205FA">
        <w:t>intervals (CIs) were estimated by combining multiple imputation with bootstrapping (</w:t>
      </w:r>
      <w:proofErr w:type="spellStart"/>
      <w:r w:rsidRPr="002205FA">
        <w:t>Schomaker</w:t>
      </w:r>
      <w:proofErr w:type="spellEnd"/>
      <w:r w:rsidRPr="002205FA">
        <w:t xml:space="preserve"> 2018)</w:t>
      </w:r>
      <w:r w:rsidR="00346032">
        <w:t xml:space="preserve">; the relevant paper by </w:t>
      </w:r>
      <w:proofErr w:type="spellStart"/>
      <w:r w:rsidR="00346032">
        <w:t>Schomaker</w:t>
      </w:r>
      <w:proofErr w:type="spellEnd"/>
      <w:r w:rsidR="00346032">
        <w:t xml:space="preserve"> and </w:t>
      </w:r>
      <w:proofErr w:type="spellStart"/>
      <w:r w:rsidR="00346032">
        <w:t>Heumann</w:t>
      </w:r>
      <w:proofErr w:type="spellEnd"/>
      <w:r w:rsidR="00346032">
        <w:t xml:space="preserve"> (2018) includes a worked example </w:t>
      </w:r>
      <w:r w:rsidR="00346032">
        <w:lastRenderedPageBreak/>
        <w:t>applying this method to a parametric g-formula analysis</w:t>
      </w:r>
      <w:r w:rsidRPr="002205FA">
        <w:t xml:space="preserve">. </w:t>
      </w:r>
      <w:r w:rsidR="003339ED">
        <w:t>This “</w:t>
      </w:r>
      <w:r w:rsidR="003339ED" w:rsidRPr="003339ED">
        <w:t>MI boot (pooled sample)”</w:t>
      </w:r>
      <w:r w:rsidR="003339ED">
        <w:t xml:space="preserve"> described by </w:t>
      </w:r>
      <w:proofErr w:type="spellStart"/>
      <w:r w:rsidR="003339ED">
        <w:t>Schomaker</w:t>
      </w:r>
      <w:proofErr w:type="spellEnd"/>
      <w:r w:rsidR="003339ED">
        <w:t xml:space="preserve"> and </w:t>
      </w:r>
      <w:proofErr w:type="spellStart"/>
      <w:r w:rsidR="003339ED">
        <w:t>Heumann</w:t>
      </w:r>
      <w:proofErr w:type="spellEnd"/>
      <w:r w:rsidR="003339ED">
        <w:t xml:space="preserve"> was previously implemented by Karaboyas et al. (Karaboyas 2020).</w:t>
      </w:r>
    </w:p>
    <w:p w14:paraId="031F4178" w14:textId="66A091C0" w:rsidR="00C20149" w:rsidRDefault="00CE2E0C" w:rsidP="00C20149">
      <w:pPr>
        <w:spacing w:line="480" w:lineRule="auto"/>
      </w:pPr>
      <w:r>
        <w:t>To deal with missing data, we first used last observation carry forward (LOCF; up to 2 months) for a subset of variables (CRP, serum albumin, ferritin, TSAT) measured less frequently in routine clinical practice (every ~3 months). To fill in the remaining missing data for these labs, as well as any missing data for other variables, we applied multiple imputation to the patient-month level dataset used in the Step 1 models.</w:t>
      </w:r>
      <w:r w:rsidRPr="002205FA">
        <w:t xml:space="preserve"> </w:t>
      </w:r>
      <w:r w:rsidR="00C20149" w:rsidRPr="002205FA">
        <w:t xml:space="preserve">We </w:t>
      </w:r>
      <w:r w:rsidR="00C20149" w:rsidRPr="006A277F">
        <w:t>us</w:t>
      </w:r>
      <w:r>
        <w:t>ed</w:t>
      </w:r>
      <w:r w:rsidR="00C20149" w:rsidRPr="006A277F">
        <w:t xml:space="preserve"> the Sequential Regression Multiple Imputation Method by </w:t>
      </w:r>
      <w:proofErr w:type="spellStart"/>
      <w:r w:rsidR="00C20149" w:rsidRPr="002205FA">
        <w:t>IVEware</w:t>
      </w:r>
      <w:proofErr w:type="spellEnd"/>
      <w:r w:rsidR="00C20149" w:rsidRPr="002205FA">
        <w:t xml:space="preserve"> (</w:t>
      </w:r>
      <w:proofErr w:type="spellStart"/>
      <w:r w:rsidR="00C20149" w:rsidRPr="002205FA">
        <w:t>Raghunathan</w:t>
      </w:r>
      <w:proofErr w:type="spellEnd"/>
      <w:r w:rsidR="00C20149" w:rsidRPr="002205FA">
        <w:t xml:space="preserve"> 2002). Information</w:t>
      </w:r>
      <w:r w:rsidR="00C20149">
        <w:t xml:space="preserve"> from both between-patient and within-patient (using each of the 3 prior months) was</w:t>
      </w:r>
      <w:r w:rsidR="00203259">
        <w:t xml:space="preserve"> used to fill in missing covariate data</w:t>
      </w:r>
      <w:r w:rsidR="00AF6B8A" w:rsidRPr="00AF6B8A">
        <w:t>, includ</w:t>
      </w:r>
      <w:r w:rsidR="00AF6B8A">
        <w:t>ing</w:t>
      </w:r>
      <w:r w:rsidR="00AF6B8A" w:rsidRPr="00AF6B8A">
        <w:t xml:space="preserve"> lagged variables from months k-1 and k-2 (and k-3 to help further inform the imputation models – not used in analyses) for each row in the data. This results in different value</w:t>
      </w:r>
      <w:r w:rsidR="00AF6B8A">
        <w:t>s being imputed across rows for a given hemoglobin value in month m (e.g., one value for Hgb in row m and another value for Hgb (k-1) in row m+1)</w:t>
      </w:r>
      <w:r w:rsidR="0036728E">
        <w:t xml:space="preserve">, though </w:t>
      </w:r>
      <w:r w:rsidR="00AF6B8A" w:rsidRPr="00AF6B8A">
        <w:t>these seeming within-patient inconsistencies</w:t>
      </w:r>
      <w:r w:rsidR="00AF6B8A">
        <w:t xml:space="preserve"> are inconsequential</w:t>
      </w:r>
      <w:r w:rsidR="0036728E">
        <w:t xml:space="preserve"> because w</w:t>
      </w:r>
      <w:r w:rsidR="0036728E" w:rsidRPr="00AF6B8A">
        <w:t>e are only using this longitudinal data to calculate model coefficients</w:t>
      </w:r>
      <w:r w:rsidR="00AF6B8A" w:rsidRPr="00AF6B8A">
        <w:t>. Performing a “wide” imputation using lagged variables rather than a true longitudinal imputation, while unconventional, was a simple and effective way to estimate unbiased coefficients in the Step 1 models</w:t>
      </w:r>
      <w:r w:rsidR="00C20149">
        <w:t xml:space="preserve">. </w:t>
      </w:r>
      <w:r w:rsidR="00A26F1A">
        <w:t>The proportion of patients with missing data at baseline was &lt;10% for all key variables</w:t>
      </w:r>
      <w:r w:rsidR="003046EB">
        <w:t xml:space="preserve"> (Table </w:t>
      </w:r>
      <w:r w:rsidR="000E459A">
        <w:t>S</w:t>
      </w:r>
      <w:r w:rsidR="002B4F09">
        <w:t>2</w:t>
      </w:r>
      <w:r w:rsidR="003046EB">
        <w:t>)</w:t>
      </w:r>
      <w:r w:rsidR="00A26F1A">
        <w:t xml:space="preserve">, and was only &gt;10% for serum phosphorus (11%), CRP (22%) and hospitalization (31%). </w:t>
      </w:r>
      <w:r w:rsidR="00C20149">
        <w:t>W</w:t>
      </w:r>
      <w:r w:rsidR="00C20149" w:rsidRPr="006A277F">
        <w:t xml:space="preserve">e </w:t>
      </w:r>
      <w:r w:rsidR="00C20149">
        <w:t xml:space="preserve">then </w:t>
      </w:r>
      <w:r w:rsidR="00C20149" w:rsidRPr="006A277F">
        <w:t xml:space="preserve">resampled patients </w:t>
      </w:r>
      <w:r w:rsidR="00C20149">
        <w:t>with replacement 100</w:t>
      </w:r>
      <w:r w:rsidR="00C20149" w:rsidRPr="006A277F">
        <w:t xml:space="preserve"> times and </w:t>
      </w:r>
      <w:r w:rsidR="00C20149">
        <w:t>performed Step 1 and Step 2 on each resample</w:t>
      </w:r>
      <w:r w:rsidR="00C20149" w:rsidRPr="006A277F">
        <w:t>.</w:t>
      </w:r>
      <w:r w:rsidR="00C20149">
        <w:t xml:space="preserve"> </w:t>
      </w:r>
      <w:r w:rsidR="00C20149" w:rsidRPr="006A277F">
        <w:t xml:space="preserve">This process was repeated for </w:t>
      </w:r>
      <w:r w:rsidR="00C20149">
        <w:t>10</w:t>
      </w:r>
      <w:r w:rsidR="00C20149" w:rsidRPr="006A277F">
        <w:t xml:space="preserve"> imputations, resulting in </w:t>
      </w:r>
      <w:r w:rsidR="00C20149">
        <w:t>1000</w:t>
      </w:r>
      <w:r w:rsidR="00C20149" w:rsidRPr="006A277F">
        <w:t xml:space="preserve"> datasets. We then derived the 95% CI as the 2.5th and 97.5th percentile of </w:t>
      </w:r>
      <w:r w:rsidR="00C20149">
        <w:t xml:space="preserve">the estimator distribution from </w:t>
      </w:r>
      <w:r w:rsidR="00C20149" w:rsidRPr="006A277F">
        <w:t xml:space="preserve">these datasets based on </w:t>
      </w:r>
      <w:r w:rsidR="00C20149" w:rsidRPr="002205FA">
        <w:t xml:space="preserve">the “MI boot (pooled sample)” procedure described by </w:t>
      </w:r>
      <w:proofErr w:type="spellStart"/>
      <w:r w:rsidR="00C20149" w:rsidRPr="002205FA">
        <w:t>Schomaker</w:t>
      </w:r>
      <w:proofErr w:type="spellEnd"/>
      <w:r w:rsidR="00C20149" w:rsidRPr="002205FA">
        <w:t xml:space="preserve"> and </w:t>
      </w:r>
      <w:proofErr w:type="spellStart"/>
      <w:r w:rsidR="00C20149" w:rsidRPr="002205FA">
        <w:t>Heumann</w:t>
      </w:r>
      <w:proofErr w:type="spellEnd"/>
      <w:r w:rsidR="00C20149" w:rsidRPr="002205FA">
        <w:t xml:space="preserve"> (</w:t>
      </w:r>
      <w:proofErr w:type="spellStart"/>
      <w:r w:rsidR="00C20149" w:rsidRPr="002205FA">
        <w:t>Schomaker</w:t>
      </w:r>
      <w:proofErr w:type="spellEnd"/>
      <w:r w:rsidR="00C20149" w:rsidRPr="002205FA">
        <w:t xml:space="preserve"> 2018).</w:t>
      </w:r>
      <w:r w:rsidR="00C20149">
        <w:t xml:space="preserve"> </w:t>
      </w:r>
    </w:p>
    <w:p w14:paraId="1A8A27EB" w14:textId="77777777" w:rsidR="002205FA" w:rsidRDefault="002205FA" w:rsidP="00C20149">
      <w:pPr>
        <w:spacing w:line="480" w:lineRule="auto"/>
      </w:pPr>
    </w:p>
    <w:p w14:paraId="40C0C251" w14:textId="77777777" w:rsidR="00C44F38" w:rsidRPr="000F0B8E" w:rsidRDefault="00C44F38" w:rsidP="007858B1">
      <w:pPr>
        <w:pStyle w:val="Heading2"/>
      </w:pPr>
      <w:r w:rsidRPr="000F0B8E">
        <w:lastRenderedPageBreak/>
        <w:t>References</w:t>
      </w:r>
    </w:p>
    <w:p w14:paraId="6640D4C9" w14:textId="77777777" w:rsidR="003339ED" w:rsidRDefault="003339ED" w:rsidP="00C44F38">
      <w:r w:rsidRPr="003339ED">
        <w:t xml:space="preserve">Karaboyas A, Morgenstern H, Li Y, et al. Estimating the fraction of first-year hemodialysis deaths attributable to potentially modifiable risk factors: results from the DOPPS. </w:t>
      </w:r>
      <w:proofErr w:type="spellStart"/>
      <w:r w:rsidRPr="003339ED">
        <w:t>Clin</w:t>
      </w:r>
      <w:proofErr w:type="spellEnd"/>
      <w:r w:rsidRPr="003339ED">
        <w:t xml:space="preserve"> </w:t>
      </w:r>
      <w:proofErr w:type="spellStart"/>
      <w:r w:rsidRPr="003339ED">
        <w:t>Epid</w:t>
      </w:r>
      <w:proofErr w:type="spellEnd"/>
      <w:r w:rsidRPr="003339ED">
        <w:t xml:space="preserve"> 2020:12 51–60</w:t>
      </w:r>
    </w:p>
    <w:p w14:paraId="6BCF9F78" w14:textId="695E6B22" w:rsidR="00C44F38" w:rsidRDefault="00C44F38" w:rsidP="00C44F38">
      <w:proofErr w:type="spellStart"/>
      <w:r w:rsidRPr="00740461">
        <w:t>Keil</w:t>
      </w:r>
      <w:proofErr w:type="spellEnd"/>
      <w:r w:rsidRPr="00740461">
        <w:t xml:space="preserve"> AP, Edwards JK, Richardson DB</w:t>
      </w:r>
      <w:r>
        <w:t xml:space="preserve">, et al. </w:t>
      </w:r>
      <w:r w:rsidRPr="00740461">
        <w:t>The parametric g-formula for time-to-event data: intuition and a worked example</w:t>
      </w:r>
      <w:r>
        <w:t xml:space="preserve">. </w:t>
      </w:r>
      <w:r w:rsidRPr="00740461">
        <w:t>Epidemiology. 2014 Nov;25(6):889-97</w:t>
      </w:r>
    </w:p>
    <w:p w14:paraId="194BAF20" w14:textId="77777777" w:rsidR="00175479" w:rsidRDefault="00175479" w:rsidP="00C44F38">
      <w:proofErr w:type="spellStart"/>
      <w:r w:rsidRPr="00175479">
        <w:t>Macdougall</w:t>
      </w:r>
      <w:proofErr w:type="spellEnd"/>
      <w:r w:rsidRPr="00175479">
        <w:t xml:space="preserve"> IC, White C, Anker SD, et al. Randomized trial comparing proactive, high-dose versus reactive, low-dose intravenous iron supplementation in hemodialysis (PIVOTAL): Study design and baseline data. Am J </w:t>
      </w:r>
      <w:proofErr w:type="spellStart"/>
      <w:r w:rsidRPr="00175479">
        <w:t>Nephrol</w:t>
      </w:r>
      <w:proofErr w:type="spellEnd"/>
      <w:r w:rsidRPr="00175479">
        <w:t>. 2018;48(4):260-268</w:t>
      </w:r>
    </w:p>
    <w:p w14:paraId="1990E822" w14:textId="3EB3F85C" w:rsidR="00C44F38" w:rsidRDefault="00C44F38" w:rsidP="00C44F38">
      <w:proofErr w:type="spellStart"/>
      <w:r>
        <w:t>Raghunathan</w:t>
      </w:r>
      <w:proofErr w:type="spellEnd"/>
      <w:r>
        <w:t xml:space="preserve"> TE, </w:t>
      </w:r>
      <w:proofErr w:type="spellStart"/>
      <w:r>
        <w:t>Solenberger</w:t>
      </w:r>
      <w:proofErr w:type="spellEnd"/>
      <w:r>
        <w:t xml:space="preserve"> PW, Van </w:t>
      </w:r>
      <w:proofErr w:type="spellStart"/>
      <w:r>
        <w:t>Hoewyk</w:t>
      </w:r>
      <w:proofErr w:type="spellEnd"/>
      <w:r>
        <w:t xml:space="preserve"> J. </w:t>
      </w:r>
      <w:proofErr w:type="spellStart"/>
      <w:r>
        <w:t>IVEware</w:t>
      </w:r>
      <w:proofErr w:type="spellEnd"/>
      <w:r>
        <w:t>: Imputation and Variance Estimation Software: User Guide. Ann Arbor, MI: Institute for Social Research, University of Michigan. 2002</w:t>
      </w:r>
    </w:p>
    <w:p w14:paraId="52E20FBB" w14:textId="2A3825AE" w:rsidR="00C44F38" w:rsidRDefault="00C44F38" w:rsidP="00C44F38">
      <w:proofErr w:type="spellStart"/>
      <w:r>
        <w:t>Schomaker</w:t>
      </w:r>
      <w:proofErr w:type="spellEnd"/>
      <w:r>
        <w:t xml:space="preserve"> M, </w:t>
      </w:r>
      <w:proofErr w:type="spellStart"/>
      <w:r>
        <w:t>Heumann</w:t>
      </w:r>
      <w:proofErr w:type="spellEnd"/>
      <w:r>
        <w:t xml:space="preserve"> C. Bootstrap Inference When Using Multiple Imputation. </w:t>
      </w:r>
      <w:r w:rsidRPr="008343B2">
        <w:t>Stat Med. 2018 Jun 30;37(14):2252-2266</w:t>
      </w:r>
    </w:p>
    <w:p w14:paraId="470A4147" w14:textId="4DBEA0DC" w:rsidR="00C948FB" w:rsidRDefault="00C948FB" w:rsidP="00C44F38">
      <w:r w:rsidRPr="00EF2322">
        <w:rPr>
          <w:rFonts w:ascii="Calibri" w:hAnsi="Calibri" w:cs="Calibri"/>
          <w:noProof/>
          <w:szCs w:val="24"/>
        </w:rPr>
        <w:t xml:space="preserve">Taubman SL, Robins JM, Mittleman MA, Hernán MA. Intervening on risk factors for coronary heart disease: An application of the parametric g-formula. </w:t>
      </w:r>
      <w:r w:rsidRPr="00EF2322">
        <w:rPr>
          <w:rFonts w:ascii="Calibri" w:hAnsi="Calibri" w:cs="Calibri"/>
          <w:i/>
          <w:iCs/>
          <w:noProof/>
          <w:szCs w:val="24"/>
        </w:rPr>
        <w:t>Int J Epidemiol</w:t>
      </w:r>
      <w:r w:rsidRPr="00EF2322">
        <w:rPr>
          <w:rFonts w:ascii="Calibri" w:hAnsi="Calibri" w:cs="Calibri"/>
          <w:noProof/>
          <w:szCs w:val="24"/>
        </w:rPr>
        <w:t>. 2009;38(6):1599-1611</w:t>
      </w:r>
    </w:p>
    <w:p w14:paraId="57C3AE13" w14:textId="7CB8DD57" w:rsidR="002205FA" w:rsidRDefault="002205FA" w:rsidP="00C44F38"/>
    <w:p w14:paraId="5AD2149C" w14:textId="77777777" w:rsidR="005468BD" w:rsidRDefault="005468BD" w:rsidP="00C44F38">
      <w:pPr>
        <w:sectPr w:rsidR="005468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8E5CFA8" w14:textId="74A4A561" w:rsidR="005468BD" w:rsidRDefault="005468BD" w:rsidP="005468BD">
      <w:pPr>
        <w:pStyle w:val="Heading1"/>
      </w:pPr>
      <w:r>
        <w:lastRenderedPageBreak/>
        <w:t>Supplementary Tables</w:t>
      </w:r>
    </w:p>
    <w:p w14:paraId="5853E41E" w14:textId="22FFC211" w:rsidR="005468BD" w:rsidRDefault="005468BD" w:rsidP="005468BD">
      <w:pPr>
        <w:pStyle w:val="Heading2"/>
      </w:pPr>
      <w:r>
        <w:t xml:space="preserve">Table </w:t>
      </w:r>
      <w:r w:rsidR="000E459A">
        <w:t>S</w:t>
      </w:r>
      <w:r>
        <w:t>1a</w:t>
      </w:r>
    </w:p>
    <w:p w14:paraId="25634252" w14:textId="7A53F304" w:rsidR="005468BD" w:rsidRDefault="005468BD" w:rsidP="005468BD">
      <w:r>
        <w:rPr>
          <w:b/>
        </w:rPr>
        <w:t xml:space="preserve">Title. </w:t>
      </w:r>
      <w:r>
        <w:t>Target trial protocol: Comparing inclusion and exclusion criteria for PIVOTAL trial</w:t>
      </w:r>
      <w:r w:rsidR="006669C4" w:rsidRPr="006669C4">
        <w:rPr>
          <w:vertAlign w:val="superscript"/>
        </w:rPr>
        <w:t>15</w:t>
      </w:r>
      <w:r w:rsidRPr="00924967">
        <w:t xml:space="preserve"> </w:t>
      </w:r>
      <w:r>
        <w:t>vs. target trial vs. emulated trial using the full DOPPS sample and PIVOTAL-restricted DOPPS subset</w:t>
      </w:r>
    </w:p>
    <w:p w14:paraId="6BF3FB15" w14:textId="77777777" w:rsidR="005468BD" w:rsidRDefault="005468BD" w:rsidP="005468BD">
      <w:r>
        <w:rPr>
          <w:b/>
        </w:rPr>
        <w:t xml:space="preserve">Legend. </w:t>
      </w:r>
      <w:r>
        <w:t xml:space="preserve">LOCF=Last observational carried forward; PD=peritoneal dialysis; HD=hemodialysis; </w:t>
      </w:r>
    </w:p>
    <w:tbl>
      <w:tblPr>
        <w:tblW w:w="12860" w:type="dxa"/>
        <w:tblLook w:val="04A0" w:firstRow="1" w:lastRow="0" w:firstColumn="1" w:lastColumn="0" w:noHBand="0" w:noVBand="1"/>
      </w:tblPr>
      <w:tblGrid>
        <w:gridCol w:w="320"/>
        <w:gridCol w:w="3340"/>
        <w:gridCol w:w="1830"/>
        <w:gridCol w:w="2070"/>
        <w:gridCol w:w="90"/>
        <w:gridCol w:w="2610"/>
        <w:gridCol w:w="2600"/>
      </w:tblGrid>
      <w:tr w:rsidR="005468BD" w:rsidRPr="008D75E5" w14:paraId="3BB17364" w14:textId="77777777" w:rsidTr="005468BD">
        <w:trPr>
          <w:trHeight w:val="300"/>
        </w:trPr>
        <w:tc>
          <w:tcPr>
            <w:tcW w:w="320" w:type="dxa"/>
            <w:tcBorders>
              <w:top w:val="single" w:sz="4" w:space="0" w:color="auto"/>
              <w:left w:val="nil"/>
              <w:bottom w:val="nil"/>
              <w:right w:val="nil"/>
            </w:tcBorders>
            <w:shd w:val="clear" w:color="auto" w:fill="auto"/>
            <w:noWrap/>
            <w:hideMark/>
          </w:tcPr>
          <w:p w14:paraId="09F456C8"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 </w:t>
            </w:r>
          </w:p>
        </w:tc>
        <w:tc>
          <w:tcPr>
            <w:tcW w:w="3340" w:type="dxa"/>
            <w:tcBorders>
              <w:top w:val="single" w:sz="4" w:space="0" w:color="auto"/>
              <w:left w:val="nil"/>
              <w:bottom w:val="nil"/>
              <w:right w:val="nil"/>
            </w:tcBorders>
            <w:shd w:val="clear" w:color="auto" w:fill="auto"/>
            <w:noWrap/>
            <w:vAlign w:val="bottom"/>
            <w:hideMark/>
          </w:tcPr>
          <w:p w14:paraId="7DB1FDC2"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 </w:t>
            </w:r>
          </w:p>
        </w:tc>
        <w:tc>
          <w:tcPr>
            <w:tcW w:w="3990" w:type="dxa"/>
            <w:gridSpan w:val="3"/>
            <w:tcBorders>
              <w:top w:val="single" w:sz="4" w:space="0" w:color="auto"/>
              <w:left w:val="nil"/>
              <w:bottom w:val="nil"/>
              <w:right w:val="nil"/>
            </w:tcBorders>
            <w:shd w:val="clear" w:color="auto" w:fill="auto"/>
            <w:noWrap/>
            <w:vAlign w:val="bottom"/>
            <w:hideMark/>
          </w:tcPr>
          <w:p w14:paraId="30610A24" w14:textId="77777777" w:rsidR="005468BD" w:rsidRPr="008D75E5" w:rsidRDefault="005468BD" w:rsidP="005468BD">
            <w:pPr>
              <w:spacing w:after="0" w:line="240" w:lineRule="auto"/>
              <w:jc w:val="center"/>
              <w:rPr>
                <w:rFonts w:ascii="Calibri" w:eastAsia="Times New Roman" w:hAnsi="Calibri" w:cs="Calibri"/>
                <w:b/>
                <w:bCs/>
                <w:color w:val="000000"/>
              </w:rPr>
            </w:pPr>
            <w:r w:rsidRPr="008D75E5">
              <w:rPr>
                <w:rFonts w:ascii="Calibri" w:eastAsia="Times New Roman" w:hAnsi="Calibri" w:cs="Calibri"/>
                <w:b/>
                <w:bCs/>
                <w:color w:val="000000"/>
              </w:rPr>
              <w:t>Primary analysis: Full DOPPS sample</w:t>
            </w:r>
          </w:p>
        </w:tc>
        <w:tc>
          <w:tcPr>
            <w:tcW w:w="5210" w:type="dxa"/>
            <w:gridSpan w:val="2"/>
            <w:tcBorders>
              <w:top w:val="single" w:sz="4" w:space="0" w:color="auto"/>
              <w:left w:val="nil"/>
              <w:bottom w:val="nil"/>
              <w:right w:val="nil"/>
            </w:tcBorders>
            <w:shd w:val="clear" w:color="auto" w:fill="auto"/>
            <w:noWrap/>
            <w:vAlign w:val="bottom"/>
            <w:hideMark/>
          </w:tcPr>
          <w:p w14:paraId="15CEDAED" w14:textId="77777777" w:rsidR="005468BD" w:rsidRPr="008D75E5" w:rsidRDefault="005468BD" w:rsidP="005468BD">
            <w:pPr>
              <w:spacing w:after="0" w:line="240" w:lineRule="auto"/>
              <w:jc w:val="center"/>
              <w:rPr>
                <w:rFonts w:ascii="Calibri" w:eastAsia="Times New Roman" w:hAnsi="Calibri" w:cs="Calibri"/>
                <w:b/>
                <w:bCs/>
                <w:color w:val="000000"/>
              </w:rPr>
            </w:pPr>
            <w:r w:rsidRPr="008D75E5">
              <w:rPr>
                <w:rFonts w:ascii="Calibri" w:eastAsia="Times New Roman" w:hAnsi="Calibri" w:cs="Calibri"/>
                <w:b/>
                <w:bCs/>
                <w:color w:val="000000"/>
              </w:rPr>
              <w:t>Subset analysis restricted to PIVOTAL criteria</w:t>
            </w:r>
          </w:p>
        </w:tc>
      </w:tr>
      <w:tr w:rsidR="005468BD" w:rsidRPr="008D75E5" w14:paraId="3C97B064" w14:textId="77777777" w:rsidTr="005468BD">
        <w:trPr>
          <w:trHeight w:val="300"/>
        </w:trPr>
        <w:tc>
          <w:tcPr>
            <w:tcW w:w="320" w:type="dxa"/>
            <w:tcBorders>
              <w:top w:val="nil"/>
              <w:left w:val="nil"/>
              <w:bottom w:val="single" w:sz="4" w:space="0" w:color="auto"/>
              <w:right w:val="nil"/>
            </w:tcBorders>
            <w:shd w:val="clear" w:color="auto" w:fill="auto"/>
            <w:noWrap/>
            <w:hideMark/>
          </w:tcPr>
          <w:p w14:paraId="21A48D22" w14:textId="77777777" w:rsidR="005468BD" w:rsidRPr="008D75E5" w:rsidRDefault="005468BD" w:rsidP="005468BD">
            <w:pPr>
              <w:spacing w:after="0" w:line="240" w:lineRule="auto"/>
              <w:rPr>
                <w:rFonts w:ascii="Calibri" w:eastAsia="Times New Roman" w:hAnsi="Calibri" w:cs="Calibri"/>
                <w:b/>
                <w:bCs/>
                <w:color w:val="000000"/>
              </w:rPr>
            </w:pPr>
            <w:r w:rsidRPr="008D75E5">
              <w:rPr>
                <w:rFonts w:ascii="Calibri" w:eastAsia="Times New Roman" w:hAnsi="Calibri" w:cs="Calibri"/>
                <w:b/>
                <w:bCs/>
                <w:color w:val="000000"/>
              </w:rPr>
              <w:t> </w:t>
            </w:r>
          </w:p>
        </w:tc>
        <w:tc>
          <w:tcPr>
            <w:tcW w:w="3340" w:type="dxa"/>
            <w:tcBorders>
              <w:top w:val="nil"/>
              <w:left w:val="nil"/>
              <w:bottom w:val="single" w:sz="4" w:space="0" w:color="auto"/>
              <w:right w:val="nil"/>
            </w:tcBorders>
            <w:shd w:val="clear" w:color="auto" w:fill="auto"/>
            <w:noWrap/>
            <w:vAlign w:val="bottom"/>
            <w:hideMark/>
          </w:tcPr>
          <w:p w14:paraId="40C727F8" w14:textId="77777777" w:rsidR="005468BD" w:rsidRPr="008D75E5" w:rsidRDefault="005468BD" w:rsidP="005468BD">
            <w:pPr>
              <w:spacing w:after="0" w:line="240" w:lineRule="auto"/>
              <w:jc w:val="center"/>
              <w:rPr>
                <w:rFonts w:ascii="Calibri" w:eastAsia="Times New Roman" w:hAnsi="Calibri" w:cs="Calibri"/>
                <w:b/>
                <w:bCs/>
                <w:color w:val="000000"/>
              </w:rPr>
            </w:pPr>
            <w:r w:rsidRPr="008D75E5">
              <w:rPr>
                <w:rFonts w:ascii="Calibri" w:eastAsia="Times New Roman" w:hAnsi="Calibri" w:cs="Calibri"/>
                <w:b/>
                <w:bCs/>
                <w:color w:val="000000"/>
              </w:rPr>
              <w:t>PIVOTAL trial</w:t>
            </w:r>
          </w:p>
        </w:tc>
        <w:tc>
          <w:tcPr>
            <w:tcW w:w="1830" w:type="dxa"/>
            <w:tcBorders>
              <w:top w:val="nil"/>
              <w:left w:val="nil"/>
              <w:bottom w:val="single" w:sz="4" w:space="0" w:color="auto"/>
              <w:right w:val="nil"/>
            </w:tcBorders>
            <w:shd w:val="clear" w:color="auto" w:fill="auto"/>
            <w:noWrap/>
            <w:vAlign w:val="bottom"/>
            <w:hideMark/>
          </w:tcPr>
          <w:p w14:paraId="33552E09" w14:textId="77777777" w:rsidR="005468BD" w:rsidRPr="008D75E5" w:rsidRDefault="005468BD" w:rsidP="005468BD">
            <w:pPr>
              <w:spacing w:after="0" w:line="240" w:lineRule="auto"/>
              <w:jc w:val="center"/>
              <w:rPr>
                <w:rFonts w:ascii="Calibri" w:eastAsia="Times New Roman" w:hAnsi="Calibri" w:cs="Calibri"/>
                <w:b/>
                <w:bCs/>
                <w:color w:val="000000"/>
              </w:rPr>
            </w:pPr>
            <w:r w:rsidRPr="008D75E5">
              <w:rPr>
                <w:rFonts w:ascii="Calibri" w:eastAsia="Times New Roman" w:hAnsi="Calibri" w:cs="Calibri"/>
                <w:b/>
                <w:bCs/>
                <w:color w:val="000000"/>
              </w:rPr>
              <w:t>Target trial</w:t>
            </w:r>
          </w:p>
        </w:tc>
        <w:tc>
          <w:tcPr>
            <w:tcW w:w="2070" w:type="dxa"/>
            <w:tcBorders>
              <w:top w:val="nil"/>
              <w:left w:val="nil"/>
              <w:bottom w:val="single" w:sz="4" w:space="0" w:color="auto"/>
              <w:right w:val="nil"/>
            </w:tcBorders>
            <w:shd w:val="clear" w:color="auto" w:fill="auto"/>
            <w:noWrap/>
            <w:vAlign w:val="bottom"/>
            <w:hideMark/>
          </w:tcPr>
          <w:p w14:paraId="65D3DA0C" w14:textId="77777777" w:rsidR="005468BD" w:rsidRPr="008D75E5" w:rsidRDefault="005468BD" w:rsidP="005468BD">
            <w:pPr>
              <w:spacing w:after="0" w:line="240" w:lineRule="auto"/>
              <w:jc w:val="center"/>
              <w:rPr>
                <w:rFonts w:ascii="Calibri" w:eastAsia="Times New Roman" w:hAnsi="Calibri" w:cs="Calibri"/>
                <w:b/>
                <w:bCs/>
                <w:color w:val="000000"/>
              </w:rPr>
            </w:pPr>
            <w:r w:rsidRPr="008D75E5">
              <w:rPr>
                <w:rFonts w:ascii="Calibri" w:eastAsia="Times New Roman" w:hAnsi="Calibri" w:cs="Calibri"/>
                <w:b/>
                <w:bCs/>
                <w:color w:val="000000"/>
              </w:rPr>
              <w:t>Emulation in DOPPS</w:t>
            </w:r>
          </w:p>
        </w:tc>
        <w:tc>
          <w:tcPr>
            <w:tcW w:w="2700" w:type="dxa"/>
            <w:gridSpan w:val="2"/>
            <w:tcBorders>
              <w:top w:val="nil"/>
              <w:left w:val="nil"/>
              <w:bottom w:val="single" w:sz="4" w:space="0" w:color="auto"/>
              <w:right w:val="nil"/>
            </w:tcBorders>
            <w:shd w:val="clear" w:color="auto" w:fill="auto"/>
            <w:noWrap/>
            <w:vAlign w:val="bottom"/>
            <w:hideMark/>
          </w:tcPr>
          <w:p w14:paraId="0B60E2D7" w14:textId="77777777" w:rsidR="005468BD" w:rsidRPr="008D75E5" w:rsidRDefault="005468BD" w:rsidP="005468BD">
            <w:pPr>
              <w:spacing w:after="0" w:line="240" w:lineRule="auto"/>
              <w:jc w:val="center"/>
              <w:rPr>
                <w:rFonts w:ascii="Calibri" w:eastAsia="Times New Roman" w:hAnsi="Calibri" w:cs="Calibri"/>
                <w:b/>
                <w:bCs/>
                <w:color w:val="000000"/>
              </w:rPr>
            </w:pPr>
            <w:r w:rsidRPr="008D75E5">
              <w:rPr>
                <w:rFonts w:ascii="Calibri" w:eastAsia="Times New Roman" w:hAnsi="Calibri" w:cs="Calibri"/>
                <w:b/>
                <w:bCs/>
                <w:color w:val="000000"/>
              </w:rPr>
              <w:t>Target trial</w:t>
            </w:r>
          </w:p>
        </w:tc>
        <w:tc>
          <w:tcPr>
            <w:tcW w:w="2600" w:type="dxa"/>
            <w:tcBorders>
              <w:top w:val="nil"/>
              <w:left w:val="nil"/>
              <w:bottom w:val="single" w:sz="4" w:space="0" w:color="auto"/>
              <w:right w:val="nil"/>
            </w:tcBorders>
            <w:shd w:val="clear" w:color="auto" w:fill="auto"/>
            <w:noWrap/>
            <w:vAlign w:val="bottom"/>
            <w:hideMark/>
          </w:tcPr>
          <w:p w14:paraId="1EEB1BD6" w14:textId="77777777" w:rsidR="005468BD" w:rsidRPr="008D75E5" w:rsidRDefault="005468BD" w:rsidP="005468BD">
            <w:pPr>
              <w:spacing w:after="0" w:line="240" w:lineRule="auto"/>
              <w:jc w:val="center"/>
              <w:rPr>
                <w:rFonts w:ascii="Calibri" w:eastAsia="Times New Roman" w:hAnsi="Calibri" w:cs="Calibri"/>
                <w:b/>
                <w:bCs/>
                <w:color w:val="000000"/>
              </w:rPr>
            </w:pPr>
            <w:r w:rsidRPr="008D75E5">
              <w:rPr>
                <w:rFonts w:ascii="Calibri" w:eastAsia="Times New Roman" w:hAnsi="Calibri" w:cs="Calibri"/>
                <w:b/>
                <w:bCs/>
                <w:color w:val="000000"/>
              </w:rPr>
              <w:t>Emulation in DOPPS</w:t>
            </w:r>
          </w:p>
        </w:tc>
      </w:tr>
      <w:tr w:rsidR="005468BD" w:rsidRPr="008D75E5" w14:paraId="26A03BCB" w14:textId="77777777" w:rsidTr="005468BD">
        <w:trPr>
          <w:trHeight w:val="300"/>
        </w:trPr>
        <w:tc>
          <w:tcPr>
            <w:tcW w:w="3660" w:type="dxa"/>
            <w:gridSpan w:val="2"/>
            <w:tcBorders>
              <w:top w:val="nil"/>
              <w:left w:val="nil"/>
              <w:bottom w:val="nil"/>
              <w:right w:val="nil"/>
            </w:tcBorders>
            <w:shd w:val="clear" w:color="auto" w:fill="auto"/>
            <w:noWrap/>
            <w:hideMark/>
          </w:tcPr>
          <w:p w14:paraId="2256C964" w14:textId="77777777" w:rsidR="005468BD" w:rsidRPr="008D75E5" w:rsidRDefault="005468BD" w:rsidP="005468BD">
            <w:pPr>
              <w:spacing w:after="0" w:line="240" w:lineRule="auto"/>
              <w:rPr>
                <w:rFonts w:ascii="Calibri" w:eastAsia="Times New Roman" w:hAnsi="Calibri" w:cs="Calibri"/>
                <w:b/>
                <w:bCs/>
                <w:color w:val="000000"/>
              </w:rPr>
            </w:pPr>
            <w:r w:rsidRPr="008D75E5">
              <w:rPr>
                <w:rFonts w:ascii="Calibri" w:eastAsia="Times New Roman" w:hAnsi="Calibri" w:cs="Calibri"/>
                <w:b/>
                <w:bCs/>
                <w:color w:val="000000"/>
              </w:rPr>
              <w:t>Inclusion criteria</w:t>
            </w:r>
          </w:p>
        </w:tc>
        <w:tc>
          <w:tcPr>
            <w:tcW w:w="1830" w:type="dxa"/>
            <w:tcBorders>
              <w:top w:val="nil"/>
              <w:left w:val="nil"/>
              <w:bottom w:val="nil"/>
              <w:right w:val="nil"/>
            </w:tcBorders>
            <w:shd w:val="clear" w:color="auto" w:fill="auto"/>
            <w:noWrap/>
            <w:vAlign w:val="bottom"/>
            <w:hideMark/>
          </w:tcPr>
          <w:p w14:paraId="7678CBBB" w14:textId="77777777" w:rsidR="005468BD" w:rsidRPr="008D75E5" w:rsidRDefault="005468BD" w:rsidP="005468BD">
            <w:pPr>
              <w:spacing w:after="0" w:line="240" w:lineRule="auto"/>
              <w:rPr>
                <w:rFonts w:ascii="Calibri" w:eastAsia="Times New Roman" w:hAnsi="Calibri" w:cs="Calibri"/>
                <w:b/>
                <w:bCs/>
                <w:color w:val="000000"/>
              </w:rPr>
            </w:pPr>
          </w:p>
        </w:tc>
        <w:tc>
          <w:tcPr>
            <w:tcW w:w="2070" w:type="dxa"/>
            <w:tcBorders>
              <w:top w:val="nil"/>
              <w:left w:val="nil"/>
              <w:bottom w:val="nil"/>
              <w:right w:val="nil"/>
            </w:tcBorders>
            <w:shd w:val="clear" w:color="auto" w:fill="auto"/>
            <w:noWrap/>
            <w:vAlign w:val="bottom"/>
            <w:hideMark/>
          </w:tcPr>
          <w:p w14:paraId="132CACF0" w14:textId="77777777" w:rsidR="005468BD" w:rsidRPr="008D75E5" w:rsidRDefault="005468BD" w:rsidP="005468BD">
            <w:pPr>
              <w:spacing w:after="0" w:line="240" w:lineRule="auto"/>
              <w:jc w:val="center"/>
              <w:rPr>
                <w:rFonts w:ascii="Times New Roman" w:eastAsia="Times New Roman" w:hAnsi="Times New Roman" w:cs="Times New Roman"/>
                <w:sz w:val="20"/>
                <w:szCs w:val="20"/>
              </w:rPr>
            </w:pPr>
          </w:p>
        </w:tc>
        <w:tc>
          <w:tcPr>
            <w:tcW w:w="2700" w:type="dxa"/>
            <w:gridSpan w:val="2"/>
            <w:tcBorders>
              <w:top w:val="nil"/>
              <w:left w:val="nil"/>
              <w:bottom w:val="nil"/>
              <w:right w:val="nil"/>
            </w:tcBorders>
            <w:shd w:val="clear" w:color="auto" w:fill="auto"/>
            <w:noWrap/>
            <w:vAlign w:val="bottom"/>
            <w:hideMark/>
          </w:tcPr>
          <w:p w14:paraId="33F32B29" w14:textId="77777777" w:rsidR="005468BD" w:rsidRPr="008D75E5" w:rsidRDefault="005468BD" w:rsidP="005468BD">
            <w:pPr>
              <w:spacing w:after="0" w:line="240" w:lineRule="auto"/>
              <w:jc w:val="center"/>
              <w:rPr>
                <w:rFonts w:ascii="Times New Roman" w:eastAsia="Times New Roman" w:hAnsi="Times New Roman" w:cs="Times New Roman"/>
                <w:sz w:val="20"/>
                <w:szCs w:val="20"/>
              </w:rPr>
            </w:pPr>
          </w:p>
        </w:tc>
        <w:tc>
          <w:tcPr>
            <w:tcW w:w="2600" w:type="dxa"/>
            <w:tcBorders>
              <w:top w:val="nil"/>
              <w:left w:val="nil"/>
              <w:bottom w:val="nil"/>
              <w:right w:val="nil"/>
            </w:tcBorders>
            <w:shd w:val="clear" w:color="auto" w:fill="auto"/>
            <w:noWrap/>
            <w:vAlign w:val="bottom"/>
            <w:hideMark/>
          </w:tcPr>
          <w:p w14:paraId="12CB91AC" w14:textId="77777777" w:rsidR="005468BD" w:rsidRPr="008D75E5" w:rsidRDefault="005468BD" w:rsidP="005468BD">
            <w:pPr>
              <w:spacing w:after="0" w:line="240" w:lineRule="auto"/>
              <w:jc w:val="center"/>
              <w:rPr>
                <w:rFonts w:ascii="Times New Roman" w:eastAsia="Times New Roman" w:hAnsi="Times New Roman" w:cs="Times New Roman"/>
                <w:sz w:val="20"/>
                <w:szCs w:val="20"/>
              </w:rPr>
            </w:pPr>
          </w:p>
        </w:tc>
      </w:tr>
      <w:tr w:rsidR="005468BD" w:rsidRPr="008D75E5" w14:paraId="384CBD5C" w14:textId="77777777" w:rsidTr="005468BD">
        <w:trPr>
          <w:trHeight w:val="1200"/>
        </w:trPr>
        <w:tc>
          <w:tcPr>
            <w:tcW w:w="320" w:type="dxa"/>
            <w:tcBorders>
              <w:top w:val="nil"/>
              <w:left w:val="nil"/>
              <w:bottom w:val="nil"/>
              <w:right w:val="nil"/>
            </w:tcBorders>
            <w:shd w:val="clear" w:color="auto" w:fill="E7E6E6" w:themeFill="background2"/>
            <w:hideMark/>
          </w:tcPr>
          <w:p w14:paraId="6C229916" w14:textId="77777777" w:rsidR="005468BD" w:rsidRPr="008D75E5" w:rsidRDefault="005468BD" w:rsidP="005468BD">
            <w:pPr>
              <w:spacing w:after="0" w:line="240" w:lineRule="auto"/>
              <w:jc w:val="center"/>
              <w:rPr>
                <w:rFonts w:ascii="Times New Roman" w:eastAsia="Times New Roman" w:hAnsi="Times New Roman" w:cs="Times New Roman"/>
                <w:sz w:val="20"/>
                <w:szCs w:val="20"/>
              </w:rPr>
            </w:pPr>
          </w:p>
        </w:tc>
        <w:tc>
          <w:tcPr>
            <w:tcW w:w="3340" w:type="dxa"/>
            <w:tcBorders>
              <w:top w:val="nil"/>
              <w:left w:val="nil"/>
              <w:bottom w:val="nil"/>
              <w:right w:val="nil"/>
            </w:tcBorders>
            <w:shd w:val="clear" w:color="auto" w:fill="E7E6E6" w:themeFill="background2"/>
            <w:hideMark/>
          </w:tcPr>
          <w:p w14:paraId="0657BFA1"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Chronic HD patients age &gt;18 with informed consent</w:t>
            </w:r>
          </w:p>
        </w:tc>
        <w:tc>
          <w:tcPr>
            <w:tcW w:w="1830" w:type="dxa"/>
            <w:tcBorders>
              <w:top w:val="nil"/>
              <w:left w:val="nil"/>
              <w:bottom w:val="nil"/>
              <w:right w:val="nil"/>
            </w:tcBorders>
            <w:shd w:val="clear" w:color="auto" w:fill="E7E6E6" w:themeFill="background2"/>
            <w:hideMark/>
          </w:tcPr>
          <w:p w14:paraId="6F5F46D9" w14:textId="77777777" w:rsidR="005468BD" w:rsidRPr="008D75E5" w:rsidRDefault="005468BD" w:rsidP="005468BD">
            <w:pPr>
              <w:spacing w:after="0" w:line="240" w:lineRule="auto"/>
              <w:rPr>
                <w:rFonts w:ascii="Calibri" w:eastAsia="Times New Roman" w:hAnsi="Calibri" w:cs="Calibri"/>
                <w:color w:val="000000"/>
              </w:rPr>
            </w:pPr>
            <w:r>
              <w:rPr>
                <w:rFonts w:ascii="Calibri" w:eastAsia="Times New Roman" w:hAnsi="Calibri" w:cs="Calibri"/>
                <w:color w:val="000000"/>
              </w:rPr>
              <w:t>Chronic HD patients age &gt;</w:t>
            </w:r>
            <w:r w:rsidRPr="008D75E5">
              <w:rPr>
                <w:rFonts w:ascii="Calibri" w:eastAsia="Times New Roman" w:hAnsi="Calibri" w:cs="Calibri"/>
                <w:color w:val="000000"/>
              </w:rPr>
              <w:t>18 with informed consent</w:t>
            </w:r>
          </w:p>
        </w:tc>
        <w:tc>
          <w:tcPr>
            <w:tcW w:w="2070" w:type="dxa"/>
            <w:tcBorders>
              <w:top w:val="nil"/>
              <w:left w:val="nil"/>
              <w:bottom w:val="nil"/>
              <w:right w:val="nil"/>
            </w:tcBorders>
            <w:shd w:val="clear" w:color="auto" w:fill="E7E6E6" w:themeFill="background2"/>
            <w:hideMark/>
          </w:tcPr>
          <w:p w14:paraId="352DD7FC"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All DOPPS patients meet these criteria</w:t>
            </w:r>
          </w:p>
        </w:tc>
        <w:tc>
          <w:tcPr>
            <w:tcW w:w="2700" w:type="dxa"/>
            <w:gridSpan w:val="2"/>
            <w:tcBorders>
              <w:top w:val="nil"/>
              <w:left w:val="nil"/>
              <w:bottom w:val="nil"/>
              <w:right w:val="nil"/>
            </w:tcBorders>
            <w:shd w:val="clear" w:color="auto" w:fill="E7E6E6" w:themeFill="background2"/>
            <w:hideMark/>
          </w:tcPr>
          <w:p w14:paraId="3AC3C0C7"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Same as primary analysis</w:t>
            </w:r>
          </w:p>
        </w:tc>
        <w:tc>
          <w:tcPr>
            <w:tcW w:w="2600" w:type="dxa"/>
            <w:tcBorders>
              <w:top w:val="nil"/>
              <w:left w:val="nil"/>
              <w:bottom w:val="nil"/>
              <w:right w:val="nil"/>
            </w:tcBorders>
            <w:shd w:val="clear" w:color="auto" w:fill="E7E6E6" w:themeFill="background2"/>
            <w:hideMark/>
          </w:tcPr>
          <w:p w14:paraId="02C77128"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Same as primary analysis</w:t>
            </w:r>
          </w:p>
        </w:tc>
      </w:tr>
      <w:tr w:rsidR="005468BD" w:rsidRPr="008D75E5" w14:paraId="66B88546" w14:textId="77777777" w:rsidTr="005468BD">
        <w:trPr>
          <w:trHeight w:val="300"/>
        </w:trPr>
        <w:tc>
          <w:tcPr>
            <w:tcW w:w="320" w:type="dxa"/>
            <w:tcBorders>
              <w:top w:val="nil"/>
              <w:left w:val="nil"/>
              <w:bottom w:val="nil"/>
              <w:right w:val="nil"/>
            </w:tcBorders>
            <w:shd w:val="clear" w:color="auto" w:fill="auto"/>
            <w:hideMark/>
          </w:tcPr>
          <w:p w14:paraId="7309443E" w14:textId="77777777" w:rsidR="005468BD" w:rsidRPr="008D75E5" w:rsidRDefault="005468BD" w:rsidP="005468BD">
            <w:pPr>
              <w:spacing w:after="0" w:line="240" w:lineRule="auto"/>
              <w:rPr>
                <w:rFonts w:ascii="Calibri" w:eastAsia="Times New Roman" w:hAnsi="Calibri" w:cs="Calibri"/>
                <w:color w:val="000000"/>
              </w:rPr>
            </w:pPr>
          </w:p>
        </w:tc>
        <w:tc>
          <w:tcPr>
            <w:tcW w:w="3340" w:type="dxa"/>
            <w:tcBorders>
              <w:top w:val="nil"/>
              <w:left w:val="nil"/>
              <w:bottom w:val="nil"/>
              <w:right w:val="nil"/>
            </w:tcBorders>
            <w:shd w:val="clear" w:color="auto" w:fill="auto"/>
            <w:hideMark/>
          </w:tcPr>
          <w:p w14:paraId="458BFCDA"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On ESA therapy</w:t>
            </w:r>
          </w:p>
        </w:tc>
        <w:tc>
          <w:tcPr>
            <w:tcW w:w="1830" w:type="dxa"/>
            <w:tcBorders>
              <w:top w:val="nil"/>
              <w:left w:val="nil"/>
              <w:bottom w:val="nil"/>
              <w:right w:val="nil"/>
            </w:tcBorders>
            <w:shd w:val="clear" w:color="auto" w:fill="auto"/>
            <w:hideMark/>
          </w:tcPr>
          <w:p w14:paraId="26701AA1"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nil"/>
              <w:right w:val="nil"/>
            </w:tcBorders>
            <w:shd w:val="clear" w:color="auto" w:fill="auto"/>
            <w:hideMark/>
          </w:tcPr>
          <w:p w14:paraId="35BA4763"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nil"/>
              <w:right w:val="nil"/>
            </w:tcBorders>
            <w:shd w:val="clear" w:color="auto" w:fill="auto"/>
            <w:hideMark/>
          </w:tcPr>
          <w:p w14:paraId="465183F2"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ESA use in previous month</w:t>
            </w:r>
          </w:p>
        </w:tc>
        <w:tc>
          <w:tcPr>
            <w:tcW w:w="2600" w:type="dxa"/>
            <w:tcBorders>
              <w:top w:val="nil"/>
              <w:left w:val="nil"/>
              <w:bottom w:val="nil"/>
              <w:right w:val="nil"/>
            </w:tcBorders>
            <w:shd w:val="clear" w:color="auto" w:fill="auto"/>
            <w:hideMark/>
          </w:tcPr>
          <w:p w14:paraId="403FB2BB"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ESA dose &gt;0 in previous month</w:t>
            </w:r>
          </w:p>
        </w:tc>
      </w:tr>
      <w:tr w:rsidR="005468BD" w:rsidRPr="008D75E5" w14:paraId="3AEB0D56" w14:textId="77777777" w:rsidTr="005468BD">
        <w:trPr>
          <w:trHeight w:val="600"/>
        </w:trPr>
        <w:tc>
          <w:tcPr>
            <w:tcW w:w="320" w:type="dxa"/>
            <w:tcBorders>
              <w:top w:val="nil"/>
              <w:left w:val="nil"/>
              <w:bottom w:val="nil"/>
              <w:right w:val="nil"/>
            </w:tcBorders>
            <w:shd w:val="clear" w:color="auto" w:fill="E7E6E6" w:themeFill="background2"/>
            <w:hideMark/>
          </w:tcPr>
          <w:p w14:paraId="4FDDCA5C" w14:textId="77777777" w:rsidR="005468BD" w:rsidRPr="008D75E5" w:rsidRDefault="005468BD" w:rsidP="005468BD">
            <w:pPr>
              <w:spacing w:after="0" w:line="240" w:lineRule="auto"/>
              <w:rPr>
                <w:rFonts w:ascii="Calibri" w:eastAsia="Times New Roman" w:hAnsi="Calibri" w:cs="Calibri"/>
                <w:color w:val="000000"/>
              </w:rPr>
            </w:pPr>
          </w:p>
        </w:tc>
        <w:tc>
          <w:tcPr>
            <w:tcW w:w="3340" w:type="dxa"/>
            <w:tcBorders>
              <w:top w:val="nil"/>
              <w:left w:val="nil"/>
              <w:bottom w:val="nil"/>
              <w:right w:val="nil"/>
            </w:tcBorders>
            <w:shd w:val="clear" w:color="auto" w:fill="E7E6E6" w:themeFill="background2"/>
            <w:hideMark/>
          </w:tcPr>
          <w:p w14:paraId="0AA915E6"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TSAT &lt;30%</w:t>
            </w:r>
          </w:p>
        </w:tc>
        <w:tc>
          <w:tcPr>
            <w:tcW w:w="1830" w:type="dxa"/>
            <w:tcBorders>
              <w:top w:val="nil"/>
              <w:left w:val="nil"/>
              <w:bottom w:val="nil"/>
              <w:right w:val="nil"/>
            </w:tcBorders>
            <w:shd w:val="clear" w:color="auto" w:fill="E7E6E6" w:themeFill="background2"/>
            <w:hideMark/>
          </w:tcPr>
          <w:p w14:paraId="13B9D04E"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nil"/>
              <w:right w:val="nil"/>
            </w:tcBorders>
            <w:shd w:val="clear" w:color="auto" w:fill="E7E6E6" w:themeFill="background2"/>
            <w:hideMark/>
          </w:tcPr>
          <w:p w14:paraId="5A78F935"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nil"/>
              <w:right w:val="nil"/>
            </w:tcBorders>
            <w:shd w:val="clear" w:color="auto" w:fill="E7E6E6" w:themeFill="background2"/>
            <w:hideMark/>
          </w:tcPr>
          <w:p w14:paraId="6DFD3AEC"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Most recent TSAT &lt;30%</w:t>
            </w:r>
          </w:p>
        </w:tc>
        <w:tc>
          <w:tcPr>
            <w:tcW w:w="2600" w:type="dxa"/>
            <w:tcBorders>
              <w:top w:val="nil"/>
              <w:left w:val="nil"/>
              <w:bottom w:val="nil"/>
              <w:right w:val="nil"/>
            </w:tcBorders>
            <w:shd w:val="clear" w:color="auto" w:fill="E7E6E6" w:themeFill="background2"/>
            <w:hideMark/>
          </w:tcPr>
          <w:p w14:paraId="26CA5351"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TSAT &lt;30% in previous month (LOCF up to 2 months)</w:t>
            </w:r>
          </w:p>
        </w:tc>
      </w:tr>
      <w:tr w:rsidR="005468BD" w:rsidRPr="008D75E5" w14:paraId="0CAE7098" w14:textId="77777777" w:rsidTr="005468BD">
        <w:trPr>
          <w:trHeight w:val="600"/>
        </w:trPr>
        <w:tc>
          <w:tcPr>
            <w:tcW w:w="320" w:type="dxa"/>
            <w:tcBorders>
              <w:top w:val="nil"/>
              <w:left w:val="nil"/>
              <w:bottom w:val="nil"/>
              <w:right w:val="nil"/>
            </w:tcBorders>
            <w:shd w:val="clear" w:color="auto" w:fill="auto"/>
            <w:hideMark/>
          </w:tcPr>
          <w:p w14:paraId="666B7DF2" w14:textId="77777777" w:rsidR="005468BD" w:rsidRPr="008D75E5" w:rsidRDefault="005468BD" w:rsidP="005468BD">
            <w:pPr>
              <w:spacing w:after="0" w:line="240" w:lineRule="auto"/>
              <w:rPr>
                <w:rFonts w:ascii="Calibri" w:eastAsia="Times New Roman" w:hAnsi="Calibri" w:cs="Calibri"/>
                <w:color w:val="000000"/>
              </w:rPr>
            </w:pPr>
          </w:p>
        </w:tc>
        <w:tc>
          <w:tcPr>
            <w:tcW w:w="3340" w:type="dxa"/>
            <w:tcBorders>
              <w:top w:val="nil"/>
              <w:left w:val="nil"/>
              <w:bottom w:val="nil"/>
              <w:right w:val="nil"/>
            </w:tcBorders>
            <w:shd w:val="clear" w:color="auto" w:fill="auto"/>
            <w:hideMark/>
          </w:tcPr>
          <w:p w14:paraId="44CBA7B9"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Ferritin &lt;400 ng/mL</w:t>
            </w:r>
          </w:p>
        </w:tc>
        <w:tc>
          <w:tcPr>
            <w:tcW w:w="1830" w:type="dxa"/>
            <w:tcBorders>
              <w:top w:val="nil"/>
              <w:left w:val="nil"/>
              <w:bottom w:val="nil"/>
              <w:right w:val="nil"/>
            </w:tcBorders>
            <w:shd w:val="clear" w:color="auto" w:fill="auto"/>
            <w:hideMark/>
          </w:tcPr>
          <w:p w14:paraId="53EE32E1"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nil"/>
              <w:right w:val="nil"/>
            </w:tcBorders>
            <w:shd w:val="clear" w:color="auto" w:fill="auto"/>
            <w:hideMark/>
          </w:tcPr>
          <w:p w14:paraId="7422D74C"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nil"/>
              <w:right w:val="nil"/>
            </w:tcBorders>
            <w:shd w:val="clear" w:color="auto" w:fill="auto"/>
            <w:hideMark/>
          </w:tcPr>
          <w:p w14:paraId="77AA7E95"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Most recent ferritin &lt;400 ng/mL</w:t>
            </w:r>
          </w:p>
        </w:tc>
        <w:tc>
          <w:tcPr>
            <w:tcW w:w="2600" w:type="dxa"/>
            <w:tcBorders>
              <w:top w:val="nil"/>
              <w:left w:val="nil"/>
              <w:bottom w:val="nil"/>
              <w:right w:val="nil"/>
            </w:tcBorders>
            <w:shd w:val="clear" w:color="auto" w:fill="auto"/>
            <w:hideMark/>
          </w:tcPr>
          <w:p w14:paraId="62C7239F"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Ferritin &lt;400 ng/mL in previous month (LOCF up to 2 months)</w:t>
            </w:r>
          </w:p>
        </w:tc>
      </w:tr>
      <w:tr w:rsidR="005468BD" w:rsidRPr="008D75E5" w14:paraId="161607BD" w14:textId="77777777" w:rsidTr="005468BD">
        <w:trPr>
          <w:trHeight w:val="600"/>
        </w:trPr>
        <w:tc>
          <w:tcPr>
            <w:tcW w:w="320" w:type="dxa"/>
            <w:tcBorders>
              <w:top w:val="nil"/>
              <w:left w:val="nil"/>
              <w:bottom w:val="single" w:sz="4" w:space="0" w:color="auto"/>
              <w:right w:val="nil"/>
            </w:tcBorders>
            <w:shd w:val="clear" w:color="auto" w:fill="E7E6E6" w:themeFill="background2"/>
            <w:hideMark/>
          </w:tcPr>
          <w:p w14:paraId="1B2224ED"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 </w:t>
            </w:r>
          </w:p>
        </w:tc>
        <w:tc>
          <w:tcPr>
            <w:tcW w:w="3340" w:type="dxa"/>
            <w:tcBorders>
              <w:top w:val="nil"/>
              <w:left w:val="nil"/>
              <w:bottom w:val="single" w:sz="4" w:space="0" w:color="auto"/>
              <w:right w:val="nil"/>
            </w:tcBorders>
            <w:shd w:val="clear" w:color="auto" w:fill="E7E6E6" w:themeFill="background2"/>
            <w:hideMark/>
          </w:tcPr>
          <w:p w14:paraId="07EF6A4C"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0-12 months after commencing HD</w:t>
            </w:r>
          </w:p>
        </w:tc>
        <w:tc>
          <w:tcPr>
            <w:tcW w:w="1830" w:type="dxa"/>
            <w:tcBorders>
              <w:top w:val="nil"/>
              <w:left w:val="nil"/>
              <w:bottom w:val="single" w:sz="4" w:space="0" w:color="auto"/>
              <w:right w:val="nil"/>
            </w:tcBorders>
            <w:shd w:val="clear" w:color="auto" w:fill="E7E6E6" w:themeFill="background2"/>
            <w:hideMark/>
          </w:tcPr>
          <w:p w14:paraId="06CDA30E"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single" w:sz="4" w:space="0" w:color="auto"/>
              <w:right w:val="nil"/>
            </w:tcBorders>
            <w:shd w:val="clear" w:color="auto" w:fill="E7E6E6" w:themeFill="background2"/>
            <w:hideMark/>
          </w:tcPr>
          <w:p w14:paraId="19F50177"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single" w:sz="4" w:space="0" w:color="auto"/>
              <w:right w:val="nil"/>
            </w:tcBorders>
            <w:shd w:val="clear" w:color="auto" w:fill="E7E6E6" w:themeFill="background2"/>
            <w:hideMark/>
          </w:tcPr>
          <w:p w14:paraId="6746009A"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&lt;12 months on HD</w:t>
            </w:r>
          </w:p>
        </w:tc>
        <w:tc>
          <w:tcPr>
            <w:tcW w:w="2600" w:type="dxa"/>
            <w:tcBorders>
              <w:top w:val="nil"/>
              <w:left w:val="nil"/>
              <w:bottom w:val="single" w:sz="4" w:space="0" w:color="auto"/>
              <w:right w:val="nil"/>
            </w:tcBorders>
            <w:shd w:val="clear" w:color="auto" w:fill="E7E6E6" w:themeFill="background2"/>
            <w:hideMark/>
          </w:tcPr>
          <w:p w14:paraId="03921400"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&lt;12 months after HD initiation</w:t>
            </w:r>
          </w:p>
        </w:tc>
      </w:tr>
      <w:tr w:rsidR="005468BD" w:rsidRPr="008D75E5" w14:paraId="4C0434AD" w14:textId="77777777" w:rsidTr="005468BD">
        <w:trPr>
          <w:trHeight w:val="300"/>
        </w:trPr>
        <w:tc>
          <w:tcPr>
            <w:tcW w:w="3660" w:type="dxa"/>
            <w:gridSpan w:val="2"/>
            <w:tcBorders>
              <w:top w:val="nil"/>
              <w:left w:val="nil"/>
              <w:bottom w:val="nil"/>
              <w:right w:val="nil"/>
            </w:tcBorders>
            <w:shd w:val="clear" w:color="auto" w:fill="auto"/>
            <w:noWrap/>
            <w:hideMark/>
          </w:tcPr>
          <w:p w14:paraId="663398ED" w14:textId="77777777" w:rsidR="005468BD" w:rsidRPr="008D75E5" w:rsidRDefault="005468BD" w:rsidP="005468BD">
            <w:pPr>
              <w:spacing w:after="0" w:line="240" w:lineRule="auto"/>
              <w:rPr>
                <w:rFonts w:ascii="Calibri" w:eastAsia="Times New Roman" w:hAnsi="Calibri" w:cs="Calibri"/>
                <w:b/>
                <w:bCs/>
                <w:color w:val="000000"/>
              </w:rPr>
            </w:pPr>
            <w:r w:rsidRPr="008D75E5">
              <w:rPr>
                <w:rFonts w:ascii="Calibri" w:eastAsia="Times New Roman" w:hAnsi="Calibri" w:cs="Calibri"/>
                <w:b/>
                <w:bCs/>
                <w:color w:val="000000"/>
              </w:rPr>
              <w:t>Exclusion criteria</w:t>
            </w:r>
          </w:p>
        </w:tc>
        <w:tc>
          <w:tcPr>
            <w:tcW w:w="1830" w:type="dxa"/>
            <w:tcBorders>
              <w:top w:val="nil"/>
              <w:left w:val="nil"/>
              <w:bottom w:val="nil"/>
              <w:right w:val="nil"/>
            </w:tcBorders>
            <w:shd w:val="clear" w:color="auto" w:fill="auto"/>
            <w:hideMark/>
          </w:tcPr>
          <w:p w14:paraId="647EAFEF" w14:textId="77777777" w:rsidR="005468BD" w:rsidRPr="008D75E5" w:rsidRDefault="005468BD" w:rsidP="005468BD">
            <w:pPr>
              <w:spacing w:after="0" w:line="240" w:lineRule="auto"/>
              <w:rPr>
                <w:rFonts w:ascii="Calibri" w:eastAsia="Times New Roman" w:hAnsi="Calibri" w:cs="Calibri"/>
                <w:b/>
                <w:bCs/>
                <w:color w:val="000000"/>
              </w:rPr>
            </w:pPr>
          </w:p>
        </w:tc>
        <w:tc>
          <w:tcPr>
            <w:tcW w:w="2070" w:type="dxa"/>
            <w:tcBorders>
              <w:top w:val="nil"/>
              <w:left w:val="nil"/>
              <w:bottom w:val="nil"/>
              <w:right w:val="nil"/>
            </w:tcBorders>
            <w:shd w:val="clear" w:color="auto" w:fill="auto"/>
            <w:hideMark/>
          </w:tcPr>
          <w:p w14:paraId="6B305CFB" w14:textId="77777777" w:rsidR="005468BD" w:rsidRPr="008D75E5" w:rsidRDefault="005468BD" w:rsidP="005468BD">
            <w:pPr>
              <w:spacing w:after="0" w:line="240" w:lineRule="auto"/>
              <w:rPr>
                <w:rFonts w:ascii="Times New Roman" w:eastAsia="Times New Roman" w:hAnsi="Times New Roman" w:cs="Times New Roman"/>
                <w:sz w:val="20"/>
                <w:szCs w:val="20"/>
              </w:rPr>
            </w:pPr>
          </w:p>
        </w:tc>
        <w:tc>
          <w:tcPr>
            <w:tcW w:w="2700" w:type="dxa"/>
            <w:gridSpan w:val="2"/>
            <w:tcBorders>
              <w:top w:val="nil"/>
              <w:left w:val="nil"/>
              <w:bottom w:val="nil"/>
              <w:right w:val="nil"/>
            </w:tcBorders>
            <w:shd w:val="clear" w:color="auto" w:fill="auto"/>
            <w:hideMark/>
          </w:tcPr>
          <w:p w14:paraId="396BFE5F" w14:textId="77777777" w:rsidR="005468BD" w:rsidRPr="008D75E5" w:rsidRDefault="005468BD" w:rsidP="005468BD">
            <w:pPr>
              <w:spacing w:after="0" w:line="240" w:lineRule="auto"/>
              <w:rPr>
                <w:rFonts w:ascii="Times New Roman" w:eastAsia="Times New Roman" w:hAnsi="Times New Roman" w:cs="Times New Roman"/>
                <w:sz w:val="20"/>
                <w:szCs w:val="20"/>
              </w:rPr>
            </w:pPr>
          </w:p>
        </w:tc>
        <w:tc>
          <w:tcPr>
            <w:tcW w:w="2600" w:type="dxa"/>
            <w:tcBorders>
              <w:top w:val="nil"/>
              <w:left w:val="nil"/>
              <w:bottom w:val="nil"/>
              <w:right w:val="nil"/>
            </w:tcBorders>
            <w:shd w:val="clear" w:color="auto" w:fill="auto"/>
            <w:hideMark/>
          </w:tcPr>
          <w:p w14:paraId="7F0A5FA5" w14:textId="77777777" w:rsidR="005468BD" w:rsidRPr="008D75E5" w:rsidRDefault="005468BD" w:rsidP="005468BD">
            <w:pPr>
              <w:spacing w:after="0" w:line="240" w:lineRule="auto"/>
              <w:rPr>
                <w:rFonts w:ascii="Times New Roman" w:eastAsia="Times New Roman" w:hAnsi="Times New Roman" w:cs="Times New Roman"/>
                <w:sz w:val="20"/>
                <w:szCs w:val="20"/>
              </w:rPr>
            </w:pPr>
          </w:p>
        </w:tc>
      </w:tr>
      <w:tr w:rsidR="005468BD" w:rsidRPr="008D75E5" w14:paraId="38E5C871" w14:textId="77777777" w:rsidTr="005468BD">
        <w:trPr>
          <w:trHeight w:val="900"/>
        </w:trPr>
        <w:tc>
          <w:tcPr>
            <w:tcW w:w="320" w:type="dxa"/>
            <w:tcBorders>
              <w:top w:val="nil"/>
              <w:left w:val="nil"/>
              <w:bottom w:val="nil"/>
              <w:right w:val="nil"/>
            </w:tcBorders>
            <w:shd w:val="clear" w:color="auto" w:fill="auto"/>
            <w:hideMark/>
          </w:tcPr>
          <w:p w14:paraId="5865B4E0" w14:textId="77777777" w:rsidR="005468BD" w:rsidRPr="008D75E5" w:rsidRDefault="005468BD" w:rsidP="005468BD">
            <w:pPr>
              <w:spacing w:after="0" w:line="240" w:lineRule="auto"/>
              <w:rPr>
                <w:rFonts w:ascii="Times New Roman" w:eastAsia="Times New Roman" w:hAnsi="Times New Roman" w:cs="Times New Roman"/>
                <w:sz w:val="20"/>
                <w:szCs w:val="20"/>
              </w:rPr>
            </w:pPr>
          </w:p>
        </w:tc>
        <w:tc>
          <w:tcPr>
            <w:tcW w:w="3340" w:type="dxa"/>
            <w:tcBorders>
              <w:top w:val="nil"/>
              <w:left w:val="nil"/>
              <w:bottom w:val="nil"/>
              <w:right w:val="nil"/>
            </w:tcBorders>
            <w:shd w:val="clear" w:color="auto" w:fill="auto"/>
            <w:hideMark/>
          </w:tcPr>
          <w:p w14:paraId="50D8E205"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Not clinically stable / Life expectancy &lt;12 months per the judgement of the investigator</w:t>
            </w:r>
          </w:p>
        </w:tc>
        <w:tc>
          <w:tcPr>
            <w:tcW w:w="1830" w:type="dxa"/>
            <w:tcBorders>
              <w:top w:val="nil"/>
              <w:left w:val="nil"/>
              <w:bottom w:val="nil"/>
              <w:right w:val="nil"/>
            </w:tcBorders>
            <w:shd w:val="clear" w:color="auto" w:fill="auto"/>
            <w:hideMark/>
          </w:tcPr>
          <w:p w14:paraId="2B63C231"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nil"/>
              <w:right w:val="nil"/>
            </w:tcBorders>
            <w:shd w:val="clear" w:color="auto" w:fill="auto"/>
            <w:hideMark/>
          </w:tcPr>
          <w:p w14:paraId="2D1DAC9E"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nil"/>
              <w:right w:val="nil"/>
            </w:tcBorders>
            <w:shd w:val="clear" w:color="auto" w:fill="auto"/>
            <w:hideMark/>
          </w:tcPr>
          <w:p w14:paraId="6673E291"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Life expectancy &lt;12 months</w:t>
            </w:r>
          </w:p>
        </w:tc>
        <w:tc>
          <w:tcPr>
            <w:tcW w:w="2600" w:type="dxa"/>
            <w:tcBorders>
              <w:top w:val="nil"/>
              <w:left w:val="nil"/>
              <w:bottom w:val="nil"/>
              <w:right w:val="nil"/>
            </w:tcBorders>
            <w:shd w:val="clear" w:color="auto" w:fill="auto"/>
            <w:hideMark/>
          </w:tcPr>
          <w:p w14:paraId="06C7C539"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Predicted "died next month" risk &gt;5% (&gt;96th percentile) in Step 1 models</w:t>
            </w:r>
          </w:p>
        </w:tc>
      </w:tr>
      <w:tr w:rsidR="005468BD" w:rsidRPr="008D75E5" w14:paraId="2AB6E22F" w14:textId="77777777" w:rsidTr="005468BD">
        <w:trPr>
          <w:trHeight w:val="600"/>
        </w:trPr>
        <w:tc>
          <w:tcPr>
            <w:tcW w:w="320" w:type="dxa"/>
            <w:tcBorders>
              <w:top w:val="nil"/>
              <w:left w:val="nil"/>
              <w:bottom w:val="nil"/>
              <w:right w:val="nil"/>
            </w:tcBorders>
            <w:shd w:val="clear" w:color="auto" w:fill="E7E6E6" w:themeFill="background2"/>
            <w:hideMark/>
          </w:tcPr>
          <w:p w14:paraId="62475B62" w14:textId="77777777" w:rsidR="005468BD" w:rsidRPr="008D75E5" w:rsidRDefault="005468BD" w:rsidP="005468BD">
            <w:pPr>
              <w:spacing w:after="0" w:line="240" w:lineRule="auto"/>
              <w:rPr>
                <w:rFonts w:ascii="Calibri" w:eastAsia="Times New Roman" w:hAnsi="Calibri" w:cs="Calibri"/>
                <w:color w:val="000000"/>
              </w:rPr>
            </w:pPr>
          </w:p>
        </w:tc>
        <w:tc>
          <w:tcPr>
            <w:tcW w:w="3340" w:type="dxa"/>
            <w:tcBorders>
              <w:top w:val="nil"/>
              <w:left w:val="nil"/>
              <w:bottom w:val="nil"/>
              <w:right w:val="nil"/>
            </w:tcBorders>
            <w:shd w:val="clear" w:color="auto" w:fill="E7E6E6" w:themeFill="background2"/>
            <w:hideMark/>
          </w:tcPr>
          <w:p w14:paraId="6689B19D"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CRP &gt;50 mg/L</w:t>
            </w:r>
          </w:p>
        </w:tc>
        <w:tc>
          <w:tcPr>
            <w:tcW w:w="1830" w:type="dxa"/>
            <w:tcBorders>
              <w:top w:val="nil"/>
              <w:left w:val="nil"/>
              <w:bottom w:val="nil"/>
              <w:right w:val="nil"/>
            </w:tcBorders>
            <w:shd w:val="clear" w:color="auto" w:fill="E7E6E6" w:themeFill="background2"/>
            <w:hideMark/>
          </w:tcPr>
          <w:p w14:paraId="4B6FCD45"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nil"/>
              <w:right w:val="nil"/>
            </w:tcBorders>
            <w:shd w:val="clear" w:color="auto" w:fill="E7E6E6" w:themeFill="background2"/>
            <w:hideMark/>
          </w:tcPr>
          <w:p w14:paraId="1B22A5DD"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nil"/>
              <w:right w:val="nil"/>
            </w:tcBorders>
            <w:shd w:val="clear" w:color="auto" w:fill="E7E6E6" w:themeFill="background2"/>
            <w:hideMark/>
          </w:tcPr>
          <w:p w14:paraId="1B41C1F0"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Most recent CRP &gt;50 mg/L</w:t>
            </w:r>
          </w:p>
        </w:tc>
        <w:tc>
          <w:tcPr>
            <w:tcW w:w="2600" w:type="dxa"/>
            <w:tcBorders>
              <w:top w:val="nil"/>
              <w:left w:val="nil"/>
              <w:bottom w:val="nil"/>
              <w:right w:val="nil"/>
            </w:tcBorders>
            <w:shd w:val="clear" w:color="auto" w:fill="E7E6E6" w:themeFill="background2"/>
            <w:hideMark/>
          </w:tcPr>
          <w:p w14:paraId="44B9E5EF"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CRP &gt;50 mg/L in previous month (LOCF up to 2 months)</w:t>
            </w:r>
          </w:p>
        </w:tc>
      </w:tr>
      <w:tr w:rsidR="005468BD" w:rsidRPr="008D75E5" w14:paraId="5A0D6CA9" w14:textId="77777777" w:rsidTr="005468BD">
        <w:trPr>
          <w:trHeight w:val="900"/>
        </w:trPr>
        <w:tc>
          <w:tcPr>
            <w:tcW w:w="320" w:type="dxa"/>
            <w:tcBorders>
              <w:top w:val="nil"/>
              <w:left w:val="nil"/>
              <w:bottom w:val="nil"/>
              <w:right w:val="nil"/>
            </w:tcBorders>
            <w:shd w:val="clear" w:color="auto" w:fill="auto"/>
            <w:noWrap/>
            <w:hideMark/>
          </w:tcPr>
          <w:p w14:paraId="450FEF2E" w14:textId="77777777" w:rsidR="005468BD" w:rsidRPr="008D75E5" w:rsidRDefault="005468BD" w:rsidP="005468BD">
            <w:pPr>
              <w:spacing w:after="0" w:line="240" w:lineRule="auto"/>
              <w:rPr>
                <w:rFonts w:ascii="Calibri" w:eastAsia="Times New Roman" w:hAnsi="Calibri" w:cs="Calibri"/>
                <w:color w:val="000000"/>
              </w:rPr>
            </w:pPr>
          </w:p>
        </w:tc>
        <w:tc>
          <w:tcPr>
            <w:tcW w:w="3340" w:type="dxa"/>
            <w:tcBorders>
              <w:top w:val="nil"/>
              <w:left w:val="nil"/>
              <w:bottom w:val="nil"/>
              <w:right w:val="nil"/>
            </w:tcBorders>
            <w:shd w:val="clear" w:color="auto" w:fill="auto"/>
            <w:hideMark/>
          </w:tcPr>
          <w:p w14:paraId="0F5783D7"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Known HIV, active hepatitis B, or active hepatitis C</w:t>
            </w:r>
          </w:p>
        </w:tc>
        <w:tc>
          <w:tcPr>
            <w:tcW w:w="1830" w:type="dxa"/>
            <w:tcBorders>
              <w:top w:val="nil"/>
              <w:left w:val="nil"/>
              <w:bottom w:val="nil"/>
              <w:right w:val="nil"/>
            </w:tcBorders>
            <w:shd w:val="clear" w:color="auto" w:fill="auto"/>
            <w:hideMark/>
          </w:tcPr>
          <w:p w14:paraId="2B699790"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nil"/>
              <w:right w:val="nil"/>
            </w:tcBorders>
            <w:shd w:val="clear" w:color="auto" w:fill="auto"/>
            <w:hideMark/>
          </w:tcPr>
          <w:p w14:paraId="0CE83B98"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nil"/>
              <w:right w:val="nil"/>
            </w:tcBorders>
            <w:shd w:val="clear" w:color="auto" w:fill="auto"/>
            <w:hideMark/>
          </w:tcPr>
          <w:p w14:paraId="4442E63F"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Known HIV, hepatitis B, or hepatitis C</w:t>
            </w:r>
          </w:p>
        </w:tc>
        <w:tc>
          <w:tcPr>
            <w:tcW w:w="2600" w:type="dxa"/>
            <w:tcBorders>
              <w:top w:val="nil"/>
              <w:left w:val="nil"/>
              <w:bottom w:val="nil"/>
              <w:right w:val="nil"/>
            </w:tcBorders>
            <w:shd w:val="clear" w:color="auto" w:fill="auto"/>
            <w:hideMark/>
          </w:tcPr>
          <w:p w14:paraId="5587E949"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Diagnosis of HIV, hepatitis B, or hepatitis C in medical history</w:t>
            </w:r>
          </w:p>
        </w:tc>
      </w:tr>
      <w:tr w:rsidR="005468BD" w:rsidRPr="008D75E5" w14:paraId="3E3362CC" w14:textId="77777777" w:rsidTr="005468BD">
        <w:trPr>
          <w:trHeight w:val="900"/>
        </w:trPr>
        <w:tc>
          <w:tcPr>
            <w:tcW w:w="320" w:type="dxa"/>
            <w:tcBorders>
              <w:top w:val="nil"/>
              <w:left w:val="nil"/>
              <w:bottom w:val="nil"/>
              <w:right w:val="nil"/>
            </w:tcBorders>
            <w:shd w:val="clear" w:color="auto" w:fill="E7E6E6" w:themeFill="background2"/>
            <w:hideMark/>
          </w:tcPr>
          <w:p w14:paraId="500E72C0" w14:textId="77777777" w:rsidR="005468BD" w:rsidRPr="008D75E5" w:rsidRDefault="005468BD" w:rsidP="005468BD">
            <w:pPr>
              <w:spacing w:after="0" w:line="240" w:lineRule="auto"/>
              <w:rPr>
                <w:rFonts w:ascii="Calibri" w:eastAsia="Times New Roman" w:hAnsi="Calibri" w:cs="Calibri"/>
                <w:color w:val="000000"/>
              </w:rPr>
            </w:pPr>
          </w:p>
        </w:tc>
        <w:tc>
          <w:tcPr>
            <w:tcW w:w="3340" w:type="dxa"/>
            <w:tcBorders>
              <w:top w:val="nil"/>
              <w:left w:val="nil"/>
              <w:bottom w:val="nil"/>
              <w:right w:val="nil"/>
            </w:tcBorders>
            <w:shd w:val="clear" w:color="auto" w:fill="E7E6E6" w:themeFill="background2"/>
            <w:hideMark/>
          </w:tcPr>
          <w:p w14:paraId="5555040B"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Active infection</w:t>
            </w:r>
          </w:p>
        </w:tc>
        <w:tc>
          <w:tcPr>
            <w:tcW w:w="1830" w:type="dxa"/>
            <w:tcBorders>
              <w:top w:val="nil"/>
              <w:left w:val="nil"/>
              <w:bottom w:val="nil"/>
              <w:right w:val="nil"/>
            </w:tcBorders>
            <w:shd w:val="clear" w:color="auto" w:fill="E7E6E6" w:themeFill="background2"/>
            <w:hideMark/>
          </w:tcPr>
          <w:p w14:paraId="39890119"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nil"/>
              <w:right w:val="nil"/>
            </w:tcBorders>
            <w:shd w:val="clear" w:color="auto" w:fill="E7E6E6" w:themeFill="background2"/>
            <w:hideMark/>
          </w:tcPr>
          <w:p w14:paraId="57FBF386"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nil"/>
              <w:right w:val="nil"/>
            </w:tcBorders>
            <w:shd w:val="clear" w:color="auto" w:fill="E7E6E6" w:themeFill="background2"/>
            <w:hideMark/>
          </w:tcPr>
          <w:p w14:paraId="77BA348B"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Active infection</w:t>
            </w:r>
          </w:p>
        </w:tc>
        <w:tc>
          <w:tcPr>
            <w:tcW w:w="2600" w:type="dxa"/>
            <w:tcBorders>
              <w:top w:val="nil"/>
              <w:left w:val="nil"/>
              <w:bottom w:val="nil"/>
              <w:right w:val="nil"/>
            </w:tcBorders>
            <w:shd w:val="clear" w:color="auto" w:fill="E7E6E6" w:themeFill="background2"/>
            <w:hideMark/>
          </w:tcPr>
          <w:p w14:paraId="3D7EA2AC"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Hospitalization with infection-related diagnosis or procedure code in previous month</w:t>
            </w:r>
          </w:p>
        </w:tc>
      </w:tr>
      <w:tr w:rsidR="005468BD" w:rsidRPr="008D75E5" w14:paraId="28752341" w14:textId="77777777" w:rsidTr="005468BD">
        <w:trPr>
          <w:trHeight w:val="900"/>
        </w:trPr>
        <w:tc>
          <w:tcPr>
            <w:tcW w:w="320" w:type="dxa"/>
            <w:tcBorders>
              <w:top w:val="nil"/>
              <w:left w:val="nil"/>
              <w:bottom w:val="nil"/>
              <w:right w:val="nil"/>
            </w:tcBorders>
            <w:shd w:val="clear" w:color="auto" w:fill="auto"/>
            <w:hideMark/>
          </w:tcPr>
          <w:p w14:paraId="5461FC6E" w14:textId="77777777" w:rsidR="005468BD" w:rsidRPr="008D75E5" w:rsidRDefault="005468BD" w:rsidP="005468BD">
            <w:pPr>
              <w:spacing w:after="0" w:line="240" w:lineRule="auto"/>
              <w:rPr>
                <w:rFonts w:ascii="Calibri" w:eastAsia="Times New Roman" w:hAnsi="Calibri" w:cs="Calibri"/>
                <w:color w:val="000000"/>
              </w:rPr>
            </w:pPr>
          </w:p>
        </w:tc>
        <w:tc>
          <w:tcPr>
            <w:tcW w:w="3340" w:type="dxa"/>
            <w:tcBorders>
              <w:top w:val="nil"/>
              <w:left w:val="nil"/>
              <w:bottom w:val="nil"/>
              <w:right w:val="nil"/>
            </w:tcBorders>
            <w:shd w:val="clear" w:color="auto" w:fill="auto"/>
            <w:hideMark/>
          </w:tcPr>
          <w:p w14:paraId="4E1DFD5F"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Advanced heart failure</w:t>
            </w:r>
          </w:p>
        </w:tc>
        <w:tc>
          <w:tcPr>
            <w:tcW w:w="1830" w:type="dxa"/>
            <w:tcBorders>
              <w:top w:val="nil"/>
              <w:left w:val="nil"/>
              <w:bottom w:val="nil"/>
              <w:right w:val="nil"/>
            </w:tcBorders>
            <w:shd w:val="clear" w:color="auto" w:fill="auto"/>
            <w:hideMark/>
          </w:tcPr>
          <w:p w14:paraId="6F8E178D"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nil"/>
              <w:right w:val="nil"/>
            </w:tcBorders>
            <w:shd w:val="clear" w:color="auto" w:fill="auto"/>
            <w:hideMark/>
          </w:tcPr>
          <w:p w14:paraId="392A6798"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nil"/>
              <w:right w:val="nil"/>
            </w:tcBorders>
            <w:shd w:val="clear" w:color="auto" w:fill="auto"/>
            <w:hideMark/>
          </w:tcPr>
          <w:p w14:paraId="2AD5174C"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Advanced heart failure</w:t>
            </w:r>
          </w:p>
        </w:tc>
        <w:tc>
          <w:tcPr>
            <w:tcW w:w="2600" w:type="dxa"/>
            <w:tcBorders>
              <w:top w:val="nil"/>
              <w:left w:val="nil"/>
              <w:bottom w:val="nil"/>
              <w:right w:val="nil"/>
            </w:tcBorders>
            <w:shd w:val="clear" w:color="auto" w:fill="auto"/>
            <w:hideMark/>
          </w:tcPr>
          <w:p w14:paraId="4BEB99B9"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Hospitalization with heart failure-related diagnosis or procedure code in previous 2 months</w:t>
            </w:r>
          </w:p>
        </w:tc>
      </w:tr>
      <w:tr w:rsidR="005468BD" w:rsidRPr="008D75E5" w14:paraId="00FCEF51" w14:textId="77777777" w:rsidTr="005468BD">
        <w:trPr>
          <w:trHeight w:val="3300"/>
        </w:trPr>
        <w:tc>
          <w:tcPr>
            <w:tcW w:w="320" w:type="dxa"/>
            <w:tcBorders>
              <w:top w:val="nil"/>
              <w:left w:val="nil"/>
              <w:bottom w:val="single" w:sz="4" w:space="0" w:color="auto"/>
              <w:right w:val="nil"/>
            </w:tcBorders>
            <w:shd w:val="clear" w:color="auto" w:fill="E7E6E6" w:themeFill="background2"/>
            <w:hideMark/>
          </w:tcPr>
          <w:p w14:paraId="30D62E4F"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 </w:t>
            </w:r>
          </w:p>
        </w:tc>
        <w:tc>
          <w:tcPr>
            <w:tcW w:w="3340" w:type="dxa"/>
            <w:tcBorders>
              <w:top w:val="nil"/>
              <w:left w:val="nil"/>
              <w:bottom w:val="single" w:sz="4" w:space="0" w:color="auto"/>
              <w:right w:val="nil"/>
            </w:tcBorders>
            <w:shd w:val="clear" w:color="auto" w:fill="E7E6E6" w:themeFill="background2"/>
            <w:hideMark/>
          </w:tcPr>
          <w:p w14:paraId="23BB614C"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Living-donor transplant scheduled within 12 months; Scheduled to switch to PD or home HD; Current active malignancy; Chronic liver disease and/or screening ALT or AST &gt;3 × ULN; Pregnancy or breast feeding; History of acquired iron overload; Previous severe hypersensitivity reactions to IV iron sucrose; Compromised ability to comply with study procedures</w:t>
            </w:r>
          </w:p>
        </w:tc>
        <w:tc>
          <w:tcPr>
            <w:tcW w:w="1830" w:type="dxa"/>
            <w:tcBorders>
              <w:top w:val="nil"/>
              <w:left w:val="nil"/>
              <w:bottom w:val="single" w:sz="4" w:space="0" w:color="auto"/>
              <w:right w:val="nil"/>
            </w:tcBorders>
            <w:shd w:val="clear" w:color="auto" w:fill="E7E6E6" w:themeFill="background2"/>
            <w:hideMark/>
          </w:tcPr>
          <w:p w14:paraId="669056DB"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 restriction</w:t>
            </w:r>
          </w:p>
        </w:tc>
        <w:tc>
          <w:tcPr>
            <w:tcW w:w="2070" w:type="dxa"/>
            <w:tcBorders>
              <w:top w:val="nil"/>
              <w:left w:val="nil"/>
              <w:bottom w:val="single" w:sz="4" w:space="0" w:color="auto"/>
              <w:right w:val="nil"/>
            </w:tcBorders>
            <w:shd w:val="clear" w:color="auto" w:fill="E7E6E6" w:themeFill="background2"/>
            <w:hideMark/>
          </w:tcPr>
          <w:p w14:paraId="4A60FCE1"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w:t>
            </w:r>
            <w:r>
              <w:rPr>
                <w:rFonts w:ascii="Calibri" w:eastAsia="Times New Roman" w:hAnsi="Calibri" w:cs="Calibri"/>
                <w:color w:val="000000"/>
              </w:rPr>
              <w:t>/A</w:t>
            </w:r>
          </w:p>
        </w:tc>
        <w:tc>
          <w:tcPr>
            <w:tcW w:w="2700" w:type="dxa"/>
            <w:gridSpan w:val="2"/>
            <w:tcBorders>
              <w:top w:val="nil"/>
              <w:left w:val="nil"/>
              <w:bottom w:val="single" w:sz="4" w:space="0" w:color="auto"/>
              <w:right w:val="nil"/>
            </w:tcBorders>
            <w:shd w:val="clear" w:color="auto" w:fill="E7E6E6" w:themeFill="background2"/>
            <w:hideMark/>
          </w:tcPr>
          <w:p w14:paraId="05D21E1B"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None; unable to further excluded based on these criteria due to data limitations</w:t>
            </w:r>
          </w:p>
        </w:tc>
        <w:tc>
          <w:tcPr>
            <w:tcW w:w="2600" w:type="dxa"/>
            <w:tcBorders>
              <w:top w:val="nil"/>
              <w:left w:val="nil"/>
              <w:bottom w:val="single" w:sz="4" w:space="0" w:color="auto"/>
              <w:right w:val="nil"/>
            </w:tcBorders>
            <w:shd w:val="clear" w:color="auto" w:fill="E7E6E6" w:themeFill="background2"/>
            <w:hideMark/>
          </w:tcPr>
          <w:p w14:paraId="68D9A788" w14:textId="77777777" w:rsidR="005468BD" w:rsidRPr="008D75E5" w:rsidRDefault="005468BD" w:rsidP="005468BD">
            <w:pPr>
              <w:spacing w:after="0" w:line="240" w:lineRule="auto"/>
              <w:rPr>
                <w:rFonts w:ascii="Calibri" w:eastAsia="Times New Roman" w:hAnsi="Calibri" w:cs="Calibri"/>
                <w:color w:val="000000"/>
              </w:rPr>
            </w:pPr>
            <w:r w:rsidRPr="008D75E5">
              <w:rPr>
                <w:rFonts w:ascii="Calibri" w:eastAsia="Times New Roman" w:hAnsi="Calibri" w:cs="Calibri"/>
                <w:color w:val="000000"/>
              </w:rPr>
              <w:t>N/A</w:t>
            </w:r>
          </w:p>
        </w:tc>
      </w:tr>
    </w:tbl>
    <w:p w14:paraId="0275A0EA" w14:textId="77777777" w:rsidR="005468BD" w:rsidRDefault="005468BD" w:rsidP="005468BD"/>
    <w:p w14:paraId="75AAE41B" w14:textId="77777777" w:rsidR="005468BD" w:rsidRDefault="005468BD" w:rsidP="005468BD">
      <w:r>
        <w:br w:type="page"/>
      </w:r>
    </w:p>
    <w:p w14:paraId="37FDE6DE" w14:textId="3557BB0D" w:rsidR="005468BD" w:rsidRDefault="005468BD" w:rsidP="005468BD">
      <w:pPr>
        <w:pStyle w:val="Heading2"/>
      </w:pPr>
      <w:r>
        <w:lastRenderedPageBreak/>
        <w:t xml:space="preserve">Table </w:t>
      </w:r>
      <w:r w:rsidR="000E459A">
        <w:t>S</w:t>
      </w:r>
      <w:r>
        <w:t>1b</w:t>
      </w:r>
    </w:p>
    <w:p w14:paraId="228E91F7" w14:textId="632CE652" w:rsidR="005468BD" w:rsidRDefault="005468BD" w:rsidP="005468BD">
      <w:r>
        <w:rPr>
          <w:b/>
        </w:rPr>
        <w:t xml:space="preserve">Title. </w:t>
      </w:r>
      <w:r>
        <w:t>Target trial protocol: Comparing treatment strategies, outcomes, and analyses for PIVOTAL trial</w:t>
      </w:r>
      <w:r w:rsidR="006669C4" w:rsidRPr="006669C4">
        <w:rPr>
          <w:vertAlign w:val="superscript"/>
        </w:rPr>
        <w:t>15</w:t>
      </w:r>
      <w:r w:rsidRPr="00924967">
        <w:t xml:space="preserve"> </w:t>
      </w:r>
      <w:r>
        <w:t>vs. target trial vs. emulated trial using the DOPPS observational data</w:t>
      </w:r>
    </w:p>
    <w:p w14:paraId="528276DD" w14:textId="77777777" w:rsidR="005468BD" w:rsidRDefault="005468BD" w:rsidP="005468BD">
      <w:r>
        <w:rPr>
          <w:b/>
        </w:rPr>
        <w:t xml:space="preserve">Legend. </w:t>
      </w:r>
      <w:r>
        <w:t>Treatment strategies, outcomes, and analyses were the same in the full DOPPS sample vs. PIVOTAL-restricted DOPPS subset. LOCF=Last observational carried forward; MI=myocardial infarction; HF=heart failure.</w:t>
      </w:r>
    </w:p>
    <w:tbl>
      <w:tblPr>
        <w:tblW w:w="12640" w:type="dxa"/>
        <w:tblLook w:val="04A0" w:firstRow="1" w:lastRow="0" w:firstColumn="1" w:lastColumn="0" w:noHBand="0" w:noVBand="1"/>
      </w:tblPr>
      <w:tblGrid>
        <w:gridCol w:w="320"/>
        <w:gridCol w:w="6640"/>
        <w:gridCol w:w="2260"/>
        <w:gridCol w:w="3420"/>
      </w:tblGrid>
      <w:tr w:rsidR="005468BD" w:rsidRPr="00B534E3" w14:paraId="5AB66D6D" w14:textId="77777777" w:rsidTr="005468BD">
        <w:trPr>
          <w:trHeight w:val="300"/>
        </w:trPr>
        <w:tc>
          <w:tcPr>
            <w:tcW w:w="320" w:type="dxa"/>
            <w:tcBorders>
              <w:top w:val="single" w:sz="4" w:space="0" w:color="auto"/>
              <w:left w:val="nil"/>
              <w:bottom w:val="single" w:sz="4" w:space="0" w:color="auto"/>
              <w:right w:val="nil"/>
            </w:tcBorders>
            <w:shd w:val="clear" w:color="auto" w:fill="auto"/>
            <w:noWrap/>
            <w:hideMark/>
          </w:tcPr>
          <w:p w14:paraId="7216D6B9" w14:textId="77777777" w:rsidR="005468BD" w:rsidRPr="00B534E3" w:rsidRDefault="005468BD" w:rsidP="005468BD">
            <w:pPr>
              <w:spacing w:after="0" w:line="240" w:lineRule="auto"/>
              <w:rPr>
                <w:rFonts w:ascii="Calibri" w:eastAsia="Times New Roman" w:hAnsi="Calibri" w:cs="Calibri"/>
                <w:b/>
                <w:bCs/>
                <w:color w:val="000000"/>
              </w:rPr>
            </w:pPr>
            <w:r w:rsidRPr="00B534E3">
              <w:rPr>
                <w:rFonts w:ascii="Calibri" w:eastAsia="Times New Roman" w:hAnsi="Calibri" w:cs="Calibri"/>
                <w:b/>
                <w:bCs/>
                <w:color w:val="000000"/>
              </w:rPr>
              <w:t> </w:t>
            </w:r>
          </w:p>
        </w:tc>
        <w:tc>
          <w:tcPr>
            <w:tcW w:w="6640" w:type="dxa"/>
            <w:tcBorders>
              <w:top w:val="single" w:sz="4" w:space="0" w:color="auto"/>
              <w:left w:val="nil"/>
              <w:bottom w:val="single" w:sz="4" w:space="0" w:color="auto"/>
              <w:right w:val="nil"/>
            </w:tcBorders>
            <w:shd w:val="clear" w:color="auto" w:fill="auto"/>
            <w:noWrap/>
            <w:vAlign w:val="bottom"/>
            <w:hideMark/>
          </w:tcPr>
          <w:p w14:paraId="71385A42" w14:textId="77777777" w:rsidR="005468BD" w:rsidRPr="00B534E3" w:rsidRDefault="005468BD" w:rsidP="005468BD">
            <w:pPr>
              <w:spacing w:after="0" w:line="240" w:lineRule="auto"/>
              <w:jc w:val="center"/>
              <w:rPr>
                <w:rFonts w:ascii="Calibri" w:eastAsia="Times New Roman" w:hAnsi="Calibri" w:cs="Calibri"/>
                <w:b/>
                <w:bCs/>
                <w:color w:val="000000"/>
              </w:rPr>
            </w:pPr>
            <w:r w:rsidRPr="00B534E3">
              <w:rPr>
                <w:rFonts w:ascii="Calibri" w:eastAsia="Times New Roman" w:hAnsi="Calibri" w:cs="Calibri"/>
                <w:b/>
                <w:bCs/>
                <w:color w:val="000000"/>
              </w:rPr>
              <w:t>PIVOTAL trial</w:t>
            </w:r>
          </w:p>
        </w:tc>
        <w:tc>
          <w:tcPr>
            <w:tcW w:w="2260" w:type="dxa"/>
            <w:tcBorders>
              <w:top w:val="single" w:sz="4" w:space="0" w:color="auto"/>
              <w:left w:val="nil"/>
              <w:bottom w:val="single" w:sz="4" w:space="0" w:color="auto"/>
              <w:right w:val="nil"/>
            </w:tcBorders>
            <w:shd w:val="clear" w:color="auto" w:fill="auto"/>
            <w:noWrap/>
            <w:vAlign w:val="bottom"/>
            <w:hideMark/>
          </w:tcPr>
          <w:p w14:paraId="19EB9B47" w14:textId="77777777" w:rsidR="005468BD" w:rsidRPr="00B534E3" w:rsidRDefault="005468BD" w:rsidP="005468BD">
            <w:pPr>
              <w:spacing w:after="0" w:line="240" w:lineRule="auto"/>
              <w:jc w:val="center"/>
              <w:rPr>
                <w:rFonts w:ascii="Calibri" w:eastAsia="Times New Roman" w:hAnsi="Calibri" w:cs="Calibri"/>
                <w:b/>
                <w:bCs/>
                <w:color w:val="000000"/>
              </w:rPr>
            </w:pPr>
            <w:r w:rsidRPr="00B534E3">
              <w:rPr>
                <w:rFonts w:ascii="Calibri" w:eastAsia="Times New Roman" w:hAnsi="Calibri" w:cs="Calibri"/>
                <w:b/>
                <w:bCs/>
                <w:color w:val="000000"/>
              </w:rPr>
              <w:t>Target trial</w:t>
            </w:r>
          </w:p>
        </w:tc>
        <w:tc>
          <w:tcPr>
            <w:tcW w:w="3420" w:type="dxa"/>
            <w:tcBorders>
              <w:top w:val="single" w:sz="4" w:space="0" w:color="auto"/>
              <w:left w:val="nil"/>
              <w:bottom w:val="single" w:sz="4" w:space="0" w:color="auto"/>
              <w:right w:val="nil"/>
            </w:tcBorders>
            <w:shd w:val="clear" w:color="auto" w:fill="auto"/>
            <w:noWrap/>
            <w:vAlign w:val="bottom"/>
            <w:hideMark/>
          </w:tcPr>
          <w:p w14:paraId="7EB0ABA9" w14:textId="77777777" w:rsidR="005468BD" w:rsidRPr="00B534E3" w:rsidRDefault="005468BD" w:rsidP="005468BD">
            <w:pPr>
              <w:spacing w:after="0" w:line="240" w:lineRule="auto"/>
              <w:jc w:val="center"/>
              <w:rPr>
                <w:rFonts w:ascii="Calibri" w:eastAsia="Times New Roman" w:hAnsi="Calibri" w:cs="Calibri"/>
                <w:b/>
                <w:bCs/>
                <w:color w:val="000000"/>
              </w:rPr>
            </w:pPr>
            <w:r w:rsidRPr="00B534E3">
              <w:rPr>
                <w:rFonts w:ascii="Calibri" w:eastAsia="Times New Roman" w:hAnsi="Calibri" w:cs="Calibri"/>
                <w:b/>
                <w:bCs/>
                <w:color w:val="000000"/>
              </w:rPr>
              <w:t>Emulation in DOPPS</w:t>
            </w:r>
          </w:p>
        </w:tc>
      </w:tr>
      <w:tr w:rsidR="005468BD" w:rsidRPr="00B534E3" w14:paraId="4C42008D" w14:textId="77777777" w:rsidTr="005468BD">
        <w:trPr>
          <w:trHeight w:val="300"/>
        </w:trPr>
        <w:tc>
          <w:tcPr>
            <w:tcW w:w="6960" w:type="dxa"/>
            <w:gridSpan w:val="2"/>
            <w:tcBorders>
              <w:top w:val="nil"/>
              <w:left w:val="nil"/>
              <w:bottom w:val="nil"/>
              <w:right w:val="nil"/>
            </w:tcBorders>
            <w:shd w:val="clear" w:color="auto" w:fill="auto"/>
            <w:noWrap/>
            <w:hideMark/>
          </w:tcPr>
          <w:p w14:paraId="2390D254" w14:textId="77777777" w:rsidR="005468BD" w:rsidRPr="00B534E3" w:rsidRDefault="005468BD" w:rsidP="005468BD">
            <w:pPr>
              <w:spacing w:after="0" w:line="240" w:lineRule="auto"/>
              <w:rPr>
                <w:rFonts w:ascii="Calibri" w:eastAsia="Times New Roman" w:hAnsi="Calibri" w:cs="Calibri"/>
                <w:b/>
                <w:bCs/>
                <w:color w:val="000000"/>
              </w:rPr>
            </w:pPr>
            <w:r w:rsidRPr="00B534E3">
              <w:rPr>
                <w:rFonts w:ascii="Calibri" w:eastAsia="Times New Roman" w:hAnsi="Calibri" w:cs="Calibri"/>
                <w:b/>
                <w:bCs/>
                <w:color w:val="000000"/>
              </w:rPr>
              <w:t>Treatment strategies</w:t>
            </w:r>
          </w:p>
        </w:tc>
        <w:tc>
          <w:tcPr>
            <w:tcW w:w="2260" w:type="dxa"/>
            <w:tcBorders>
              <w:top w:val="nil"/>
              <w:left w:val="nil"/>
              <w:bottom w:val="nil"/>
              <w:right w:val="nil"/>
            </w:tcBorders>
            <w:shd w:val="clear" w:color="auto" w:fill="auto"/>
            <w:noWrap/>
            <w:vAlign w:val="bottom"/>
            <w:hideMark/>
          </w:tcPr>
          <w:p w14:paraId="05E1B14B" w14:textId="77777777" w:rsidR="005468BD" w:rsidRPr="00B534E3" w:rsidRDefault="005468BD" w:rsidP="005468BD">
            <w:pPr>
              <w:spacing w:after="0" w:line="240" w:lineRule="auto"/>
              <w:rPr>
                <w:rFonts w:ascii="Calibri" w:eastAsia="Times New Roman" w:hAnsi="Calibri" w:cs="Calibri"/>
                <w:b/>
                <w:bCs/>
                <w:color w:val="000000"/>
              </w:rPr>
            </w:pPr>
          </w:p>
        </w:tc>
        <w:tc>
          <w:tcPr>
            <w:tcW w:w="3420" w:type="dxa"/>
            <w:tcBorders>
              <w:top w:val="nil"/>
              <w:left w:val="nil"/>
              <w:bottom w:val="nil"/>
              <w:right w:val="nil"/>
            </w:tcBorders>
            <w:shd w:val="clear" w:color="auto" w:fill="auto"/>
            <w:noWrap/>
            <w:vAlign w:val="bottom"/>
            <w:hideMark/>
          </w:tcPr>
          <w:p w14:paraId="3E5B3661" w14:textId="77777777" w:rsidR="005468BD" w:rsidRPr="00B534E3" w:rsidRDefault="005468BD" w:rsidP="005468BD">
            <w:pPr>
              <w:spacing w:after="0" w:line="240" w:lineRule="auto"/>
              <w:jc w:val="center"/>
              <w:rPr>
                <w:rFonts w:ascii="Times New Roman" w:eastAsia="Times New Roman" w:hAnsi="Times New Roman" w:cs="Times New Roman"/>
                <w:sz w:val="20"/>
                <w:szCs w:val="20"/>
              </w:rPr>
            </w:pPr>
          </w:p>
        </w:tc>
      </w:tr>
      <w:tr w:rsidR="005468BD" w:rsidRPr="00B534E3" w14:paraId="440DD02D" w14:textId="77777777" w:rsidTr="005468BD">
        <w:trPr>
          <w:trHeight w:val="2100"/>
        </w:trPr>
        <w:tc>
          <w:tcPr>
            <w:tcW w:w="320" w:type="dxa"/>
            <w:tcBorders>
              <w:top w:val="nil"/>
              <w:left w:val="nil"/>
              <w:bottom w:val="nil"/>
              <w:right w:val="nil"/>
            </w:tcBorders>
            <w:shd w:val="clear" w:color="000000" w:fill="E7E6E6"/>
            <w:hideMark/>
          </w:tcPr>
          <w:p w14:paraId="1B1C0ED8"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 </w:t>
            </w:r>
          </w:p>
        </w:tc>
        <w:tc>
          <w:tcPr>
            <w:tcW w:w="6640" w:type="dxa"/>
            <w:tcBorders>
              <w:top w:val="nil"/>
              <w:left w:val="nil"/>
              <w:bottom w:val="nil"/>
              <w:right w:val="nil"/>
            </w:tcBorders>
            <w:shd w:val="clear" w:color="000000" w:fill="E7E6E6"/>
            <w:hideMark/>
          </w:tcPr>
          <w:p w14:paraId="1585972D" w14:textId="77777777" w:rsidR="0014454A" w:rsidRDefault="0014454A" w:rsidP="0014454A">
            <w:pPr>
              <w:spacing w:after="0" w:line="240" w:lineRule="auto"/>
              <w:rPr>
                <w:rFonts w:ascii="Calibri" w:eastAsia="Times New Roman" w:hAnsi="Calibri" w:cs="Calibri"/>
                <w:color w:val="000000"/>
              </w:rPr>
            </w:pPr>
            <w:r w:rsidRPr="0014454A">
              <w:rPr>
                <w:rFonts w:ascii="Calibri" w:eastAsia="Times New Roman" w:hAnsi="Calibri" w:cs="Calibri"/>
                <w:color w:val="000000"/>
                <w:u w:val="single"/>
              </w:rPr>
              <w:t>IV iron</w:t>
            </w:r>
            <w:r w:rsidRPr="0014454A">
              <w:rPr>
                <w:rFonts w:ascii="Calibri" w:eastAsia="Times New Roman" w:hAnsi="Calibri" w:cs="Calibri"/>
                <w:color w:val="000000"/>
              </w:rPr>
              <w:t xml:space="preserve">: </w:t>
            </w:r>
          </w:p>
          <w:p w14:paraId="1CBCED21" w14:textId="54FD53D3" w:rsidR="0014454A" w:rsidRDefault="0014454A" w:rsidP="0014454A">
            <w:pPr>
              <w:spacing w:after="0" w:line="240" w:lineRule="auto"/>
              <w:rPr>
                <w:rFonts w:ascii="Calibri" w:eastAsia="Times New Roman" w:hAnsi="Calibri" w:cs="Calibri"/>
                <w:color w:val="000000"/>
              </w:rPr>
            </w:pPr>
            <w:r w:rsidRPr="0014454A">
              <w:rPr>
                <w:rFonts w:ascii="Calibri" w:eastAsia="Times New Roman" w:hAnsi="Calibri" w:cs="Calibri"/>
                <w:b/>
                <w:color w:val="000000"/>
              </w:rPr>
              <w:t>High dose</w:t>
            </w:r>
            <w:r w:rsidRPr="0014454A">
              <w:rPr>
                <w:rFonts w:ascii="Calibri" w:eastAsia="Times New Roman" w:hAnsi="Calibri" w:cs="Calibri"/>
                <w:color w:val="000000"/>
              </w:rPr>
              <w:t xml:space="preserve">: Receive IV iron sucrose 200 mg during each of the 3 dialysis sessions at the start of the study, and during each of the first 2 dialysis sessions of the week following the monthly blood tests for all subsequent months (i.e., 400 mg per month). If monthly testing demonstrated ferritin &gt; 700 </w:t>
            </w:r>
            <w:proofErr w:type="spellStart"/>
            <w:r w:rsidRPr="0014454A">
              <w:rPr>
                <w:rFonts w:ascii="Calibri" w:eastAsia="Times New Roman" w:hAnsi="Calibri" w:cs="Calibri"/>
                <w:color w:val="000000"/>
              </w:rPr>
              <w:t>μg</w:t>
            </w:r>
            <w:proofErr w:type="spellEnd"/>
            <w:r w:rsidRPr="0014454A">
              <w:rPr>
                <w:rFonts w:ascii="Calibri" w:eastAsia="Times New Roman" w:hAnsi="Calibri" w:cs="Calibri"/>
                <w:color w:val="000000"/>
              </w:rPr>
              <w:t>/L and/or TSAT ≥40%, IV i</w:t>
            </w:r>
            <w:r>
              <w:rPr>
                <w:rFonts w:ascii="Calibri" w:eastAsia="Times New Roman" w:hAnsi="Calibri" w:cs="Calibri"/>
                <w:color w:val="000000"/>
              </w:rPr>
              <w:t>ron was withheld for the month.</w:t>
            </w:r>
          </w:p>
          <w:p w14:paraId="1E724458" w14:textId="704B8868" w:rsidR="005468BD" w:rsidRPr="00B534E3" w:rsidRDefault="0014454A" w:rsidP="0014454A">
            <w:pPr>
              <w:spacing w:after="0" w:line="240" w:lineRule="auto"/>
              <w:rPr>
                <w:rFonts w:ascii="Calibri" w:eastAsia="Times New Roman" w:hAnsi="Calibri" w:cs="Calibri"/>
                <w:color w:val="000000"/>
              </w:rPr>
            </w:pPr>
            <w:r w:rsidRPr="0014454A">
              <w:rPr>
                <w:rFonts w:ascii="Calibri" w:eastAsia="Times New Roman" w:hAnsi="Calibri" w:cs="Calibri"/>
                <w:b/>
                <w:color w:val="000000"/>
              </w:rPr>
              <w:t>Low dose</w:t>
            </w:r>
            <w:r w:rsidRPr="0014454A">
              <w:rPr>
                <w:rFonts w:ascii="Calibri" w:eastAsia="Times New Roman" w:hAnsi="Calibri" w:cs="Calibri"/>
                <w:color w:val="000000"/>
              </w:rPr>
              <w:t xml:space="preserve">: Receive iron based on a pre-specified dosing schema, which permitted the administration of iron only if patients were deemed “iron deficient” as assessed by serum ferritin levels and TSAT. If monthly testing demonstrated (1) ferritin &gt; 200 </w:t>
            </w:r>
            <w:proofErr w:type="spellStart"/>
            <w:r w:rsidRPr="0014454A">
              <w:rPr>
                <w:rFonts w:ascii="Calibri" w:eastAsia="Times New Roman" w:hAnsi="Calibri" w:cs="Calibri"/>
                <w:color w:val="000000"/>
              </w:rPr>
              <w:t>μg</w:t>
            </w:r>
            <w:proofErr w:type="spellEnd"/>
            <w:r w:rsidRPr="0014454A">
              <w:rPr>
                <w:rFonts w:ascii="Calibri" w:eastAsia="Times New Roman" w:hAnsi="Calibri" w:cs="Calibri"/>
                <w:color w:val="000000"/>
              </w:rPr>
              <w:t xml:space="preserve">/L and TSAT &gt; 20%, (2) ferritin &gt; 700 </w:t>
            </w:r>
            <w:proofErr w:type="spellStart"/>
            <w:r w:rsidRPr="0014454A">
              <w:rPr>
                <w:rFonts w:ascii="Calibri" w:eastAsia="Times New Roman" w:hAnsi="Calibri" w:cs="Calibri"/>
                <w:color w:val="000000"/>
              </w:rPr>
              <w:t>μg</w:t>
            </w:r>
            <w:proofErr w:type="spellEnd"/>
            <w:r w:rsidRPr="0014454A">
              <w:rPr>
                <w:rFonts w:ascii="Calibri" w:eastAsia="Times New Roman" w:hAnsi="Calibri" w:cs="Calibri"/>
                <w:color w:val="000000"/>
              </w:rPr>
              <w:t xml:space="preserve">/L, or (3) TSAT ≥40%, iron was not administered that month. Provided that TSAT was &lt; 40%, patients with ferritin &lt; 100 </w:t>
            </w:r>
            <w:proofErr w:type="spellStart"/>
            <w:r w:rsidRPr="0014454A">
              <w:rPr>
                <w:rFonts w:ascii="Calibri" w:eastAsia="Times New Roman" w:hAnsi="Calibri" w:cs="Calibri"/>
                <w:color w:val="000000"/>
              </w:rPr>
              <w:t>μg</w:t>
            </w:r>
            <w:proofErr w:type="spellEnd"/>
            <w:r w:rsidRPr="0014454A">
              <w:rPr>
                <w:rFonts w:ascii="Calibri" w:eastAsia="Times New Roman" w:hAnsi="Calibri" w:cs="Calibri"/>
                <w:color w:val="000000"/>
              </w:rPr>
              <w:t xml:space="preserve">/L received iron sucrose 200 mg during the first 2 dialysis sessions of the week; if ferritin was 100–200 </w:t>
            </w:r>
            <w:proofErr w:type="spellStart"/>
            <w:r w:rsidRPr="0014454A">
              <w:rPr>
                <w:rFonts w:ascii="Calibri" w:eastAsia="Times New Roman" w:hAnsi="Calibri" w:cs="Calibri"/>
                <w:color w:val="000000"/>
              </w:rPr>
              <w:t>μg</w:t>
            </w:r>
            <w:proofErr w:type="spellEnd"/>
            <w:r w:rsidRPr="0014454A">
              <w:rPr>
                <w:rFonts w:ascii="Calibri" w:eastAsia="Times New Roman" w:hAnsi="Calibri" w:cs="Calibri"/>
                <w:color w:val="000000"/>
              </w:rPr>
              <w:t xml:space="preserve">/L, it was administered only during the first dialysis session of the week. Patients with ferritin levels 201–700 </w:t>
            </w:r>
            <w:proofErr w:type="spellStart"/>
            <w:r w:rsidRPr="0014454A">
              <w:rPr>
                <w:rFonts w:ascii="Calibri" w:eastAsia="Times New Roman" w:hAnsi="Calibri" w:cs="Calibri"/>
                <w:color w:val="000000"/>
              </w:rPr>
              <w:t>μg</w:t>
            </w:r>
            <w:proofErr w:type="spellEnd"/>
            <w:r w:rsidRPr="0014454A">
              <w:rPr>
                <w:rFonts w:ascii="Calibri" w:eastAsia="Times New Roman" w:hAnsi="Calibri" w:cs="Calibri"/>
                <w:color w:val="000000"/>
              </w:rPr>
              <w:t>/L and TSAT ≤20% received IV iron sucrose 100 mg during the first dialysis session of the week.</w:t>
            </w:r>
          </w:p>
        </w:tc>
        <w:tc>
          <w:tcPr>
            <w:tcW w:w="2260" w:type="dxa"/>
            <w:tcBorders>
              <w:top w:val="nil"/>
              <w:left w:val="nil"/>
              <w:bottom w:val="nil"/>
              <w:right w:val="nil"/>
            </w:tcBorders>
            <w:shd w:val="clear" w:color="000000" w:fill="E7E6E6"/>
            <w:hideMark/>
          </w:tcPr>
          <w:p w14:paraId="20B4AF93" w14:textId="5FC50CE2" w:rsidR="005468BD" w:rsidRPr="00B534E3" w:rsidRDefault="008C4DAE" w:rsidP="005468BD">
            <w:pPr>
              <w:spacing w:after="0" w:line="240" w:lineRule="auto"/>
              <w:rPr>
                <w:rFonts w:ascii="Calibri" w:eastAsia="Times New Roman" w:hAnsi="Calibri" w:cs="Calibri"/>
                <w:color w:val="000000"/>
              </w:rPr>
            </w:pPr>
            <w:r>
              <w:rPr>
                <w:rFonts w:ascii="Calibri" w:eastAsia="Times New Roman" w:hAnsi="Calibri" w:cs="Calibri"/>
                <w:color w:val="000000"/>
              </w:rPr>
              <w:t>See Table 1</w:t>
            </w:r>
          </w:p>
        </w:tc>
        <w:tc>
          <w:tcPr>
            <w:tcW w:w="3420" w:type="dxa"/>
            <w:tcBorders>
              <w:top w:val="nil"/>
              <w:left w:val="nil"/>
              <w:bottom w:val="nil"/>
              <w:right w:val="nil"/>
            </w:tcBorders>
            <w:shd w:val="clear" w:color="000000" w:fill="E7E6E6"/>
            <w:hideMark/>
          </w:tcPr>
          <w:p w14:paraId="4EC05871"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A monthly dose of iron was assigned to patients based on the algorithm illustrated in Table 2, with the dose only dependent on the value of TSAT and ferritin in the previous month (LOCF up to 2 months)</w:t>
            </w:r>
          </w:p>
        </w:tc>
      </w:tr>
      <w:tr w:rsidR="005468BD" w:rsidRPr="00B534E3" w14:paraId="28344900" w14:textId="77777777" w:rsidTr="0014454A">
        <w:trPr>
          <w:trHeight w:val="1800"/>
        </w:trPr>
        <w:tc>
          <w:tcPr>
            <w:tcW w:w="320" w:type="dxa"/>
            <w:tcBorders>
              <w:top w:val="nil"/>
              <w:left w:val="nil"/>
              <w:bottom w:val="single" w:sz="4" w:space="0" w:color="auto"/>
              <w:right w:val="nil"/>
            </w:tcBorders>
            <w:shd w:val="clear" w:color="auto" w:fill="auto"/>
            <w:hideMark/>
          </w:tcPr>
          <w:p w14:paraId="60F8221E"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 </w:t>
            </w:r>
          </w:p>
        </w:tc>
        <w:tc>
          <w:tcPr>
            <w:tcW w:w="6640" w:type="dxa"/>
            <w:tcBorders>
              <w:top w:val="nil"/>
              <w:left w:val="nil"/>
              <w:bottom w:val="single" w:sz="4" w:space="0" w:color="auto"/>
              <w:right w:val="nil"/>
            </w:tcBorders>
            <w:shd w:val="clear" w:color="auto" w:fill="auto"/>
            <w:hideMark/>
          </w:tcPr>
          <w:p w14:paraId="2A41B596" w14:textId="0830F7AB" w:rsidR="005468BD" w:rsidRPr="00B534E3" w:rsidRDefault="0014454A" w:rsidP="005468BD">
            <w:pPr>
              <w:spacing w:after="0" w:line="240" w:lineRule="auto"/>
              <w:rPr>
                <w:rFonts w:ascii="Calibri" w:eastAsia="Times New Roman" w:hAnsi="Calibri" w:cs="Calibri"/>
                <w:color w:val="000000"/>
              </w:rPr>
            </w:pPr>
            <w:r w:rsidRPr="0014454A">
              <w:rPr>
                <w:rFonts w:ascii="Calibri" w:eastAsia="Times New Roman" w:hAnsi="Calibri" w:cs="Calibri"/>
                <w:color w:val="000000"/>
                <w:u w:val="single"/>
              </w:rPr>
              <w:t>ESA therapy</w:t>
            </w:r>
            <w:r w:rsidRPr="0014454A">
              <w:rPr>
                <w:rFonts w:ascii="Calibri" w:eastAsia="Times New Roman" w:hAnsi="Calibri" w:cs="Calibri"/>
                <w:color w:val="000000"/>
              </w:rPr>
              <w:t xml:space="preserve">: Clinicians were instructed to adjust the dose of ESA therapy to maintain a target hemoglobin level of 10–12 g/dL. The maximum dose of ESA allowed was 30,000 international units of </w:t>
            </w:r>
            <w:proofErr w:type="spellStart"/>
            <w:r w:rsidRPr="0014454A">
              <w:rPr>
                <w:rFonts w:ascii="Calibri" w:eastAsia="Times New Roman" w:hAnsi="Calibri" w:cs="Calibri"/>
                <w:color w:val="000000"/>
              </w:rPr>
              <w:t>epoetin</w:t>
            </w:r>
            <w:proofErr w:type="spellEnd"/>
            <w:r w:rsidRPr="0014454A">
              <w:rPr>
                <w:rFonts w:ascii="Calibri" w:eastAsia="Times New Roman" w:hAnsi="Calibri" w:cs="Calibri"/>
                <w:color w:val="000000"/>
              </w:rPr>
              <w:t xml:space="preserve"> per week (or an average of 150 </w:t>
            </w:r>
            <w:proofErr w:type="spellStart"/>
            <w:r w:rsidRPr="0014454A">
              <w:rPr>
                <w:rFonts w:ascii="Calibri" w:eastAsia="Times New Roman" w:hAnsi="Calibri" w:cs="Calibri"/>
                <w:color w:val="000000"/>
              </w:rPr>
              <w:t>μg</w:t>
            </w:r>
            <w:proofErr w:type="spellEnd"/>
            <w:r w:rsidRPr="0014454A">
              <w:rPr>
                <w:rFonts w:ascii="Calibri" w:eastAsia="Times New Roman" w:hAnsi="Calibri" w:cs="Calibri"/>
                <w:color w:val="000000"/>
              </w:rPr>
              <w:t xml:space="preserve"> per week of </w:t>
            </w:r>
            <w:proofErr w:type="spellStart"/>
            <w:r w:rsidRPr="0014454A">
              <w:rPr>
                <w:rFonts w:ascii="Calibri" w:eastAsia="Times New Roman" w:hAnsi="Calibri" w:cs="Calibri"/>
                <w:color w:val="000000"/>
              </w:rPr>
              <w:t>darbepoetin</w:t>
            </w:r>
            <w:proofErr w:type="spellEnd"/>
            <w:r w:rsidRPr="0014454A">
              <w:rPr>
                <w:rFonts w:ascii="Calibri" w:eastAsia="Times New Roman" w:hAnsi="Calibri" w:cs="Calibri"/>
                <w:color w:val="000000"/>
              </w:rPr>
              <w:t xml:space="preserve"> </w:t>
            </w:r>
            <w:proofErr w:type="spellStart"/>
            <w:r w:rsidRPr="0014454A">
              <w:rPr>
                <w:rFonts w:ascii="Calibri" w:eastAsia="Times New Roman" w:hAnsi="Calibri" w:cs="Calibri"/>
                <w:color w:val="000000"/>
              </w:rPr>
              <w:t>alfa</w:t>
            </w:r>
            <w:proofErr w:type="spellEnd"/>
            <w:r w:rsidRPr="0014454A">
              <w:rPr>
                <w:rFonts w:ascii="Calibri" w:eastAsia="Times New Roman" w:hAnsi="Calibri" w:cs="Calibri"/>
                <w:color w:val="000000"/>
              </w:rPr>
              <w:t xml:space="preserve"> or </w:t>
            </w:r>
            <w:proofErr w:type="spellStart"/>
            <w:r w:rsidRPr="0014454A">
              <w:rPr>
                <w:rFonts w:ascii="Calibri" w:eastAsia="Times New Roman" w:hAnsi="Calibri" w:cs="Calibri"/>
                <w:color w:val="000000"/>
              </w:rPr>
              <w:t>methoxypolyethylene</w:t>
            </w:r>
            <w:proofErr w:type="spellEnd"/>
            <w:r w:rsidRPr="0014454A">
              <w:rPr>
                <w:rFonts w:ascii="Calibri" w:eastAsia="Times New Roman" w:hAnsi="Calibri" w:cs="Calibri"/>
                <w:color w:val="000000"/>
              </w:rPr>
              <w:t xml:space="preserve"> glycol </w:t>
            </w:r>
            <w:proofErr w:type="spellStart"/>
            <w:r w:rsidRPr="0014454A">
              <w:rPr>
                <w:rFonts w:ascii="Calibri" w:eastAsia="Times New Roman" w:hAnsi="Calibri" w:cs="Calibri"/>
                <w:color w:val="000000"/>
              </w:rPr>
              <w:t>epoetin</w:t>
            </w:r>
            <w:proofErr w:type="spellEnd"/>
            <w:r w:rsidRPr="0014454A">
              <w:rPr>
                <w:rFonts w:ascii="Calibri" w:eastAsia="Times New Roman" w:hAnsi="Calibri" w:cs="Calibri"/>
                <w:color w:val="000000"/>
              </w:rPr>
              <w:t xml:space="preserve"> beta).</w:t>
            </w:r>
          </w:p>
        </w:tc>
        <w:tc>
          <w:tcPr>
            <w:tcW w:w="2260" w:type="dxa"/>
            <w:tcBorders>
              <w:top w:val="nil"/>
              <w:left w:val="nil"/>
              <w:bottom w:val="single" w:sz="4" w:space="0" w:color="auto"/>
              <w:right w:val="nil"/>
            </w:tcBorders>
            <w:shd w:val="clear" w:color="auto" w:fill="auto"/>
            <w:hideMark/>
          </w:tcPr>
          <w:p w14:paraId="35E0096B" w14:textId="4332EAF8" w:rsidR="005468BD" w:rsidRPr="00B534E3" w:rsidRDefault="0014454A" w:rsidP="005468BD">
            <w:pPr>
              <w:spacing w:after="0" w:line="240" w:lineRule="auto"/>
              <w:rPr>
                <w:rFonts w:ascii="Calibri" w:eastAsia="Times New Roman" w:hAnsi="Calibri" w:cs="Calibri"/>
                <w:color w:val="000000"/>
              </w:rPr>
            </w:pPr>
            <w:r w:rsidRPr="0014454A">
              <w:rPr>
                <w:rFonts w:ascii="Calibri" w:eastAsia="Times New Roman" w:hAnsi="Calibri" w:cs="Calibri"/>
                <w:color w:val="000000"/>
              </w:rPr>
              <w:t>Adjust ESA dose to maintain hemoglobin levels in target range of 10-12 g/dL</w:t>
            </w:r>
          </w:p>
        </w:tc>
        <w:tc>
          <w:tcPr>
            <w:tcW w:w="3420" w:type="dxa"/>
            <w:tcBorders>
              <w:top w:val="nil"/>
              <w:left w:val="nil"/>
              <w:bottom w:val="single" w:sz="4" w:space="0" w:color="auto"/>
              <w:right w:val="nil"/>
            </w:tcBorders>
            <w:shd w:val="clear" w:color="auto" w:fill="auto"/>
            <w:hideMark/>
          </w:tcPr>
          <w:p w14:paraId="6ED6241C" w14:textId="3FE72FC3" w:rsidR="005468BD" w:rsidRPr="00B534E3" w:rsidRDefault="0014454A" w:rsidP="005468BD">
            <w:pPr>
              <w:spacing w:after="0" w:line="240" w:lineRule="auto"/>
              <w:rPr>
                <w:rFonts w:ascii="Calibri" w:eastAsia="Times New Roman" w:hAnsi="Calibri" w:cs="Calibri"/>
                <w:color w:val="000000"/>
              </w:rPr>
            </w:pPr>
            <w:r w:rsidRPr="0014454A">
              <w:rPr>
                <w:rFonts w:ascii="Calibri" w:eastAsia="Times New Roman" w:hAnsi="Calibri" w:cs="Calibri"/>
                <w:color w:val="000000"/>
              </w:rPr>
              <w:t>Treat ESA dose as a "natural course" variable, assigning ESA dose based on baseline and time-varying patient characteristics, rather than attempt to define a more formal intervention strategy</w:t>
            </w:r>
          </w:p>
        </w:tc>
      </w:tr>
      <w:tr w:rsidR="005468BD" w:rsidRPr="00B534E3" w14:paraId="65EE3535" w14:textId="77777777" w:rsidTr="005468BD">
        <w:trPr>
          <w:trHeight w:val="300"/>
        </w:trPr>
        <w:tc>
          <w:tcPr>
            <w:tcW w:w="6960" w:type="dxa"/>
            <w:gridSpan w:val="2"/>
            <w:tcBorders>
              <w:top w:val="nil"/>
              <w:left w:val="nil"/>
              <w:bottom w:val="nil"/>
              <w:right w:val="nil"/>
            </w:tcBorders>
            <w:shd w:val="clear" w:color="auto" w:fill="auto"/>
            <w:noWrap/>
            <w:hideMark/>
          </w:tcPr>
          <w:p w14:paraId="78E13E2B" w14:textId="77777777" w:rsidR="005468BD" w:rsidRPr="00B534E3" w:rsidRDefault="005468BD" w:rsidP="005468BD">
            <w:pPr>
              <w:spacing w:after="0" w:line="240" w:lineRule="auto"/>
              <w:rPr>
                <w:rFonts w:ascii="Calibri" w:eastAsia="Times New Roman" w:hAnsi="Calibri" w:cs="Calibri"/>
                <w:b/>
                <w:bCs/>
                <w:color w:val="000000"/>
              </w:rPr>
            </w:pPr>
            <w:r w:rsidRPr="00B534E3">
              <w:rPr>
                <w:rFonts w:ascii="Calibri" w:eastAsia="Times New Roman" w:hAnsi="Calibri" w:cs="Calibri"/>
                <w:b/>
                <w:bCs/>
                <w:color w:val="000000"/>
              </w:rPr>
              <w:lastRenderedPageBreak/>
              <w:t>Outcomes</w:t>
            </w:r>
          </w:p>
        </w:tc>
        <w:tc>
          <w:tcPr>
            <w:tcW w:w="2260" w:type="dxa"/>
            <w:tcBorders>
              <w:top w:val="nil"/>
              <w:left w:val="nil"/>
              <w:bottom w:val="nil"/>
              <w:right w:val="nil"/>
            </w:tcBorders>
            <w:shd w:val="clear" w:color="auto" w:fill="auto"/>
            <w:hideMark/>
          </w:tcPr>
          <w:p w14:paraId="741AE829" w14:textId="77777777" w:rsidR="005468BD" w:rsidRPr="00B534E3" w:rsidRDefault="005468BD" w:rsidP="005468BD">
            <w:pPr>
              <w:spacing w:after="0" w:line="240" w:lineRule="auto"/>
              <w:rPr>
                <w:rFonts w:ascii="Calibri" w:eastAsia="Times New Roman" w:hAnsi="Calibri" w:cs="Calibri"/>
                <w:b/>
                <w:bCs/>
                <w:color w:val="000000"/>
              </w:rPr>
            </w:pPr>
          </w:p>
        </w:tc>
        <w:tc>
          <w:tcPr>
            <w:tcW w:w="3420" w:type="dxa"/>
            <w:tcBorders>
              <w:top w:val="nil"/>
              <w:left w:val="nil"/>
              <w:bottom w:val="nil"/>
              <w:right w:val="nil"/>
            </w:tcBorders>
            <w:shd w:val="clear" w:color="auto" w:fill="auto"/>
            <w:hideMark/>
          </w:tcPr>
          <w:p w14:paraId="47496681" w14:textId="77777777" w:rsidR="005468BD" w:rsidRPr="00B534E3" w:rsidRDefault="005468BD" w:rsidP="005468BD">
            <w:pPr>
              <w:spacing w:after="0" w:line="240" w:lineRule="auto"/>
              <w:rPr>
                <w:rFonts w:ascii="Times New Roman" w:eastAsia="Times New Roman" w:hAnsi="Times New Roman" w:cs="Times New Roman"/>
                <w:sz w:val="20"/>
                <w:szCs w:val="20"/>
              </w:rPr>
            </w:pPr>
          </w:p>
        </w:tc>
      </w:tr>
      <w:tr w:rsidR="005468BD" w:rsidRPr="00B534E3" w14:paraId="4C2D7EC3" w14:textId="77777777" w:rsidTr="005468BD">
        <w:trPr>
          <w:trHeight w:val="900"/>
        </w:trPr>
        <w:tc>
          <w:tcPr>
            <w:tcW w:w="320" w:type="dxa"/>
            <w:tcBorders>
              <w:top w:val="nil"/>
              <w:left w:val="nil"/>
              <w:bottom w:val="nil"/>
              <w:right w:val="nil"/>
            </w:tcBorders>
            <w:shd w:val="clear" w:color="000000" w:fill="E7E6E6"/>
            <w:hideMark/>
          </w:tcPr>
          <w:p w14:paraId="7E7C23FE"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 </w:t>
            </w:r>
          </w:p>
        </w:tc>
        <w:tc>
          <w:tcPr>
            <w:tcW w:w="6640" w:type="dxa"/>
            <w:tcBorders>
              <w:top w:val="nil"/>
              <w:left w:val="nil"/>
              <w:bottom w:val="nil"/>
              <w:right w:val="nil"/>
            </w:tcBorders>
            <w:shd w:val="clear" w:color="000000" w:fill="E7E6E6"/>
            <w:hideMark/>
          </w:tcPr>
          <w:p w14:paraId="7B7DBD22"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u w:val="single"/>
              </w:rPr>
              <w:t>Primary outcome</w:t>
            </w:r>
            <w:r w:rsidRPr="00B534E3">
              <w:rPr>
                <w:rFonts w:ascii="Calibri" w:eastAsia="Times New Roman" w:hAnsi="Calibri" w:cs="Calibri"/>
                <w:color w:val="000000"/>
              </w:rPr>
              <w:t>: A composite of nonfatal MI, nonfatal stroke, hospitalization for HF or death from any cause, analyzed as time-to-first event</w:t>
            </w:r>
          </w:p>
        </w:tc>
        <w:tc>
          <w:tcPr>
            <w:tcW w:w="2260" w:type="dxa"/>
            <w:tcBorders>
              <w:top w:val="nil"/>
              <w:left w:val="nil"/>
              <w:bottom w:val="nil"/>
              <w:right w:val="nil"/>
            </w:tcBorders>
            <w:shd w:val="clear" w:color="000000" w:fill="E7E6E6"/>
            <w:hideMark/>
          </w:tcPr>
          <w:p w14:paraId="21CDB6EB"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Not studied</w:t>
            </w:r>
          </w:p>
        </w:tc>
        <w:tc>
          <w:tcPr>
            <w:tcW w:w="3420" w:type="dxa"/>
            <w:tcBorders>
              <w:top w:val="nil"/>
              <w:left w:val="nil"/>
              <w:bottom w:val="nil"/>
              <w:right w:val="nil"/>
            </w:tcBorders>
            <w:shd w:val="clear" w:color="000000" w:fill="E7E6E6"/>
            <w:hideMark/>
          </w:tcPr>
          <w:p w14:paraId="6BEF08B2"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N/A</w:t>
            </w:r>
          </w:p>
        </w:tc>
      </w:tr>
      <w:tr w:rsidR="005468BD" w:rsidRPr="00B534E3" w14:paraId="7BEEB520" w14:textId="77777777" w:rsidTr="005468BD">
        <w:trPr>
          <w:trHeight w:val="600"/>
        </w:trPr>
        <w:tc>
          <w:tcPr>
            <w:tcW w:w="320" w:type="dxa"/>
            <w:tcBorders>
              <w:top w:val="nil"/>
              <w:left w:val="nil"/>
              <w:bottom w:val="nil"/>
              <w:right w:val="nil"/>
            </w:tcBorders>
            <w:shd w:val="clear" w:color="auto" w:fill="auto"/>
            <w:noWrap/>
            <w:hideMark/>
          </w:tcPr>
          <w:p w14:paraId="0864E07A" w14:textId="77777777" w:rsidR="005468BD" w:rsidRPr="00B534E3" w:rsidRDefault="005468BD" w:rsidP="005468BD">
            <w:pPr>
              <w:spacing w:after="0" w:line="240" w:lineRule="auto"/>
              <w:rPr>
                <w:rFonts w:ascii="Calibri" w:eastAsia="Times New Roman" w:hAnsi="Calibri" w:cs="Calibri"/>
                <w:color w:val="000000"/>
              </w:rPr>
            </w:pPr>
          </w:p>
        </w:tc>
        <w:tc>
          <w:tcPr>
            <w:tcW w:w="6640" w:type="dxa"/>
            <w:tcBorders>
              <w:top w:val="nil"/>
              <w:left w:val="nil"/>
              <w:bottom w:val="nil"/>
              <w:right w:val="nil"/>
            </w:tcBorders>
            <w:shd w:val="clear" w:color="auto" w:fill="auto"/>
            <w:hideMark/>
          </w:tcPr>
          <w:p w14:paraId="21044F6F"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u w:val="single"/>
              </w:rPr>
              <w:t>Secondary outcome</w:t>
            </w:r>
            <w:r w:rsidRPr="00B534E3">
              <w:rPr>
                <w:rFonts w:ascii="Calibri" w:eastAsia="Times New Roman" w:hAnsi="Calibri" w:cs="Calibri"/>
                <w:color w:val="000000"/>
              </w:rPr>
              <w:t>: All-cause mortality</w:t>
            </w:r>
          </w:p>
        </w:tc>
        <w:tc>
          <w:tcPr>
            <w:tcW w:w="2260" w:type="dxa"/>
            <w:tcBorders>
              <w:top w:val="nil"/>
              <w:left w:val="nil"/>
              <w:bottom w:val="nil"/>
              <w:right w:val="nil"/>
            </w:tcBorders>
            <w:shd w:val="clear" w:color="auto" w:fill="auto"/>
            <w:hideMark/>
          </w:tcPr>
          <w:p w14:paraId="3D68281F"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u w:val="single"/>
              </w:rPr>
              <w:t>Primary outcome</w:t>
            </w:r>
            <w:r w:rsidRPr="00B534E3">
              <w:rPr>
                <w:rFonts w:ascii="Calibri" w:eastAsia="Times New Roman" w:hAnsi="Calibri" w:cs="Calibri"/>
                <w:color w:val="000000"/>
              </w:rPr>
              <w:t>: All-cause mortality</w:t>
            </w:r>
          </w:p>
        </w:tc>
        <w:tc>
          <w:tcPr>
            <w:tcW w:w="3420" w:type="dxa"/>
            <w:tcBorders>
              <w:top w:val="nil"/>
              <w:left w:val="nil"/>
              <w:bottom w:val="nil"/>
              <w:right w:val="nil"/>
            </w:tcBorders>
            <w:shd w:val="clear" w:color="auto" w:fill="auto"/>
            <w:hideMark/>
          </w:tcPr>
          <w:p w14:paraId="5FD7FC16"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Death dates reported by study coordinator at each dialysis center</w:t>
            </w:r>
          </w:p>
        </w:tc>
      </w:tr>
      <w:tr w:rsidR="005468BD" w:rsidRPr="00B534E3" w14:paraId="4FE1237C" w14:textId="77777777" w:rsidTr="005468BD">
        <w:trPr>
          <w:trHeight w:val="2100"/>
        </w:trPr>
        <w:tc>
          <w:tcPr>
            <w:tcW w:w="320" w:type="dxa"/>
            <w:tcBorders>
              <w:top w:val="nil"/>
              <w:left w:val="nil"/>
              <w:bottom w:val="nil"/>
              <w:right w:val="nil"/>
            </w:tcBorders>
            <w:shd w:val="clear" w:color="000000" w:fill="E7E6E6"/>
            <w:hideMark/>
          </w:tcPr>
          <w:p w14:paraId="0FA7845D"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 </w:t>
            </w:r>
          </w:p>
        </w:tc>
        <w:tc>
          <w:tcPr>
            <w:tcW w:w="6640" w:type="dxa"/>
            <w:tcBorders>
              <w:top w:val="nil"/>
              <w:left w:val="nil"/>
              <w:bottom w:val="nil"/>
              <w:right w:val="nil"/>
            </w:tcBorders>
            <w:shd w:val="clear" w:color="000000" w:fill="E7E6E6"/>
            <w:hideMark/>
          </w:tcPr>
          <w:p w14:paraId="288DA174"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u w:val="single"/>
              </w:rPr>
              <w:t>Other clinical outcomes</w:t>
            </w:r>
            <w:r w:rsidRPr="00B534E3">
              <w:rPr>
                <w:rFonts w:ascii="Calibri" w:eastAsia="Times New Roman" w:hAnsi="Calibri" w:cs="Calibri"/>
                <w:color w:val="000000"/>
              </w:rPr>
              <w:t>: Total MI, stroke, hospitalization for HF and deaths, including first and recurrent events; First composite cardiovascular event (MI, stroke, and hospitalization for HF); Fatal or nonfatal MI; Fatal or nonfatal stroke; Heart failure hospitalization; Transfusion requirements; Vascular access thrombosis; All-cause hospitalization; Hospitalization for infection; Time to first and number of infection episodes</w:t>
            </w:r>
          </w:p>
        </w:tc>
        <w:tc>
          <w:tcPr>
            <w:tcW w:w="2260" w:type="dxa"/>
            <w:tcBorders>
              <w:top w:val="nil"/>
              <w:left w:val="nil"/>
              <w:bottom w:val="nil"/>
              <w:right w:val="nil"/>
            </w:tcBorders>
            <w:shd w:val="clear" w:color="000000" w:fill="E7E6E6"/>
            <w:hideMark/>
          </w:tcPr>
          <w:p w14:paraId="5C77A56C"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Not studied</w:t>
            </w:r>
          </w:p>
        </w:tc>
        <w:tc>
          <w:tcPr>
            <w:tcW w:w="3420" w:type="dxa"/>
            <w:tcBorders>
              <w:top w:val="nil"/>
              <w:left w:val="nil"/>
              <w:bottom w:val="nil"/>
              <w:right w:val="nil"/>
            </w:tcBorders>
            <w:shd w:val="clear" w:color="000000" w:fill="E7E6E6"/>
            <w:hideMark/>
          </w:tcPr>
          <w:p w14:paraId="7512089B"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N/A</w:t>
            </w:r>
          </w:p>
        </w:tc>
      </w:tr>
      <w:tr w:rsidR="005468BD" w:rsidRPr="00B534E3" w14:paraId="0B5C8212" w14:textId="77777777" w:rsidTr="005468BD">
        <w:trPr>
          <w:trHeight w:val="600"/>
        </w:trPr>
        <w:tc>
          <w:tcPr>
            <w:tcW w:w="320" w:type="dxa"/>
            <w:tcBorders>
              <w:top w:val="nil"/>
              <w:left w:val="nil"/>
              <w:bottom w:val="nil"/>
              <w:right w:val="nil"/>
            </w:tcBorders>
            <w:shd w:val="clear" w:color="auto" w:fill="auto"/>
            <w:hideMark/>
          </w:tcPr>
          <w:p w14:paraId="0B1B2B96" w14:textId="77777777" w:rsidR="005468BD" w:rsidRPr="00B534E3" w:rsidRDefault="005468BD" w:rsidP="005468BD">
            <w:pPr>
              <w:spacing w:after="0" w:line="240" w:lineRule="auto"/>
              <w:rPr>
                <w:rFonts w:ascii="Calibri" w:eastAsia="Times New Roman" w:hAnsi="Calibri" w:cs="Calibri"/>
                <w:color w:val="000000"/>
              </w:rPr>
            </w:pPr>
          </w:p>
        </w:tc>
        <w:tc>
          <w:tcPr>
            <w:tcW w:w="6640" w:type="dxa"/>
            <w:tcBorders>
              <w:top w:val="nil"/>
              <w:left w:val="nil"/>
              <w:bottom w:val="nil"/>
              <w:right w:val="nil"/>
            </w:tcBorders>
            <w:shd w:val="clear" w:color="auto" w:fill="auto"/>
            <w:hideMark/>
          </w:tcPr>
          <w:p w14:paraId="2C63BD4F"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u w:val="single"/>
              </w:rPr>
              <w:t>Quality of life outcomes</w:t>
            </w:r>
            <w:r w:rsidRPr="00B534E3">
              <w:rPr>
                <w:rFonts w:ascii="Calibri" w:eastAsia="Times New Roman" w:hAnsi="Calibri" w:cs="Calibri"/>
                <w:color w:val="000000"/>
              </w:rPr>
              <w:t>: EuroQol-5D (EQ-5D), Kidney Disease Quality of Life (KDQOL) Instrument</w:t>
            </w:r>
          </w:p>
        </w:tc>
        <w:tc>
          <w:tcPr>
            <w:tcW w:w="2260" w:type="dxa"/>
            <w:tcBorders>
              <w:top w:val="nil"/>
              <w:left w:val="nil"/>
              <w:bottom w:val="nil"/>
              <w:right w:val="nil"/>
            </w:tcBorders>
            <w:shd w:val="clear" w:color="auto" w:fill="auto"/>
            <w:hideMark/>
          </w:tcPr>
          <w:p w14:paraId="096252CC"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Not studied</w:t>
            </w:r>
          </w:p>
        </w:tc>
        <w:tc>
          <w:tcPr>
            <w:tcW w:w="3420" w:type="dxa"/>
            <w:tcBorders>
              <w:top w:val="nil"/>
              <w:left w:val="nil"/>
              <w:bottom w:val="nil"/>
              <w:right w:val="nil"/>
            </w:tcBorders>
            <w:shd w:val="clear" w:color="auto" w:fill="auto"/>
            <w:hideMark/>
          </w:tcPr>
          <w:p w14:paraId="1C0F2072"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N/A</w:t>
            </w:r>
          </w:p>
        </w:tc>
      </w:tr>
      <w:tr w:rsidR="005468BD" w:rsidRPr="00B534E3" w14:paraId="62699A68" w14:textId="77777777" w:rsidTr="005468BD">
        <w:trPr>
          <w:trHeight w:val="1200"/>
        </w:trPr>
        <w:tc>
          <w:tcPr>
            <w:tcW w:w="320" w:type="dxa"/>
            <w:tcBorders>
              <w:top w:val="nil"/>
              <w:left w:val="nil"/>
              <w:bottom w:val="nil"/>
              <w:right w:val="nil"/>
            </w:tcBorders>
            <w:shd w:val="clear" w:color="000000" w:fill="E7E6E6"/>
            <w:hideMark/>
          </w:tcPr>
          <w:p w14:paraId="76F6990B"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 </w:t>
            </w:r>
          </w:p>
        </w:tc>
        <w:tc>
          <w:tcPr>
            <w:tcW w:w="6640" w:type="dxa"/>
            <w:tcBorders>
              <w:top w:val="nil"/>
              <w:left w:val="nil"/>
              <w:bottom w:val="nil"/>
              <w:right w:val="nil"/>
            </w:tcBorders>
            <w:shd w:val="clear" w:color="000000" w:fill="E7E6E6"/>
            <w:hideMark/>
          </w:tcPr>
          <w:p w14:paraId="6D5A3726"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u w:val="single"/>
              </w:rPr>
              <w:t>Medication outcomes</w:t>
            </w:r>
            <w:r w:rsidRPr="00B534E3">
              <w:rPr>
                <w:rFonts w:ascii="Calibri" w:eastAsia="Times New Roman" w:hAnsi="Calibri" w:cs="Calibri"/>
                <w:color w:val="000000"/>
              </w:rPr>
              <w:t>: ESA dose requirements; Cumulative dose of iron</w:t>
            </w:r>
          </w:p>
        </w:tc>
        <w:tc>
          <w:tcPr>
            <w:tcW w:w="2260" w:type="dxa"/>
            <w:tcBorders>
              <w:top w:val="nil"/>
              <w:left w:val="nil"/>
              <w:bottom w:val="nil"/>
              <w:right w:val="nil"/>
            </w:tcBorders>
            <w:shd w:val="clear" w:color="000000" w:fill="E7E6E6"/>
            <w:hideMark/>
          </w:tcPr>
          <w:p w14:paraId="3902AC42"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ESA dose after 12 months; Cumulative iron dose over the 12 months</w:t>
            </w:r>
          </w:p>
        </w:tc>
        <w:tc>
          <w:tcPr>
            <w:tcW w:w="3420" w:type="dxa"/>
            <w:tcBorders>
              <w:top w:val="nil"/>
              <w:left w:val="nil"/>
              <w:bottom w:val="nil"/>
              <w:right w:val="nil"/>
            </w:tcBorders>
            <w:shd w:val="clear" w:color="000000" w:fill="E7E6E6"/>
            <w:hideMark/>
          </w:tcPr>
          <w:p w14:paraId="369738C4"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Median ESA dose during the 12th month of follow-up; Mean cumulative iron received over the 12 months of follow-up</w:t>
            </w:r>
          </w:p>
        </w:tc>
      </w:tr>
      <w:tr w:rsidR="005468BD" w:rsidRPr="00B534E3" w14:paraId="3A03FB7E" w14:textId="77777777" w:rsidTr="005468BD">
        <w:trPr>
          <w:trHeight w:val="2100"/>
        </w:trPr>
        <w:tc>
          <w:tcPr>
            <w:tcW w:w="320" w:type="dxa"/>
            <w:tcBorders>
              <w:top w:val="nil"/>
              <w:left w:val="nil"/>
              <w:bottom w:val="single" w:sz="4" w:space="0" w:color="auto"/>
              <w:right w:val="nil"/>
            </w:tcBorders>
            <w:shd w:val="clear" w:color="auto" w:fill="auto"/>
            <w:hideMark/>
          </w:tcPr>
          <w:p w14:paraId="08557482"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 </w:t>
            </w:r>
          </w:p>
        </w:tc>
        <w:tc>
          <w:tcPr>
            <w:tcW w:w="6640" w:type="dxa"/>
            <w:tcBorders>
              <w:top w:val="nil"/>
              <w:left w:val="nil"/>
              <w:bottom w:val="single" w:sz="4" w:space="0" w:color="auto"/>
              <w:right w:val="nil"/>
            </w:tcBorders>
            <w:shd w:val="clear" w:color="auto" w:fill="auto"/>
            <w:hideMark/>
          </w:tcPr>
          <w:p w14:paraId="516341D8"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u w:val="single"/>
              </w:rPr>
              <w:t>Laboratory outcomes</w:t>
            </w:r>
            <w:r w:rsidRPr="00B534E3">
              <w:rPr>
                <w:rFonts w:ascii="Calibri" w:eastAsia="Times New Roman" w:hAnsi="Calibri" w:cs="Calibri"/>
                <w:color w:val="000000"/>
              </w:rPr>
              <w:t>: hemoglobin, serum ferritin, TSAT, platelet count, serum albumin</w:t>
            </w:r>
          </w:p>
        </w:tc>
        <w:tc>
          <w:tcPr>
            <w:tcW w:w="2260" w:type="dxa"/>
            <w:tcBorders>
              <w:top w:val="nil"/>
              <w:left w:val="nil"/>
              <w:bottom w:val="single" w:sz="4" w:space="0" w:color="auto"/>
              <w:right w:val="nil"/>
            </w:tcBorders>
            <w:shd w:val="clear" w:color="auto" w:fill="auto"/>
            <w:hideMark/>
          </w:tcPr>
          <w:p w14:paraId="67E1D229"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Levels of hemoglobin, ferritin, and TSAT after 12 months; serum albumin not an outcome of interest, and limited platelet count data in DOPPS</w:t>
            </w:r>
          </w:p>
        </w:tc>
        <w:tc>
          <w:tcPr>
            <w:tcW w:w="3420" w:type="dxa"/>
            <w:tcBorders>
              <w:top w:val="nil"/>
              <w:left w:val="nil"/>
              <w:bottom w:val="single" w:sz="4" w:space="0" w:color="auto"/>
              <w:right w:val="nil"/>
            </w:tcBorders>
            <w:shd w:val="clear" w:color="auto" w:fill="auto"/>
            <w:hideMark/>
          </w:tcPr>
          <w:p w14:paraId="5D484ECD"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Trajectories of mean hemoglobin, median ferritin, and median TSAT over the 12 months of follow-up, with a focus on values during the 12th month when the population has reached a steady-state</w:t>
            </w:r>
          </w:p>
        </w:tc>
      </w:tr>
      <w:tr w:rsidR="005468BD" w:rsidRPr="00B534E3" w14:paraId="62D48679" w14:textId="77777777" w:rsidTr="005468BD">
        <w:trPr>
          <w:trHeight w:val="300"/>
        </w:trPr>
        <w:tc>
          <w:tcPr>
            <w:tcW w:w="6960" w:type="dxa"/>
            <w:gridSpan w:val="2"/>
            <w:tcBorders>
              <w:top w:val="nil"/>
              <w:left w:val="nil"/>
              <w:bottom w:val="nil"/>
              <w:right w:val="nil"/>
            </w:tcBorders>
            <w:shd w:val="clear" w:color="auto" w:fill="auto"/>
            <w:noWrap/>
            <w:hideMark/>
          </w:tcPr>
          <w:p w14:paraId="45D3F5A0" w14:textId="77777777" w:rsidR="005468BD" w:rsidRPr="00B534E3" w:rsidRDefault="005468BD" w:rsidP="005468BD">
            <w:pPr>
              <w:spacing w:after="0" w:line="240" w:lineRule="auto"/>
              <w:rPr>
                <w:rFonts w:ascii="Calibri" w:eastAsia="Times New Roman" w:hAnsi="Calibri" w:cs="Calibri"/>
                <w:b/>
                <w:bCs/>
                <w:color w:val="000000"/>
              </w:rPr>
            </w:pPr>
            <w:r w:rsidRPr="00B534E3">
              <w:rPr>
                <w:rFonts w:ascii="Calibri" w:eastAsia="Times New Roman" w:hAnsi="Calibri" w:cs="Calibri"/>
                <w:b/>
                <w:bCs/>
                <w:color w:val="000000"/>
              </w:rPr>
              <w:t>Follow-up</w:t>
            </w:r>
          </w:p>
        </w:tc>
        <w:tc>
          <w:tcPr>
            <w:tcW w:w="2260" w:type="dxa"/>
            <w:tcBorders>
              <w:top w:val="nil"/>
              <w:left w:val="nil"/>
              <w:bottom w:val="nil"/>
              <w:right w:val="nil"/>
            </w:tcBorders>
            <w:shd w:val="clear" w:color="auto" w:fill="auto"/>
            <w:noWrap/>
            <w:vAlign w:val="bottom"/>
            <w:hideMark/>
          </w:tcPr>
          <w:p w14:paraId="6F82E7B2" w14:textId="77777777" w:rsidR="005468BD" w:rsidRPr="00B534E3" w:rsidRDefault="005468BD" w:rsidP="005468BD">
            <w:pPr>
              <w:spacing w:after="0" w:line="240" w:lineRule="auto"/>
              <w:rPr>
                <w:rFonts w:ascii="Calibri" w:eastAsia="Times New Roman" w:hAnsi="Calibri" w:cs="Calibri"/>
                <w:b/>
                <w:bCs/>
                <w:color w:val="000000"/>
              </w:rPr>
            </w:pPr>
          </w:p>
        </w:tc>
        <w:tc>
          <w:tcPr>
            <w:tcW w:w="3420" w:type="dxa"/>
            <w:tcBorders>
              <w:top w:val="nil"/>
              <w:left w:val="nil"/>
              <w:bottom w:val="nil"/>
              <w:right w:val="nil"/>
            </w:tcBorders>
            <w:shd w:val="clear" w:color="auto" w:fill="auto"/>
            <w:noWrap/>
            <w:vAlign w:val="bottom"/>
            <w:hideMark/>
          </w:tcPr>
          <w:p w14:paraId="0BFF7913" w14:textId="77777777" w:rsidR="005468BD" w:rsidRPr="00B534E3" w:rsidRDefault="005468BD" w:rsidP="005468BD">
            <w:pPr>
              <w:spacing w:after="0" w:line="240" w:lineRule="auto"/>
              <w:jc w:val="center"/>
              <w:rPr>
                <w:rFonts w:ascii="Times New Roman" w:eastAsia="Times New Roman" w:hAnsi="Times New Roman" w:cs="Times New Roman"/>
                <w:sz w:val="20"/>
                <w:szCs w:val="20"/>
              </w:rPr>
            </w:pPr>
          </w:p>
        </w:tc>
      </w:tr>
      <w:tr w:rsidR="005468BD" w:rsidRPr="00B534E3" w14:paraId="3732BD72" w14:textId="77777777" w:rsidTr="005468BD">
        <w:trPr>
          <w:trHeight w:val="900"/>
        </w:trPr>
        <w:tc>
          <w:tcPr>
            <w:tcW w:w="320" w:type="dxa"/>
            <w:tcBorders>
              <w:top w:val="nil"/>
              <w:left w:val="nil"/>
              <w:bottom w:val="single" w:sz="4" w:space="0" w:color="auto"/>
              <w:right w:val="nil"/>
            </w:tcBorders>
            <w:shd w:val="clear" w:color="000000" w:fill="E7E6E6"/>
            <w:hideMark/>
          </w:tcPr>
          <w:p w14:paraId="0E37AF1F"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 </w:t>
            </w:r>
          </w:p>
        </w:tc>
        <w:tc>
          <w:tcPr>
            <w:tcW w:w="6640" w:type="dxa"/>
            <w:tcBorders>
              <w:top w:val="nil"/>
              <w:left w:val="nil"/>
              <w:bottom w:val="single" w:sz="4" w:space="0" w:color="auto"/>
              <w:right w:val="nil"/>
            </w:tcBorders>
            <w:shd w:val="clear" w:color="000000" w:fill="E7E6E6"/>
            <w:hideMark/>
          </w:tcPr>
          <w:p w14:paraId="0945DF9A"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Maximum 42 months</w:t>
            </w:r>
          </w:p>
        </w:tc>
        <w:tc>
          <w:tcPr>
            <w:tcW w:w="2260" w:type="dxa"/>
            <w:tcBorders>
              <w:top w:val="nil"/>
              <w:left w:val="nil"/>
              <w:bottom w:val="single" w:sz="4" w:space="0" w:color="auto"/>
              <w:right w:val="nil"/>
            </w:tcBorders>
            <w:shd w:val="clear" w:color="000000" w:fill="E7E6E6"/>
            <w:hideMark/>
          </w:tcPr>
          <w:p w14:paraId="589FD848"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12 months</w:t>
            </w:r>
          </w:p>
        </w:tc>
        <w:tc>
          <w:tcPr>
            <w:tcW w:w="3420" w:type="dxa"/>
            <w:tcBorders>
              <w:top w:val="nil"/>
              <w:left w:val="nil"/>
              <w:bottom w:val="single" w:sz="4" w:space="0" w:color="auto"/>
              <w:right w:val="nil"/>
            </w:tcBorders>
            <w:shd w:val="clear" w:color="000000" w:fill="E7E6E6"/>
            <w:hideMark/>
          </w:tcPr>
          <w:p w14:paraId="07392AFC"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From assignment of initial treatment intervention for a maximum of 12 months</w:t>
            </w:r>
          </w:p>
        </w:tc>
      </w:tr>
      <w:tr w:rsidR="005468BD" w:rsidRPr="00B534E3" w14:paraId="5400695E" w14:textId="77777777" w:rsidTr="005468BD">
        <w:trPr>
          <w:trHeight w:val="300"/>
        </w:trPr>
        <w:tc>
          <w:tcPr>
            <w:tcW w:w="6960" w:type="dxa"/>
            <w:gridSpan w:val="2"/>
            <w:tcBorders>
              <w:top w:val="nil"/>
              <w:left w:val="nil"/>
              <w:bottom w:val="nil"/>
              <w:right w:val="nil"/>
            </w:tcBorders>
            <w:shd w:val="clear" w:color="auto" w:fill="auto"/>
            <w:noWrap/>
            <w:hideMark/>
          </w:tcPr>
          <w:p w14:paraId="309A8539" w14:textId="77777777" w:rsidR="005468BD" w:rsidRPr="00B534E3" w:rsidRDefault="005468BD" w:rsidP="005468BD">
            <w:pPr>
              <w:spacing w:after="0" w:line="240" w:lineRule="auto"/>
              <w:rPr>
                <w:rFonts w:ascii="Calibri" w:eastAsia="Times New Roman" w:hAnsi="Calibri" w:cs="Calibri"/>
                <w:b/>
                <w:bCs/>
                <w:color w:val="000000"/>
              </w:rPr>
            </w:pPr>
            <w:r w:rsidRPr="00B534E3">
              <w:rPr>
                <w:rFonts w:ascii="Calibri" w:eastAsia="Times New Roman" w:hAnsi="Calibri" w:cs="Calibri"/>
                <w:b/>
                <w:bCs/>
                <w:color w:val="000000"/>
              </w:rPr>
              <w:t>Causal contrasts</w:t>
            </w:r>
          </w:p>
        </w:tc>
        <w:tc>
          <w:tcPr>
            <w:tcW w:w="2260" w:type="dxa"/>
            <w:tcBorders>
              <w:top w:val="nil"/>
              <w:left w:val="nil"/>
              <w:bottom w:val="nil"/>
              <w:right w:val="nil"/>
            </w:tcBorders>
            <w:shd w:val="clear" w:color="auto" w:fill="auto"/>
            <w:noWrap/>
            <w:vAlign w:val="bottom"/>
            <w:hideMark/>
          </w:tcPr>
          <w:p w14:paraId="32F5A823" w14:textId="77777777" w:rsidR="005468BD" w:rsidRPr="00B534E3" w:rsidRDefault="005468BD" w:rsidP="005468BD">
            <w:pPr>
              <w:spacing w:after="0" w:line="240" w:lineRule="auto"/>
              <w:rPr>
                <w:rFonts w:ascii="Calibri" w:eastAsia="Times New Roman" w:hAnsi="Calibri" w:cs="Calibri"/>
                <w:b/>
                <w:bCs/>
                <w:color w:val="000000"/>
              </w:rPr>
            </w:pPr>
          </w:p>
        </w:tc>
        <w:tc>
          <w:tcPr>
            <w:tcW w:w="3420" w:type="dxa"/>
            <w:tcBorders>
              <w:top w:val="nil"/>
              <w:left w:val="nil"/>
              <w:bottom w:val="nil"/>
              <w:right w:val="nil"/>
            </w:tcBorders>
            <w:shd w:val="clear" w:color="auto" w:fill="auto"/>
            <w:noWrap/>
            <w:vAlign w:val="bottom"/>
            <w:hideMark/>
          </w:tcPr>
          <w:p w14:paraId="154004AF" w14:textId="77777777" w:rsidR="005468BD" w:rsidRPr="00B534E3" w:rsidRDefault="005468BD" w:rsidP="005468BD">
            <w:pPr>
              <w:spacing w:after="0" w:line="240" w:lineRule="auto"/>
              <w:jc w:val="center"/>
              <w:rPr>
                <w:rFonts w:ascii="Times New Roman" w:eastAsia="Times New Roman" w:hAnsi="Times New Roman" w:cs="Times New Roman"/>
                <w:sz w:val="20"/>
                <w:szCs w:val="20"/>
              </w:rPr>
            </w:pPr>
          </w:p>
        </w:tc>
      </w:tr>
      <w:tr w:rsidR="005468BD" w:rsidRPr="00B534E3" w14:paraId="11285CA8" w14:textId="77777777" w:rsidTr="005468BD">
        <w:trPr>
          <w:trHeight w:val="300"/>
        </w:trPr>
        <w:tc>
          <w:tcPr>
            <w:tcW w:w="320" w:type="dxa"/>
            <w:tcBorders>
              <w:top w:val="nil"/>
              <w:left w:val="nil"/>
              <w:bottom w:val="single" w:sz="4" w:space="0" w:color="auto"/>
              <w:right w:val="nil"/>
            </w:tcBorders>
            <w:shd w:val="clear" w:color="000000" w:fill="E7E6E6"/>
            <w:hideMark/>
          </w:tcPr>
          <w:p w14:paraId="2ED7130A"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lastRenderedPageBreak/>
              <w:t> </w:t>
            </w:r>
          </w:p>
        </w:tc>
        <w:tc>
          <w:tcPr>
            <w:tcW w:w="6640" w:type="dxa"/>
            <w:tcBorders>
              <w:top w:val="nil"/>
              <w:left w:val="nil"/>
              <w:bottom w:val="single" w:sz="4" w:space="0" w:color="auto"/>
              <w:right w:val="nil"/>
            </w:tcBorders>
            <w:shd w:val="clear" w:color="000000" w:fill="E7E6E6"/>
            <w:hideMark/>
          </w:tcPr>
          <w:p w14:paraId="0C0242F3" w14:textId="37B4EDA4" w:rsidR="005468BD" w:rsidRPr="00B534E3" w:rsidRDefault="00A465E4" w:rsidP="00A465E4">
            <w:pPr>
              <w:spacing w:after="0" w:line="240" w:lineRule="auto"/>
              <w:rPr>
                <w:rFonts w:ascii="Calibri" w:eastAsia="Times New Roman" w:hAnsi="Calibri" w:cs="Calibri"/>
                <w:color w:val="000000"/>
              </w:rPr>
            </w:pPr>
            <w:r>
              <w:rPr>
                <w:rFonts w:ascii="Calibri" w:eastAsia="Times New Roman" w:hAnsi="Calibri" w:cs="Calibri"/>
                <w:color w:val="000000"/>
              </w:rPr>
              <w:t>Intent-to-treat</w:t>
            </w:r>
            <w:r w:rsidR="005468BD" w:rsidRPr="00B534E3">
              <w:rPr>
                <w:rFonts w:ascii="Calibri" w:eastAsia="Times New Roman" w:hAnsi="Calibri" w:cs="Calibri"/>
                <w:color w:val="000000"/>
              </w:rPr>
              <w:t xml:space="preserve"> effect, with sensitivity analysis for </w:t>
            </w:r>
            <w:r>
              <w:rPr>
                <w:rFonts w:ascii="Calibri" w:eastAsia="Times New Roman" w:hAnsi="Calibri" w:cs="Calibri"/>
                <w:color w:val="000000"/>
              </w:rPr>
              <w:t>per-protocol effect</w:t>
            </w:r>
          </w:p>
        </w:tc>
        <w:tc>
          <w:tcPr>
            <w:tcW w:w="2260" w:type="dxa"/>
            <w:tcBorders>
              <w:top w:val="nil"/>
              <w:left w:val="nil"/>
              <w:bottom w:val="single" w:sz="4" w:space="0" w:color="auto"/>
              <w:right w:val="nil"/>
            </w:tcBorders>
            <w:shd w:val="clear" w:color="000000" w:fill="E7E6E6"/>
            <w:hideMark/>
          </w:tcPr>
          <w:p w14:paraId="4DCF0F5C" w14:textId="0ED70597" w:rsidR="005468BD" w:rsidRPr="00B534E3" w:rsidRDefault="00A465E4" w:rsidP="00A465E4">
            <w:pPr>
              <w:spacing w:after="0" w:line="240" w:lineRule="auto"/>
              <w:rPr>
                <w:rFonts w:ascii="Calibri" w:eastAsia="Times New Roman" w:hAnsi="Calibri" w:cs="Calibri"/>
                <w:color w:val="000000"/>
              </w:rPr>
            </w:pPr>
            <w:r>
              <w:rPr>
                <w:rFonts w:ascii="Calibri" w:eastAsia="Times New Roman" w:hAnsi="Calibri" w:cs="Calibri"/>
                <w:color w:val="000000"/>
              </w:rPr>
              <w:t>Per-protocol effect</w:t>
            </w:r>
          </w:p>
        </w:tc>
        <w:tc>
          <w:tcPr>
            <w:tcW w:w="3420" w:type="dxa"/>
            <w:tcBorders>
              <w:top w:val="nil"/>
              <w:left w:val="nil"/>
              <w:bottom w:val="single" w:sz="4" w:space="0" w:color="auto"/>
              <w:right w:val="nil"/>
            </w:tcBorders>
            <w:shd w:val="clear" w:color="000000" w:fill="E7E6E6"/>
            <w:hideMark/>
          </w:tcPr>
          <w:p w14:paraId="1B8D2746" w14:textId="11B9B0D9" w:rsidR="005468BD" w:rsidRPr="00B534E3" w:rsidRDefault="00A465E4" w:rsidP="005468BD">
            <w:pPr>
              <w:spacing w:after="0" w:line="240" w:lineRule="auto"/>
              <w:rPr>
                <w:rFonts w:ascii="Calibri" w:eastAsia="Times New Roman" w:hAnsi="Calibri" w:cs="Calibri"/>
                <w:color w:val="000000"/>
              </w:rPr>
            </w:pPr>
            <w:r>
              <w:rPr>
                <w:rFonts w:ascii="Calibri" w:eastAsia="Times New Roman" w:hAnsi="Calibri" w:cs="Calibri"/>
                <w:color w:val="000000"/>
              </w:rPr>
              <w:t>As-treated = Per-protocol effect (forced 100% adherence</w:t>
            </w:r>
            <w:r w:rsidR="00223D08">
              <w:rPr>
                <w:rFonts w:ascii="Calibri" w:eastAsia="Times New Roman" w:hAnsi="Calibri" w:cs="Calibri"/>
                <w:color w:val="000000"/>
              </w:rPr>
              <w:t xml:space="preserve"> with no loss to follow-up</w:t>
            </w:r>
            <w:r>
              <w:rPr>
                <w:rFonts w:ascii="Calibri" w:eastAsia="Times New Roman" w:hAnsi="Calibri" w:cs="Calibri"/>
                <w:color w:val="000000"/>
              </w:rPr>
              <w:t xml:space="preserve">) </w:t>
            </w:r>
          </w:p>
        </w:tc>
      </w:tr>
      <w:tr w:rsidR="005468BD" w:rsidRPr="00B534E3" w14:paraId="528A18CC" w14:textId="77777777" w:rsidTr="005468BD">
        <w:trPr>
          <w:trHeight w:val="300"/>
        </w:trPr>
        <w:tc>
          <w:tcPr>
            <w:tcW w:w="6960" w:type="dxa"/>
            <w:gridSpan w:val="2"/>
            <w:tcBorders>
              <w:top w:val="nil"/>
              <w:left w:val="nil"/>
              <w:bottom w:val="nil"/>
              <w:right w:val="nil"/>
            </w:tcBorders>
            <w:shd w:val="clear" w:color="auto" w:fill="auto"/>
            <w:noWrap/>
            <w:hideMark/>
          </w:tcPr>
          <w:p w14:paraId="547763A9" w14:textId="77777777" w:rsidR="005468BD" w:rsidRPr="00B534E3" w:rsidRDefault="005468BD" w:rsidP="005468BD">
            <w:pPr>
              <w:spacing w:after="0" w:line="240" w:lineRule="auto"/>
              <w:rPr>
                <w:rFonts w:ascii="Calibri" w:eastAsia="Times New Roman" w:hAnsi="Calibri" w:cs="Calibri"/>
                <w:b/>
                <w:bCs/>
                <w:color w:val="000000"/>
              </w:rPr>
            </w:pPr>
            <w:r w:rsidRPr="00B534E3">
              <w:rPr>
                <w:rFonts w:ascii="Calibri" w:eastAsia="Times New Roman" w:hAnsi="Calibri" w:cs="Calibri"/>
                <w:b/>
                <w:bCs/>
                <w:color w:val="000000"/>
              </w:rPr>
              <w:t>Statistical analysis</w:t>
            </w:r>
          </w:p>
        </w:tc>
        <w:tc>
          <w:tcPr>
            <w:tcW w:w="2260" w:type="dxa"/>
            <w:tcBorders>
              <w:top w:val="nil"/>
              <w:left w:val="nil"/>
              <w:bottom w:val="nil"/>
              <w:right w:val="nil"/>
            </w:tcBorders>
            <w:shd w:val="clear" w:color="auto" w:fill="auto"/>
            <w:noWrap/>
            <w:vAlign w:val="bottom"/>
            <w:hideMark/>
          </w:tcPr>
          <w:p w14:paraId="033720F1" w14:textId="77777777" w:rsidR="005468BD" w:rsidRPr="00B534E3" w:rsidRDefault="005468BD" w:rsidP="005468BD">
            <w:pPr>
              <w:spacing w:after="0" w:line="240" w:lineRule="auto"/>
              <w:rPr>
                <w:rFonts w:ascii="Calibri" w:eastAsia="Times New Roman" w:hAnsi="Calibri" w:cs="Calibri"/>
                <w:b/>
                <w:bCs/>
                <w:color w:val="000000"/>
              </w:rPr>
            </w:pPr>
          </w:p>
        </w:tc>
        <w:tc>
          <w:tcPr>
            <w:tcW w:w="3420" w:type="dxa"/>
            <w:tcBorders>
              <w:top w:val="nil"/>
              <w:left w:val="nil"/>
              <w:bottom w:val="nil"/>
              <w:right w:val="nil"/>
            </w:tcBorders>
            <w:shd w:val="clear" w:color="auto" w:fill="auto"/>
            <w:noWrap/>
            <w:vAlign w:val="bottom"/>
            <w:hideMark/>
          </w:tcPr>
          <w:p w14:paraId="74F76928" w14:textId="77777777" w:rsidR="005468BD" w:rsidRPr="00B534E3" w:rsidRDefault="005468BD" w:rsidP="005468BD">
            <w:pPr>
              <w:spacing w:after="0" w:line="240" w:lineRule="auto"/>
              <w:jc w:val="center"/>
              <w:rPr>
                <w:rFonts w:ascii="Times New Roman" w:eastAsia="Times New Roman" w:hAnsi="Times New Roman" w:cs="Times New Roman"/>
                <w:sz w:val="20"/>
                <w:szCs w:val="20"/>
              </w:rPr>
            </w:pPr>
          </w:p>
        </w:tc>
      </w:tr>
      <w:tr w:rsidR="005468BD" w:rsidRPr="00B534E3" w14:paraId="67D537FE" w14:textId="77777777" w:rsidTr="005468BD">
        <w:trPr>
          <w:trHeight w:val="1200"/>
        </w:trPr>
        <w:tc>
          <w:tcPr>
            <w:tcW w:w="320" w:type="dxa"/>
            <w:tcBorders>
              <w:top w:val="nil"/>
              <w:left w:val="nil"/>
              <w:bottom w:val="single" w:sz="4" w:space="0" w:color="auto"/>
              <w:right w:val="nil"/>
            </w:tcBorders>
            <w:shd w:val="clear" w:color="000000" w:fill="E7E6E6"/>
            <w:hideMark/>
          </w:tcPr>
          <w:p w14:paraId="16E61EDB"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 </w:t>
            </w:r>
          </w:p>
        </w:tc>
        <w:tc>
          <w:tcPr>
            <w:tcW w:w="6640" w:type="dxa"/>
            <w:tcBorders>
              <w:top w:val="nil"/>
              <w:left w:val="nil"/>
              <w:bottom w:val="single" w:sz="4" w:space="0" w:color="auto"/>
              <w:right w:val="nil"/>
            </w:tcBorders>
            <w:shd w:val="clear" w:color="000000" w:fill="E7E6E6"/>
            <w:hideMark/>
          </w:tcPr>
          <w:p w14:paraId="153A7BBF"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Cox proportional hazards model to estimate hazard ratio</w:t>
            </w:r>
          </w:p>
        </w:tc>
        <w:tc>
          <w:tcPr>
            <w:tcW w:w="2260" w:type="dxa"/>
            <w:tcBorders>
              <w:top w:val="nil"/>
              <w:left w:val="nil"/>
              <w:bottom w:val="single" w:sz="4" w:space="0" w:color="auto"/>
              <w:right w:val="nil"/>
            </w:tcBorders>
            <w:shd w:val="clear" w:color="000000" w:fill="E7E6E6"/>
            <w:hideMark/>
          </w:tcPr>
          <w:p w14:paraId="7FAA0D19"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Parametric g-formula to estimate 1-year cumulative mortality under each strategy</w:t>
            </w:r>
          </w:p>
        </w:tc>
        <w:tc>
          <w:tcPr>
            <w:tcW w:w="3420" w:type="dxa"/>
            <w:tcBorders>
              <w:top w:val="nil"/>
              <w:left w:val="nil"/>
              <w:bottom w:val="single" w:sz="4" w:space="0" w:color="auto"/>
              <w:right w:val="nil"/>
            </w:tcBorders>
            <w:shd w:val="clear" w:color="000000" w:fill="E7E6E6"/>
            <w:hideMark/>
          </w:tcPr>
          <w:p w14:paraId="39C5798F" w14:textId="77777777" w:rsidR="005468BD" w:rsidRPr="00B534E3" w:rsidRDefault="005468BD" w:rsidP="005468BD">
            <w:pPr>
              <w:spacing w:after="0" w:line="240" w:lineRule="auto"/>
              <w:rPr>
                <w:rFonts w:ascii="Calibri" w:eastAsia="Times New Roman" w:hAnsi="Calibri" w:cs="Calibri"/>
                <w:color w:val="000000"/>
              </w:rPr>
            </w:pPr>
            <w:r w:rsidRPr="00B534E3">
              <w:rPr>
                <w:rFonts w:ascii="Calibri" w:eastAsia="Times New Roman" w:hAnsi="Calibri" w:cs="Calibri"/>
                <w:color w:val="000000"/>
              </w:rPr>
              <w:t>As in target trial</w:t>
            </w:r>
          </w:p>
        </w:tc>
      </w:tr>
    </w:tbl>
    <w:p w14:paraId="5B10434C" w14:textId="1ADB6A6D" w:rsidR="005468BD" w:rsidRDefault="005468BD" w:rsidP="00C44F38"/>
    <w:p w14:paraId="0B0B0611" w14:textId="7545FEB7" w:rsidR="005468BD" w:rsidRDefault="005468BD" w:rsidP="00C44F38"/>
    <w:p w14:paraId="1949AA71" w14:textId="77777777" w:rsidR="005468BD" w:rsidRDefault="005468BD" w:rsidP="00C44F38">
      <w:pPr>
        <w:sectPr w:rsidR="005468BD" w:rsidSect="005468BD">
          <w:pgSz w:w="15840" w:h="12240" w:orient="landscape"/>
          <w:pgMar w:top="1440" w:right="1440" w:bottom="1440" w:left="1440" w:header="720" w:footer="720" w:gutter="0"/>
          <w:cols w:space="720"/>
          <w:docGrid w:linePitch="360"/>
        </w:sectPr>
      </w:pPr>
    </w:p>
    <w:p w14:paraId="39D54C21" w14:textId="19819F29" w:rsidR="00E768C5" w:rsidRDefault="00FE5BC1" w:rsidP="00FD218E">
      <w:pPr>
        <w:pStyle w:val="Heading2"/>
      </w:pPr>
      <w:r>
        <w:lastRenderedPageBreak/>
        <w:t>Table</w:t>
      </w:r>
      <w:r w:rsidR="00FD218E">
        <w:t xml:space="preserve"> </w:t>
      </w:r>
      <w:r w:rsidR="000E459A">
        <w:t>S</w:t>
      </w:r>
      <w:r w:rsidR="00FD218E">
        <w:t>2</w:t>
      </w:r>
    </w:p>
    <w:p w14:paraId="087F6901" w14:textId="65EAA963" w:rsidR="00FE5BC1" w:rsidRDefault="007C4CD7" w:rsidP="00FE5BC1">
      <w:pPr>
        <w:rPr>
          <w:b/>
        </w:rPr>
      </w:pPr>
      <w:r>
        <w:rPr>
          <w:b/>
        </w:rPr>
        <w:t xml:space="preserve">Title. </w:t>
      </w:r>
      <w:r>
        <w:t>Summary of missing data at baseline</w:t>
      </w:r>
    </w:p>
    <w:tbl>
      <w:tblPr>
        <w:tblW w:w="7260" w:type="dxa"/>
        <w:tblLook w:val="04A0" w:firstRow="1" w:lastRow="0" w:firstColumn="1" w:lastColumn="0" w:noHBand="0" w:noVBand="1"/>
      </w:tblPr>
      <w:tblGrid>
        <w:gridCol w:w="380"/>
        <w:gridCol w:w="2920"/>
        <w:gridCol w:w="1060"/>
        <w:gridCol w:w="880"/>
        <w:gridCol w:w="960"/>
        <w:gridCol w:w="1060"/>
      </w:tblGrid>
      <w:tr w:rsidR="00FE5BC1" w:rsidRPr="00FE5BC1" w14:paraId="17554345" w14:textId="77777777" w:rsidTr="00FE5BC1">
        <w:trPr>
          <w:trHeight w:val="660"/>
        </w:trPr>
        <w:tc>
          <w:tcPr>
            <w:tcW w:w="380" w:type="dxa"/>
            <w:tcBorders>
              <w:top w:val="single" w:sz="4" w:space="0" w:color="auto"/>
              <w:left w:val="nil"/>
              <w:bottom w:val="nil"/>
              <w:right w:val="nil"/>
            </w:tcBorders>
            <w:shd w:val="clear" w:color="auto" w:fill="auto"/>
            <w:noWrap/>
            <w:vAlign w:val="bottom"/>
            <w:hideMark/>
          </w:tcPr>
          <w:p w14:paraId="067F7478" w14:textId="77777777" w:rsidR="00FE5BC1" w:rsidRPr="00FE5BC1" w:rsidRDefault="00FE5BC1" w:rsidP="00FE5BC1">
            <w:pPr>
              <w:spacing w:after="0" w:line="240" w:lineRule="auto"/>
              <w:rPr>
                <w:rFonts w:ascii="Calibri" w:eastAsia="Times New Roman" w:hAnsi="Calibri" w:cs="Calibri"/>
                <w:b/>
                <w:bCs/>
                <w:color w:val="000000"/>
              </w:rPr>
            </w:pPr>
            <w:r w:rsidRPr="00FE5BC1">
              <w:rPr>
                <w:rFonts w:ascii="Calibri" w:eastAsia="Times New Roman" w:hAnsi="Calibri" w:cs="Calibri"/>
                <w:b/>
                <w:bCs/>
                <w:color w:val="000000"/>
              </w:rPr>
              <w:t> </w:t>
            </w:r>
          </w:p>
        </w:tc>
        <w:tc>
          <w:tcPr>
            <w:tcW w:w="2920" w:type="dxa"/>
            <w:tcBorders>
              <w:top w:val="single" w:sz="4" w:space="0" w:color="auto"/>
              <w:left w:val="nil"/>
              <w:bottom w:val="nil"/>
              <w:right w:val="nil"/>
            </w:tcBorders>
            <w:shd w:val="clear" w:color="auto" w:fill="auto"/>
            <w:noWrap/>
            <w:vAlign w:val="bottom"/>
            <w:hideMark/>
          </w:tcPr>
          <w:p w14:paraId="62A3D624"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 </w:t>
            </w:r>
          </w:p>
        </w:tc>
        <w:tc>
          <w:tcPr>
            <w:tcW w:w="1940" w:type="dxa"/>
            <w:gridSpan w:val="2"/>
            <w:tcBorders>
              <w:top w:val="single" w:sz="4" w:space="0" w:color="auto"/>
              <w:left w:val="nil"/>
              <w:bottom w:val="nil"/>
              <w:right w:val="nil"/>
            </w:tcBorders>
            <w:shd w:val="clear" w:color="auto" w:fill="auto"/>
            <w:vAlign w:val="bottom"/>
            <w:hideMark/>
          </w:tcPr>
          <w:p w14:paraId="425B05E9" w14:textId="77777777" w:rsidR="00FE5BC1" w:rsidRPr="00FE5BC1" w:rsidRDefault="00FE5BC1" w:rsidP="00FE5BC1">
            <w:pPr>
              <w:spacing w:after="0" w:line="240" w:lineRule="auto"/>
              <w:jc w:val="center"/>
              <w:rPr>
                <w:rFonts w:ascii="Calibri" w:eastAsia="Times New Roman" w:hAnsi="Calibri" w:cs="Calibri"/>
                <w:b/>
                <w:bCs/>
                <w:color w:val="000000"/>
              </w:rPr>
            </w:pPr>
            <w:r w:rsidRPr="00FE5BC1">
              <w:rPr>
                <w:rFonts w:ascii="Calibri" w:eastAsia="Times New Roman" w:hAnsi="Calibri" w:cs="Calibri"/>
                <w:b/>
                <w:bCs/>
                <w:color w:val="000000"/>
              </w:rPr>
              <w:t>DOPPS: Primary</w:t>
            </w:r>
            <w:r w:rsidRPr="00FE5BC1">
              <w:rPr>
                <w:rFonts w:ascii="Calibri" w:eastAsia="Times New Roman" w:hAnsi="Calibri" w:cs="Calibri"/>
                <w:b/>
                <w:bCs/>
                <w:color w:val="000000"/>
              </w:rPr>
              <w:br/>
              <w:t>analysis</w:t>
            </w:r>
          </w:p>
        </w:tc>
        <w:tc>
          <w:tcPr>
            <w:tcW w:w="2020" w:type="dxa"/>
            <w:gridSpan w:val="2"/>
            <w:tcBorders>
              <w:top w:val="single" w:sz="4" w:space="0" w:color="auto"/>
              <w:left w:val="nil"/>
              <w:bottom w:val="nil"/>
              <w:right w:val="nil"/>
            </w:tcBorders>
            <w:shd w:val="clear" w:color="auto" w:fill="auto"/>
            <w:vAlign w:val="bottom"/>
            <w:hideMark/>
          </w:tcPr>
          <w:p w14:paraId="38FE8586" w14:textId="77777777" w:rsidR="00FE5BC1" w:rsidRPr="00FE5BC1" w:rsidRDefault="00FE5BC1" w:rsidP="00FE5BC1">
            <w:pPr>
              <w:spacing w:after="0" w:line="240" w:lineRule="auto"/>
              <w:jc w:val="center"/>
              <w:rPr>
                <w:rFonts w:ascii="Calibri" w:eastAsia="Times New Roman" w:hAnsi="Calibri" w:cs="Calibri"/>
                <w:b/>
                <w:bCs/>
                <w:color w:val="000000"/>
              </w:rPr>
            </w:pPr>
            <w:r w:rsidRPr="00FE5BC1">
              <w:rPr>
                <w:rFonts w:ascii="Calibri" w:eastAsia="Times New Roman" w:hAnsi="Calibri" w:cs="Calibri"/>
                <w:b/>
                <w:bCs/>
                <w:color w:val="000000"/>
              </w:rPr>
              <w:t>DOPPS: PIVOTAL-</w:t>
            </w:r>
            <w:r w:rsidRPr="00FE5BC1">
              <w:rPr>
                <w:rFonts w:ascii="Calibri" w:eastAsia="Times New Roman" w:hAnsi="Calibri" w:cs="Calibri"/>
                <w:b/>
                <w:bCs/>
                <w:color w:val="000000"/>
              </w:rPr>
              <w:br/>
              <w:t>restricted data</w:t>
            </w:r>
          </w:p>
        </w:tc>
      </w:tr>
      <w:tr w:rsidR="00FE5BC1" w:rsidRPr="00FE5BC1" w14:paraId="3CE8D3F5" w14:textId="77777777" w:rsidTr="00FE5BC1">
        <w:trPr>
          <w:trHeight w:val="315"/>
        </w:trPr>
        <w:tc>
          <w:tcPr>
            <w:tcW w:w="3300" w:type="dxa"/>
            <w:gridSpan w:val="2"/>
            <w:tcBorders>
              <w:top w:val="nil"/>
              <w:left w:val="nil"/>
              <w:bottom w:val="single" w:sz="4" w:space="0" w:color="auto"/>
              <w:right w:val="nil"/>
            </w:tcBorders>
            <w:shd w:val="clear" w:color="auto" w:fill="auto"/>
            <w:noWrap/>
            <w:vAlign w:val="bottom"/>
            <w:hideMark/>
          </w:tcPr>
          <w:p w14:paraId="3D025C86" w14:textId="77777777" w:rsidR="00FE5BC1" w:rsidRPr="00FE5BC1" w:rsidRDefault="00FE5BC1" w:rsidP="00FE5BC1">
            <w:pPr>
              <w:spacing w:after="0" w:line="240" w:lineRule="auto"/>
              <w:rPr>
                <w:rFonts w:ascii="Calibri" w:eastAsia="Times New Roman" w:hAnsi="Calibri" w:cs="Calibri"/>
                <w:b/>
                <w:bCs/>
                <w:color w:val="000000"/>
              </w:rPr>
            </w:pPr>
            <w:r w:rsidRPr="00FE5BC1">
              <w:rPr>
                <w:rFonts w:ascii="Calibri" w:eastAsia="Times New Roman" w:hAnsi="Calibri" w:cs="Calibri"/>
                <w:b/>
                <w:bCs/>
                <w:color w:val="000000"/>
              </w:rPr>
              <w:t>Patient characteristics</w:t>
            </w:r>
          </w:p>
        </w:tc>
        <w:tc>
          <w:tcPr>
            <w:tcW w:w="1060" w:type="dxa"/>
            <w:tcBorders>
              <w:top w:val="nil"/>
              <w:left w:val="nil"/>
              <w:bottom w:val="single" w:sz="4" w:space="0" w:color="auto"/>
              <w:right w:val="nil"/>
            </w:tcBorders>
            <w:shd w:val="clear" w:color="auto" w:fill="auto"/>
            <w:vAlign w:val="center"/>
            <w:hideMark/>
          </w:tcPr>
          <w:p w14:paraId="1EA44BD6" w14:textId="77777777" w:rsidR="00FE5BC1" w:rsidRPr="00FE5BC1" w:rsidRDefault="00FE5BC1" w:rsidP="00FE5BC1">
            <w:pPr>
              <w:spacing w:after="0" w:line="240" w:lineRule="auto"/>
              <w:jc w:val="center"/>
              <w:rPr>
                <w:rFonts w:ascii="Calibri" w:eastAsia="Times New Roman" w:hAnsi="Calibri" w:cs="Calibri"/>
                <w:b/>
                <w:bCs/>
                <w:color w:val="000000"/>
              </w:rPr>
            </w:pPr>
            <w:r w:rsidRPr="00FE5BC1">
              <w:rPr>
                <w:rFonts w:ascii="Calibri" w:eastAsia="Times New Roman" w:hAnsi="Calibri" w:cs="Calibri"/>
                <w:b/>
                <w:bCs/>
                <w:color w:val="000000"/>
              </w:rPr>
              <w:t>N pts</w:t>
            </w:r>
          </w:p>
        </w:tc>
        <w:tc>
          <w:tcPr>
            <w:tcW w:w="880" w:type="dxa"/>
            <w:tcBorders>
              <w:top w:val="nil"/>
              <w:left w:val="nil"/>
              <w:bottom w:val="single" w:sz="4" w:space="0" w:color="auto"/>
              <w:right w:val="nil"/>
            </w:tcBorders>
            <w:shd w:val="clear" w:color="auto" w:fill="auto"/>
            <w:vAlign w:val="center"/>
            <w:hideMark/>
          </w:tcPr>
          <w:p w14:paraId="1FFE0B57" w14:textId="77777777" w:rsidR="00FE5BC1" w:rsidRPr="00FE5BC1" w:rsidRDefault="00FE5BC1" w:rsidP="00FE5BC1">
            <w:pPr>
              <w:spacing w:after="0" w:line="240" w:lineRule="auto"/>
              <w:jc w:val="center"/>
              <w:rPr>
                <w:rFonts w:ascii="Calibri" w:eastAsia="Times New Roman" w:hAnsi="Calibri" w:cs="Calibri"/>
                <w:b/>
                <w:bCs/>
                <w:color w:val="000000"/>
              </w:rPr>
            </w:pPr>
            <w:r w:rsidRPr="00FE5BC1">
              <w:rPr>
                <w:rFonts w:ascii="Calibri" w:eastAsia="Times New Roman" w:hAnsi="Calibri" w:cs="Calibri"/>
                <w:b/>
                <w:bCs/>
                <w:color w:val="000000"/>
              </w:rPr>
              <w:t>% miss</w:t>
            </w:r>
          </w:p>
        </w:tc>
        <w:tc>
          <w:tcPr>
            <w:tcW w:w="960" w:type="dxa"/>
            <w:tcBorders>
              <w:top w:val="nil"/>
              <w:left w:val="nil"/>
              <w:bottom w:val="single" w:sz="4" w:space="0" w:color="auto"/>
              <w:right w:val="nil"/>
            </w:tcBorders>
            <w:shd w:val="clear" w:color="auto" w:fill="auto"/>
            <w:vAlign w:val="center"/>
            <w:hideMark/>
          </w:tcPr>
          <w:p w14:paraId="7005BDBA" w14:textId="77777777" w:rsidR="00FE5BC1" w:rsidRPr="00FE5BC1" w:rsidRDefault="00FE5BC1" w:rsidP="00FE5BC1">
            <w:pPr>
              <w:spacing w:after="0" w:line="240" w:lineRule="auto"/>
              <w:jc w:val="center"/>
              <w:rPr>
                <w:rFonts w:ascii="Calibri" w:eastAsia="Times New Roman" w:hAnsi="Calibri" w:cs="Calibri"/>
                <w:b/>
                <w:bCs/>
                <w:color w:val="000000"/>
              </w:rPr>
            </w:pPr>
            <w:r w:rsidRPr="00FE5BC1">
              <w:rPr>
                <w:rFonts w:ascii="Calibri" w:eastAsia="Times New Roman" w:hAnsi="Calibri" w:cs="Calibri"/>
                <w:b/>
                <w:bCs/>
                <w:color w:val="000000"/>
              </w:rPr>
              <w:t>N pts</w:t>
            </w:r>
          </w:p>
        </w:tc>
        <w:tc>
          <w:tcPr>
            <w:tcW w:w="1060" w:type="dxa"/>
            <w:tcBorders>
              <w:top w:val="nil"/>
              <w:left w:val="nil"/>
              <w:bottom w:val="single" w:sz="4" w:space="0" w:color="auto"/>
              <w:right w:val="nil"/>
            </w:tcBorders>
            <w:shd w:val="clear" w:color="auto" w:fill="auto"/>
            <w:vAlign w:val="bottom"/>
            <w:hideMark/>
          </w:tcPr>
          <w:p w14:paraId="274C8075" w14:textId="77777777" w:rsidR="00FE5BC1" w:rsidRPr="00FE5BC1" w:rsidRDefault="00FE5BC1" w:rsidP="00FE5BC1">
            <w:pPr>
              <w:spacing w:after="0" w:line="240" w:lineRule="auto"/>
              <w:jc w:val="center"/>
              <w:rPr>
                <w:rFonts w:ascii="Calibri" w:eastAsia="Times New Roman" w:hAnsi="Calibri" w:cs="Calibri"/>
                <w:b/>
                <w:bCs/>
                <w:color w:val="000000"/>
              </w:rPr>
            </w:pPr>
            <w:r w:rsidRPr="00FE5BC1">
              <w:rPr>
                <w:rFonts w:ascii="Calibri" w:eastAsia="Times New Roman" w:hAnsi="Calibri" w:cs="Calibri"/>
                <w:b/>
                <w:bCs/>
                <w:color w:val="000000"/>
              </w:rPr>
              <w:t>% miss</w:t>
            </w:r>
          </w:p>
        </w:tc>
      </w:tr>
      <w:tr w:rsidR="00FE5BC1" w:rsidRPr="00FE5BC1" w14:paraId="3EA0852F" w14:textId="77777777" w:rsidTr="00FE5BC1">
        <w:trPr>
          <w:trHeight w:val="300"/>
        </w:trPr>
        <w:tc>
          <w:tcPr>
            <w:tcW w:w="3300" w:type="dxa"/>
            <w:gridSpan w:val="2"/>
            <w:tcBorders>
              <w:top w:val="nil"/>
              <w:left w:val="nil"/>
              <w:bottom w:val="nil"/>
              <w:right w:val="nil"/>
            </w:tcBorders>
            <w:shd w:val="clear" w:color="auto" w:fill="auto"/>
            <w:noWrap/>
            <w:vAlign w:val="bottom"/>
            <w:hideMark/>
          </w:tcPr>
          <w:p w14:paraId="4B183479"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N patients</w:t>
            </w:r>
          </w:p>
        </w:tc>
        <w:tc>
          <w:tcPr>
            <w:tcW w:w="1060" w:type="dxa"/>
            <w:tcBorders>
              <w:top w:val="nil"/>
              <w:left w:val="nil"/>
              <w:bottom w:val="nil"/>
              <w:right w:val="nil"/>
            </w:tcBorders>
            <w:shd w:val="clear" w:color="auto" w:fill="auto"/>
            <w:noWrap/>
            <w:vAlign w:val="bottom"/>
            <w:hideMark/>
          </w:tcPr>
          <w:p w14:paraId="7AA1D0F5"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6325</w:t>
            </w:r>
          </w:p>
        </w:tc>
        <w:tc>
          <w:tcPr>
            <w:tcW w:w="880" w:type="dxa"/>
            <w:tcBorders>
              <w:top w:val="nil"/>
              <w:left w:val="nil"/>
              <w:bottom w:val="nil"/>
              <w:right w:val="nil"/>
            </w:tcBorders>
            <w:shd w:val="clear" w:color="auto" w:fill="auto"/>
            <w:noWrap/>
            <w:vAlign w:val="bottom"/>
            <w:hideMark/>
          </w:tcPr>
          <w:p w14:paraId="2CDA4064" w14:textId="77777777" w:rsidR="00FE5BC1" w:rsidRPr="00FE5BC1" w:rsidRDefault="00FE5BC1" w:rsidP="00FE5BC1">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BE4F9B2"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1508</w:t>
            </w:r>
          </w:p>
        </w:tc>
        <w:tc>
          <w:tcPr>
            <w:tcW w:w="1060" w:type="dxa"/>
            <w:tcBorders>
              <w:top w:val="nil"/>
              <w:left w:val="nil"/>
              <w:bottom w:val="nil"/>
              <w:right w:val="nil"/>
            </w:tcBorders>
            <w:shd w:val="clear" w:color="auto" w:fill="auto"/>
            <w:noWrap/>
            <w:vAlign w:val="bottom"/>
            <w:hideMark/>
          </w:tcPr>
          <w:p w14:paraId="2A4BF270" w14:textId="77777777" w:rsidR="00FE5BC1" w:rsidRPr="00FE5BC1" w:rsidRDefault="00FE5BC1" w:rsidP="00FE5BC1">
            <w:pPr>
              <w:spacing w:after="0" w:line="240" w:lineRule="auto"/>
              <w:jc w:val="center"/>
              <w:rPr>
                <w:rFonts w:ascii="Calibri" w:eastAsia="Times New Roman" w:hAnsi="Calibri" w:cs="Calibri"/>
                <w:color w:val="000000"/>
              </w:rPr>
            </w:pPr>
          </w:p>
        </w:tc>
      </w:tr>
      <w:tr w:rsidR="00FE5BC1" w:rsidRPr="00FE5BC1" w14:paraId="33DFE24B" w14:textId="77777777" w:rsidTr="00FE5BC1">
        <w:trPr>
          <w:trHeight w:val="300"/>
        </w:trPr>
        <w:tc>
          <w:tcPr>
            <w:tcW w:w="3300" w:type="dxa"/>
            <w:gridSpan w:val="2"/>
            <w:tcBorders>
              <w:top w:val="nil"/>
              <w:left w:val="nil"/>
              <w:bottom w:val="nil"/>
              <w:right w:val="nil"/>
            </w:tcBorders>
            <w:shd w:val="clear" w:color="auto" w:fill="auto"/>
            <w:noWrap/>
            <w:vAlign w:val="bottom"/>
            <w:hideMark/>
          </w:tcPr>
          <w:p w14:paraId="2F223564"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Time-fixed variables</w:t>
            </w:r>
          </w:p>
        </w:tc>
        <w:tc>
          <w:tcPr>
            <w:tcW w:w="1060" w:type="dxa"/>
            <w:tcBorders>
              <w:top w:val="nil"/>
              <w:left w:val="nil"/>
              <w:bottom w:val="nil"/>
              <w:right w:val="nil"/>
            </w:tcBorders>
            <w:shd w:val="clear" w:color="auto" w:fill="auto"/>
            <w:noWrap/>
            <w:vAlign w:val="bottom"/>
            <w:hideMark/>
          </w:tcPr>
          <w:p w14:paraId="4E670496" w14:textId="77777777" w:rsidR="00FE5BC1" w:rsidRPr="00FE5BC1" w:rsidRDefault="00FE5BC1" w:rsidP="00FE5BC1">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6127BE5D" w14:textId="77777777" w:rsidR="00FE5BC1" w:rsidRPr="00FE5BC1" w:rsidRDefault="00FE5BC1" w:rsidP="00FE5BC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CBEE7C0" w14:textId="77777777" w:rsidR="00FE5BC1" w:rsidRPr="00FE5BC1" w:rsidRDefault="00FE5BC1" w:rsidP="00FE5BC1">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2CD9527" w14:textId="77777777" w:rsidR="00FE5BC1" w:rsidRPr="00FE5BC1" w:rsidRDefault="00FE5BC1" w:rsidP="00FE5BC1">
            <w:pPr>
              <w:spacing w:after="0" w:line="240" w:lineRule="auto"/>
              <w:rPr>
                <w:rFonts w:ascii="Times New Roman" w:eastAsia="Times New Roman" w:hAnsi="Times New Roman" w:cs="Times New Roman"/>
                <w:sz w:val="20"/>
                <w:szCs w:val="20"/>
              </w:rPr>
            </w:pPr>
          </w:p>
        </w:tc>
      </w:tr>
      <w:tr w:rsidR="00FE5BC1" w:rsidRPr="00FE5BC1" w14:paraId="50E7E6E2" w14:textId="77777777" w:rsidTr="00FE5BC1">
        <w:trPr>
          <w:trHeight w:val="300"/>
        </w:trPr>
        <w:tc>
          <w:tcPr>
            <w:tcW w:w="380" w:type="dxa"/>
            <w:tcBorders>
              <w:top w:val="nil"/>
              <w:left w:val="nil"/>
              <w:bottom w:val="nil"/>
              <w:right w:val="nil"/>
            </w:tcBorders>
            <w:shd w:val="clear" w:color="auto" w:fill="auto"/>
            <w:noWrap/>
            <w:vAlign w:val="bottom"/>
            <w:hideMark/>
          </w:tcPr>
          <w:p w14:paraId="2EF92B04" w14:textId="77777777" w:rsidR="00FE5BC1" w:rsidRPr="00FE5BC1" w:rsidRDefault="00FE5BC1" w:rsidP="00FE5BC1">
            <w:pPr>
              <w:spacing w:after="0" w:line="240" w:lineRule="auto"/>
              <w:jc w:val="center"/>
              <w:rPr>
                <w:rFonts w:ascii="Times New Roman" w:eastAsia="Times New Roman" w:hAnsi="Times New Roman" w:cs="Times New Roman"/>
                <w:sz w:val="20"/>
                <w:szCs w:val="20"/>
              </w:rPr>
            </w:pPr>
          </w:p>
        </w:tc>
        <w:tc>
          <w:tcPr>
            <w:tcW w:w="2920" w:type="dxa"/>
            <w:tcBorders>
              <w:top w:val="nil"/>
              <w:left w:val="nil"/>
              <w:bottom w:val="nil"/>
              <w:right w:val="nil"/>
            </w:tcBorders>
            <w:shd w:val="clear" w:color="auto" w:fill="auto"/>
            <w:noWrap/>
            <w:vAlign w:val="bottom"/>
            <w:hideMark/>
          </w:tcPr>
          <w:p w14:paraId="27F41524"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Age</w:t>
            </w:r>
          </w:p>
        </w:tc>
        <w:tc>
          <w:tcPr>
            <w:tcW w:w="1060" w:type="dxa"/>
            <w:tcBorders>
              <w:top w:val="nil"/>
              <w:left w:val="nil"/>
              <w:bottom w:val="nil"/>
              <w:right w:val="nil"/>
            </w:tcBorders>
            <w:shd w:val="clear" w:color="auto" w:fill="auto"/>
            <w:noWrap/>
            <w:vAlign w:val="bottom"/>
            <w:hideMark/>
          </w:tcPr>
          <w:p w14:paraId="59DBD401"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6322</w:t>
            </w:r>
          </w:p>
        </w:tc>
        <w:tc>
          <w:tcPr>
            <w:tcW w:w="880" w:type="dxa"/>
            <w:tcBorders>
              <w:top w:val="nil"/>
              <w:left w:val="nil"/>
              <w:bottom w:val="nil"/>
              <w:right w:val="nil"/>
            </w:tcBorders>
            <w:shd w:val="clear" w:color="auto" w:fill="auto"/>
            <w:noWrap/>
            <w:vAlign w:val="bottom"/>
            <w:hideMark/>
          </w:tcPr>
          <w:p w14:paraId="6161009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0.0%</w:t>
            </w:r>
          </w:p>
        </w:tc>
        <w:tc>
          <w:tcPr>
            <w:tcW w:w="960" w:type="dxa"/>
            <w:tcBorders>
              <w:top w:val="nil"/>
              <w:left w:val="nil"/>
              <w:bottom w:val="nil"/>
              <w:right w:val="nil"/>
            </w:tcBorders>
            <w:shd w:val="clear" w:color="auto" w:fill="auto"/>
            <w:noWrap/>
            <w:vAlign w:val="bottom"/>
            <w:hideMark/>
          </w:tcPr>
          <w:p w14:paraId="616116C5"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1505</w:t>
            </w:r>
          </w:p>
        </w:tc>
        <w:tc>
          <w:tcPr>
            <w:tcW w:w="1060" w:type="dxa"/>
            <w:tcBorders>
              <w:top w:val="nil"/>
              <w:left w:val="nil"/>
              <w:bottom w:val="nil"/>
              <w:right w:val="nil"/>
            </w:tcBorders>
            <w:shd w:val="clear" w:color="auto" w:fill="auto"/>
            <w:noWrap/>
            <w:vAlign w:val="bottom"/>
            <w:hideMark/>
          </w:tcPr>
          <w:p w14:paraId="64B362F3"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0.2%</w:t>
            </w:r>
          </w:p>
        </w:tc>
      </w:tr>
      <w:tr w:rsidR="00FE5BC1" w:rsidRPr="00FE5BC1" w14:paraId="42EC5E9C" w14:textId="77777777" w:rsidTr="00FE5BC1">
        <w:trPr>
          <w:trHeight w:val="300"/>
        </w:trPr>
        <w:tc>
          <w:tcPr>
            <w:tcW w:w="380" w:type="dxa"/>
            <w:tcBorders>
              <w:top w:val="nil"/>
              <w:left w:val="nil"/>
              <w:bottom w:val="nil"/>
              <w:right w:val="nil"/>
            </w:tcBorders>
            <w:shd w:val="clear" w:color="auto" w:fill="auto"/>
            <w:noWrap/>
            <w:vAlign w:val="bottom"/>
            <w:hideMark/>
          </w:tcPr>
          <w:p w14:paraId="6B914770"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3F6E7DA3"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Sex</w:t>
            </w:r>
          </w:p>
        </w:tc>
        <w:tc>
          <w:tcPr>
            <w:tcW w:w="1060" w:type="dxa"/>
            <w:tcBorders>
              <w:top w:val="nil"/>
              <w:left w:val="nil"/>
              <w:bottom w:val="nil"/>
              <w:right w:val="nil"/>
            </w:tcBorders>
            <w:shd w:val="clear" w:color="auto" w:fill="auto"/>
            <w:noWrap/>
            <w:vAlign w:val="bottom"/>
            <w:hideMark/>
          </w:tcPr>
          <w:p w14:paraId="0CD6AA1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6322</w:t>
            </w:r>
          </w:p>
        </w:tc>
        <w:tc>
          <w:tcPr>
            <w:tcW w:w="880" w:type="dxa"/>
            <w:tcBorders>
              <w:top w:val="nil"/>
              <w:left w:val="nil"/>
              <w:bottom w:val="nil"/>
              <w:right w:val="nil"/>
            </w:tcBorders>
            <w:shd w:val="clear" w:color="auto" w:fill="auto"/>
            <w:noWrap/>
            <w:vAlign w:val="bottom"/>
            <w:hideMark/>
          </w:tcPr>
          <w:p w14:paraId="2246E51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0.0%</w:t>
            </w:r>
          </w:p>
        </w:tc>
        <w:tc>
          <w:tcPr>
            <w:tcW w:w="960" w:type="dxa"/>
            <w:tcBorders>
              <w:top w:val="nil"/>
              <w:left w:val="nil"/>
              <w:bottom w:val="nil"/>
              <w:right w:val="nil"/>
            </w:tcBorders>
            <w:shd w:val="clear" w:color="auto" w:fill="auto"/>
            <w:noWrap/>
            <w:vAlign w:val="bottom"/>
            <w:hideMark/>
          </w:tcPr>
          <w:p w14:paraId="14D0069E"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1506</w:t>
            </w:r>
          </w:p>
        </w:tc>
        <w:tc>
          <w:tcPr>
            <w:tcW w:w="1060" w:type="dxa"/>
            <w:tcBorders>
              <w:top w:val="nil"/>
              <w:left w:val="nil"/>
              <w:bottom w:val="nil"/>
              <w:right w:val="nil"/>
            </w:tcBorders>
            <w:shd w:val="clear" w:color="auto" w:fill="auto"/>
            <w:noWrap/>
            <w:vAlign w:val="bottom"/>
            <w:hideMark/>
          </w:tcPr>
          <w:p w14:paraId="0B9A8BA8"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0.1%</w:t>
            </w:r>
          </w:p>
        </w:tc>
      </w:tr>
      <w:tr w:rsidR="00FE5BC1" w:rsidRPr="00FE5BC1" w14:paraId="39DDA308" w14:textId="77777777" w:rsidTr="00FE5BC1">
        <w:trPr>
          <w:trHeight w:val="300"/>
        </w:trPr>
        <w:tc>
          <w:tcPr>
            <w:tcW w:w="380" w:type="dxa"/>
            <w:tcBorders>
              <w:top w:val="nil"/>
              <w:left w:val="nil"/>
              <w:bottom w:val="nil"/>
              <w:right w:val="nil"/>
            </w:tcBorders>
            <w:shd w:val="clear" w:color="auto" w:fill="auto"/>
            <w:noWrap/>
            <w:vAlign w:val="bottom"/>
            <w:hideMark/>
          </w:tcPr>
          <w:p w14:paraId="00F65174"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049F8D43"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Time since HD start</w:t>
            </w:r>
          </w:p>
        </w:tc>
        <w:tc>
          <w:tcPr>
            <w:tcW w:w="1060" w:type="dxa"/>
            <w:tcBorders>
              <w:top w:val="nil"/>
              <w:left w:val="nil"/>
              <w:bottom w:val="nil"/>
              <w:right w:val="nil"/>
            </w:tcBorders>
            <w:shd w:val="clear" w:color="auto" w:fill="auto"/>
            <w:noWrap/>
            <w:vAlign w:val="bottom"/>
            <w:hideMark/>
          </w:tcPr>
          <w:p w14:paraId="77FAE6B4"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6249</w:t>
            </w:r>
          </w:p>
        </w:tc>
        <w:tc>
          <w:tcPr>
            <w:tcW w:w="880" w:type="dxa"/>
            <w:tcBorders>
              <w:top w:val="nil"/>
              <w:left w:val="nil"/>
              <w:bottom w:val="nil"/>
              <w:right w:val="nil"/>
            </w:tcBorders>
            <w:shd w:val="clear" w:color="auto" w:fill="auto"/>
            <w:noWrap/>
            <w:vAlign w:val="bottom"/>
            <w:hideMark/>
          </w:tcPr>
          <w:p w14:paraId="6F7188E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1.2%</w:t>
            </w:r>
          </w:p>
        </w:tc>
        <w:tc>
          <w:tcPr>
            <w:tcW w:w="960" w:type="dxa"/>
            <w:tcBorders>
              <w:top w:val="nil"/>
              <w:left w:val="nil"/>
              <w:bottom w:val="nil"/>
              <w:right w:val="nil"/>
            </w:tcBorders>
            <w:shd w:val="clear" w:color="auto" w:fill="auto"/>
            <w:noWrap/>
            <w:vAlign w:val="bottom"/>
            <w:hideMark/>
          </w:tcPr>
          <w:p w14:paraId="719DC3B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1483</w:t>
            </w:r>
          </w:p>
        </w:tc>
        <w:tc>
          <w:tcPr>
            <w:tcW w:w="1060" w:type="dxa"/>
            <w:tcBorders>
              <w:top w:val="nil"/>
              <w:left w:val="nil"/>
              <w:bottom w:val="nil"/>
              <w:right w:val="nil"/>
            </w:tcBorders>
            <w:shd w:val="clear" w:color="auto" w:fill="auto"/>
            <w:noWrap/>
            <w:vAlign w:val="bottom"/>
            <w:hideMark/>
          </w:tcPr>
          <w:p w14:paraId="4C6AD797"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1.7%</w:t>
            </w:r>
          </w:p>
        </w:tc>
      </w:tr>
      <w:tr w:rsidR="00FE5BC1" w:rsidRPr="00FE5BC1" w14:paraId="06359F66" w14:textId="77777777" w:rsidTr="00FE5BC1">
        <w:trPr>
          <w:trHeight w:val="300"/>
        </w:trPr>
        <w:tc>
          <w:tcPr>
            <w:tcW w:w="380" w:type="dxa"/>
            <w:tcBorders>
              <w:top w:val="nil"/>
              <w:left w:val="nil"/>
              <w:bottom w:val="nil"/>
              <w:right w:val="nil"/>
            </w:tcBorders>
            <w:shd w:val="clear" w:color="auto" w:fill="auto"/>
            <w:noWrap/>
            <w:vAlign w:val="bottom"/>
            <w:hideMark/>
          </w:tcPr>
          <w:p w14:paraId="06C44852"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3317202C"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Weight</w:t>
            </w:r>
          </w:p>
        </w:tc>
        <w:tc>
          <w:tcPr>
            <w:tcW w:w="1060" w:type="dxa"/>
            <w:tcBorders>
              <w:top w:val="nil"/>
              <w:left w:val="nil"/>
              <w:bottom w:val="nil"/>
              <w:right w:val="nil"/>
            </w:tcBorders>
            <w:shd w:val="clear" w:color="auto" w:fill="auto"/>
            <w:noWrap/>
            <w:vAlign w:val="bottom"/>
            <w:hideMark/>
          </w:tcPr>
          <w:p w14:paraId="1939FC2C"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6297</w:t>
            </w:r>
          </w:p>
        </w:tc>
        <w:tc>
          <w:tcPr>
            <w:tcW w:w="880" w:type="dxa"/>
            <w:tcBorders>
              <w:top w:val="nil"/>
              <w:left w:val="nil"/>
              <w:bottom w:val="nil"/>
              <w:right w:val="nil"/>
            </w:tcBorders>
            <w:shd w:val="clear" w:color="auto" w:fill="auto"/>
            <w:noWrap/>
            <w:vAlign w:val="bottom"/>
            <w:hideMark/>
          </w:tcPr>
          <w:p w14:paraId="608BE2B3"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0.4%</w:t>
            </w:r>
          </w:p>
        </w:tc>
        <w:tc>
          <w:tcPr>
            <w:tcW w:w="960" w:type="dxa"/>
            <w:tcBorders>
              <w:top w:val="nil"/>
              <w:left w:val="nil"/>
              <w:bottom w:val="nil"/>
              <w:right w:val="nil"/>
            </w:tcBorders>
            <w:shd w:val="clear" w:color="auto" w:fill="auto"/>
            <w:noWrap/>
            <w:vAlign w:val="bottom"/>
            <w:hideMark/>
          </w:tcPr>
          <w:p w14:paraId="7184C823"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1496</w:t>
            </w:r>
          </w:p>
        </w:tc>
        <w:tc>
          <w:tcPr>
            <w:tcW w:w="1060" w:type="dxa"/>
            <w:tcBorders>
              <w:top w:val="nil"/>
              <w:left w:val="nil"/>
              <w:bottom w:val="nil"/>
              <w:right w:val="nil"/>
            </w:tcBorders>
            <w:shd w:val="clear" w:color="auto" w:fill="auto"/>
            <w:noWrap/>
            <w:vAlign w:val="bottom"/>
            <w:hideMark/>
          </w:tcPr>
          <w:p w14:paraId="0DFEE22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0.8%</w:t>
            </w:r>
          </w:p>
        </w:tc>
      </w:tr>
      <w:tr w:rsidR="00FE5BC1" w:rsidRPr="00FE5BC1" w14:paraId="78C528C2" w14:textId="77777777" w:rsidTr="00FE5BC1">
        <w:trPr>
          <w:trHeight w:val="300"/>
        </w:trPr>
        <w:tc>
          <w:tcPr>
            <w:tcW w:w="3300" w:type="dxa"/>
            <w:gridSpan w:val="2"/>
            <w:tcBorders>
              <w:top w:val="nil"/>
              <w:left w:val="nil"/>
              <w:bottom w:val="nil"/>
              <w:right w:val="nil"/>
            </w:tcBorders>
            <w:shd w:val="clear" w:color="auto" w:fill="auto"/>
            <w:noWrap/>
            <w:vAlign w:val="bottom"/>
            <w:hideMark/>
          </w:tcPr>
          <w:p w14:paraId="5230C141"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Anemia-related variables</w:t>
            </w:r>
          </w:p>
        </w:tc>
        <w:tc>
          <w:tcPr>
            <w:tcW w:w="1060" w:type="dxa"/>
            <w:tcBorders>
              <w:top w:val="nil"/>
              <w:left w:val="nil"/>
              <w:bottom w:val="nil"/>
              <w:right w:val="nil"/>
            </w:tcBorders>
            <w:shd w:val="clear" w:color="auto" w:fill="auto"/>
            <w:noWrap/>
            <w:vAlign w:val="bottom"/>
            <w:hideMark/>
          </w:tcPr>
          <w:p w14:paraId="3372B31B" w14:textId="77777777" w:rsidR="00FE5BC1" w:rsidRPr="00FE5BC1" w:rsidRDefault="00FE5BC1" w:rsidP="00FE5BC1">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524DDA24" w14:textId="77777777" w:rsidR="00FE5BC1" w:rsidRPr="00FE5BC1" w:rsidRDefault="00FE5BC1" w:rsidP="00FE5BC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FB66DEC" w14:textId="77777777" w:rsidR="00FE5BC1" w:rsidRPr="00FE5BC1" w:rsidRDefault="00FE5BC1" w:rsidP="00FE5BC1">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4A3BE37" w14:textId="77777777" w:rsidR="00FE5BC1" w:rsidRPr="00FE5BC1" w:rsidRDefault="00FE5BC1" w:rsidP="00FE5BC1">
            <w:pPr>
              <w:spacing w:after="0" w:line="240" w:lineRule="auto"/>
              <w:rPr>
                <w:rFonts w:ascii="Times New Roman" w:eastAsia="Times New Roman" w:hAnsi="Times New Roman" w:cs="Times New Roman"/>
                <w:sz w:val="20"/>
                <w:szCs w:val="20"/>
              </w:rPr>
            </w:pPr>
          </w:p>
        </w:tc>
      </w:tr>
      <w:tr w:rsidR="00FE5BC1" w:rsidRPr="00FE5BC1" w14:paraId="651F16B3" w14:textId="77777777" w:rsidTr="00FE5BC1">
        <w:trPr>
          <w:trHeight w:val="300"/>
        </w:trPr>
        <w:tc>
          <w:tcPr>
            <w:tcW w:w="380" w:type="dxa"/>
            <w:tcBorders>
              <w:top w:val="nil"/>
              <w:left w:val="nil"/>
              <w:bottom w:val="nil"/>
              <w:right w:val="nil"/>
            </w:tcBorders>
            <w:shd w:val="clear" w:color="auto" w:fill="auto"/>
            <w:noWrap/>
            <w:vAlign w:val="bottom"/>
            <w:hideMark/>
          </w:tcPr>
          <w:p w14:paraId="3EB98014" w14:textId="77777777" w:rsidR="00FE5BC1" w:rsidRPr="00FE5BC1" w:rsidRDefault="00FE5BC1" w:rsidP="00FE5BC1">
            <w:pPr>
              <w:spacing w:after="0" w:line="240" w:lineRule="auto"/>
              <w:jc w:val="center"/>
              <w:rPr>
                <w:rFonts w:ascii="Times New Roman" w:eastAsia="Times New Roman" w:hAnsi="Times New Roman" w:cs="Times New Roman"/>
                <w:sz w:val="20"/>
                <w:szCs w:val="20"/>
              </w:rPr>
            </w:pPr>
          </w:p>
        </w:tc>
        <w:tc>
          <w:tcPr>
            <w:tcW w:w="2920" w:type="dxa"/>
            <w:tcBorders>
              <w:top w:val="nil"/>
              <w:left w:val="nil"/>
              <w:bottom w:val="nil"/>
              <w:right w:val="nil"/>
            </w:tcBorders>
            <w:shd w:val="clear" w:color="auto" w:fill="auto"/>
            <w:noWrap/>
            <w:vAlign w:val="bottom"/>
            <w:hideMark/>
          </w:tcPr>
          <w:p w14:paraId="6D7364CA"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Serum ferritin (LOCF)</w:t>
            </w:r>
          </w:p>
        </w:tc>
        <w:tc>
          <w:tcPr>
            <w:tcW w:w="1060" w:type="dxa"/>
            <w:tcBorders>
              <w:top w:val="nil"/>
              <w:left w:val="nil"/>
              <w:bottom w:val="nil"/>
              <w:right w:val="nil"/>
            </w:tcBorders>
            <w:shd w:val="clear" w:color="auto" w:fill="auto"/>
            <w:noWrap/>
            <w:vAlign w:val="bottom"/>
            <w:hideMark/>
          </w:tcPr>
          <w:p w14:paraId="7EEE9E4D"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5994</w:t>
            </w:r>
          </w:p>
        </w:tc>
        <w:tc>
          <w:tcPr>
            <w:tcW w:w="880" w:type="dxa"/>
            <w:tcBorders>
              <w:top w:val="nil"/>
              <w:left w:val="nil"/>
              <w:bottom w:val="nil"/>
              <w:right w:val="nil"/>
            </w:tcBorders>
            <w:shd w:val="clear" w:color="auto" w:fill="auto"/>
            <w:noWrap/>
            <w:vAlign w:val="bottom"/>
            <w:hideMark/>
          </w:tcPr>
          <w:p w14:paraId="233BF92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5.2%</w:t>
            </w:r>
          </w:p>
        </w:tc>
        <w:tc>
          <w:tcPr>
            <w:tcW w:w="960" w:type="dxa"/>
            <w:tcBorders>
              <w:top w:val="nil"/>
              <w:left w:val="nil"/>
              <w:bottom w:val="nil"/>
              <w:right w:val="nil"/>
            </w:tcBorders>
            <w:shd w:val="clear" w:color="auto" w:fill="auto"/>
            <w:noWrap/>
            <w:vAlign w:val="bottom"/>
            <w:hideMark/>
          </w:tcPr>
          <w:p w14:paraId="4ED2B093"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1375</w:t>
            </w:r>
          </w:p>
        </w:tc>
        <w:tc>
          <w:tcPr>
            <w:tcW w:w="1060" w:type="dxa"/>
            <w:tcBorders>
              <w:top w:val="nil"/>
              <w:left w:val="nil"/>
              <w:bottom w:val="nil"/>
              <w:right w:val="nil"/>
            </w:tcBorders>
            <w:shd w:val="clear" w:color="auto" w:fill="auto"/>
            <w:noWrap/>
            <w:vAlign w:val="bottom"/>
            <w:hideMark/>
          </w:tcPr>
          <w:p w14:paraId="03CCDBF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8.8%</w:t>
            </w:r>
          </w:p>
        </w:tc>
      </w:tr>
      <w:tr w:rsidR="00FE5BC1" w:rsidRPr="00FE5BC1" w14:paraId="6206B4A8" w14:textId="77777777" w:rsidTr="00FE5BC1">
        <w:trPr>
          <w:trHeight w:val="300"/>
        </w:trPr>
        <w:tc>
          <w:tcPr>
            <w:tcW w:w="380" w:type="dxa"/>
            <w:tcBorders>
              <w:top w:val="nil"/>
              <w:left w:val="nil"/>
              <w:bottom w:val="nil"/>
              <w:right w:val="nil"/>
            </w:tcBorders>
            <w:shd w:val="clear" w:color="auto" w:fill="auto"/>
            <w:noWrap/>
            <w:vAlign w:val="bottom"/>
            <w:hideMark/>
          </w:tcPr>
          <w:p w14:paraId="74B6C2EA"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22608ECF"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TSAT (LOCF)</w:t>
            </w:r>
          </w:p>
        </w:tc>
        <w:tc>
          <w:tcPr>
            <w:tcW w:w="1060" w:type="dxa"/>
            <w:tcBorders>
              <w:top w:val="nil"/>
              <w:left w:val="nil"/>
              <w:bottom w:val="nil"/>
              <w:right w:val="nil"/>
            </w:tcBorders>
            <w:shd w:val="clear" w:color="auto" w:fill="auto"/>
            <w:noWrap/>
            <w:vAlign w:val="bottom"/>
            <w:hideMark/>
          </w:tcPr>
          <w:p w14:paraId="6D536227"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5891</w:t>
            </w:r>
          </w:p>
        </w:tc>
        <w:tc>
          <w:tcPr>
            <w:tcW w:w="880" w:type="dxa"/>
            <w:tcBorders>
              <w:top w:val="nil"/>
              <w:left w:val="nil"/>
              <w:bottom w:val="nil"/>
              <w:right w:val="nil"/>
            </w:tcBorders>
            <w:shd w:val="clear" w:color="auto" w:fill="auto"/>
            <w:noWrap/>
            <w:vAlign w:val="bottom"/>
            <w:hideMark/>
          </w:tcPr>
          <w:p w14:paraId="32E972E5"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6.9%</w:t>
            </w:r>
          </w:p>
        </w:tc>
        <w:tc>
          <w:tcPr>
            <w:tcW w:w="960" w:type="dxa"/>
            <w:tcBorders>
              <w:top w:val="nil"/>
              <w:left w:val="nil"/>
              <w:bottom w:val="nil"/>
              <w:right w:val="nil"/>
            </w:tcBorders>
            <w:shd w:val="clear" w:color="auto" w:fill="auto"/>
            <w:noWrap/>
            <w:vAlign w:val="bottom"/>
            <w:hideMark/>
          </w:tcPr>
          <w:p w14:paraId="40E9976E"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1346</w:t>
            </w:r>
          </w:p>
        </w:tc>
        <w:tc>
          <w:tcPr>
            <w:tcW w:w="1060" w:type="dxa"/>
            <w:tcBorders>
              <w:top w:val="nil"/>
              <w:left w:val="nil"/>
              <w:bottom w:val="nil"/>
              <w:right w:val="nil"/>
            </w:tcBorders>
            <w:shd w:val="clear" w:color="auto" w:fill="auto"/>
            <w:noWrap/>
            <w:vAlign w:val="bottom"/>
            <w:hideMark/>
          </w:tcPr>
          <w:p w14:paraId="5C63217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10.7%</w:t>
            </w:r>
          </w:p>
        </w:tc>
      </w:tr>
      <w:tr w:rsidR="00FE5BC1" w:rsidRPr="00FE5BC1" w14:paraId="017A68E0" w14:textId="77777777" w:rsidTr="00FE5BC1">
        <w:trPr>
          <w:trHeight w:val="300"/>
        </w:trPr>
        <w:tc>
          <w:tcPr>
            <w:tcW w:w="380" w:type="dxa"/>
            <w:tcBorders>
              <w:top w:val="nil"/>
              <w:left w:val="nil"/>
              <w:bottom w:val="nil"/>
              <w:right w:val="nil"/>
            </w:tcBorders>
            <w:shd w:val="clear" w:color="auto" w:fill="auto"/>
            <w:noWrap/>
            <w:vAlign w:val="bottom"/>
            <w:hideMark/>
          </w:tcPr>
          <w:p w14:paraId="364D6B3F"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53181E09"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Hemoglobin</w:t>
            </w:r>
          </w:p>
        </w:tc>
        <w:tc>
          <w:tcPr>
            <w:tcW w:w="1060" w:type="dxa"/>
            <w:tcBorders>
              <w:top w:val="nil"/>
              <w:left w:val="nil"/>
              <w:bottom w:val="nil"/>
              <w:right w:val="nil"/>
            </w:tcBorders>
            <w:shd w:val="clear" w:color="auto" w:fill="auto"/>
            <w:noWrap/>
            <w:vAlign w:val="bottom"/>
            <w:hideMark/>
          </w:tcPr>
          <w:p w14:paraId="5F452A6A"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5772</w:t>
            </w:r>
          </w:p>
        </w:tc>
        <w:tc>
          <w:tcPr>
            <w:tcW w:w="880" w:type="dxa"/>
            <w:tcBorders>
              <w:top w:val="nil"/>
              <w:left w:val="nil"/>
              <w:bottom w:val="nil"/>
              <w:right w:val="nil"/>
            </w:tcBorders>
            <w:shd w:val="clear" w:color="auto" w:fill="auto"/>
            <w:noWrap/>
            <w:vAlign w:val="bottom"/>
            <w:hideMark/>
          </w:tcPr>
          <w:p w14:paraId="7B791AF7"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8.7%</w:t>
            </w:r>
          </w:p>
        </w:tc>
        <w:tc>
          <w:tcPr>
            <w:tcW w:w="960" w:type="dxa"/>
            <w:tcBorders>
              <w:top w:val="nil"/>
              <w:left w:val="nil"/>
              <w:bottom w:val="nil"/>
              <w:right w:val="nil"/>
            </w:tcBorders>
            <w:shd w:val="clear" w:color="auto" w:fill="auto"/>
            <w:noWrap/>
            <w:vAlign w:val="bottom"/>
            <w:hideMark/>
          </w:tcPr>
          <w:p w14:paraId="700C7C99"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1376</w:t>
            </w:r>
          </w:p>
        </w:tc>
        <w:tc>
          <w:tcPr>
            <w:tcW w:w="1060" w:type="dxa"/>
            <w:tcBorders>
              <w:top w:val="nil"/>
              <w:left w:val="nil"/>
              <w:bottom w:val="nil"/>
              <w:right w:val="nil"/>
            </w:tcBorders>
            <w:shd w:val="clear" w:color="auto" w:fill="auto"/>
            <w:noWrap/>
            <w:vAlign w:val="bottom"/>
            <w:hideMark/>
          </w:tcPr>
          <w:p w14:paraId="2A14F7FD"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8.8%</w:t>
            </w:r>
          </w:p>
        </w:tc>
      </w:tr>
      <w:tr w:rsidR="00FE5BC1" w:rsidRPr="00FE5BC1" w14:paraId="41A59D58" w14:textId="77777777" w:rsidTr="00FE5BC1">
        <w:trPr>
          <w:trHeight w:val="300"/>
        </w:trPr>
        <w:tc>
          <w:tcPr>
            <w:tcW w:w="380" w:type="dxa"/>
            <w:tcBorders>
              <w:top w:val="nil"/>
              <w:left w:val="nil"/>
              <w:bottom w:val="nil"/>
              <w:right w:val="nil"/>
            </w:tcBorders>
            <w:shd w:val="clear" w:color="auto" w:fill="auto"/>
            <w:noWrap/>
            <w:vAlign w:val="bottom"/>
            <w:hideMark/>
          </w:tcPr>
          <w:p w14:paraId="5016032F"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7785098C"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ESA use</w:t>
            </w:r>
          </w:p>
        </w:tc>
        <w:tc>
          <w:tcPr>
            <w:tcW w:w="1060" w:type="dxa"/>
            <w:tcBorders>
              <w:top w:val="nil"/>
              <w:left w:val="nil"/>
              <w:bottom w:val="nil"/>
              <w:right w:val="nil"/>
            </w:tcBorders>
            <w:shd w:val="clear" w:color="auto" w:fill="auto"/>
            <w:noWrap/>
            <w:vAlign w:val="bottom"/>
            <w:hideMark/>
          </w:tcPr>
          <w:p w14:paraId="45CC459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6126</w:t>
            </w:r>
          </w:p>
        </w:tc>
        <w:tc>
          <w:tcPr>
            <w:tcW w:w="880" w:type="dxa"/>
            <w:tcBorders>
              <w:top w:val="nil"/>
              <w:left w:val="nil"/>
              <w:bottom w:val="nil"/>
              <w:right w:val="nil"/>
            </w:tcBorders>
            <w:shd w:val="clear" w:color="auto" w:fill="auto"/>
            <w:noWrap/>
            <w:vAlign w:val="bottom"/>
            <w:hideMark/>
          </w:tcPr>
          <w:p w14:paraId="48972DFD"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3.1%</w:t>
            </w:r>
          </w:p>
        </w:tc>
        <w:tc>
          <w:tcPr>
            <w:tcW w:w="960" w:type="dxa"/>
            <w:tcBorders>
              <w:top w:val="nil"/>
              <w:left w:val="nil"/>
              <w:bottom w:val="nil"/>
              <w:right w:val="nil"/>
            </w:tcBorders>
            <w:shd w:val="clear" w:color="auto" w:fill="auto"/>
            <w:noWrap/>
            <w:vAlign w:val="bottom"/>
            <w:hideMark/>
          </w:tcPr>
          <w:p w14:paraId="6ACC2537"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1457</w:t>
            </w:r>
          </w:p>
        </w:tc>
        <w:tc>
          <w:tcPr>
            <w:tcW w:w="1060" w:type="dxa"/>
            <w:tcBorders>
              <w:top w:val="nil"/>
              <w:left w:val="nil"/>
              <w:bottom w:val="nil"/>
              <w:right w:val="nil"/>
            </w:tcBorders>
            <w:shd w:val="clear" w:color="auto" w:fill="auto"/>
            <w:noWrap/>
            <w:vAlign w:val="bottom"/>
            <w:hideMark/>
          </w:tcPr>
          <w:p w14:paraId="34BC94C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3.4%</w:t>
            </w:r>
          </w:p>
        </w:tc>
      </w:tr>
      <w:tr w:rsidR="00FE5BC1" w:rsidRPr="00FE5BC1" w14:paraId="302F4D12" w14:textId="77777777" w:rsidTr="00FE5BC1">
        <w:trPr>
          <w:trHeight w:val="300"/>
        </w:trPr>
        <w:tc>
          <w:tcPr>
            <w:tcW w:w="380" w:type="dxa"/>
            <w:tcBorders>
              <w:top w:val="nil"/>
              <w:left w:val="nil"/>
              <w:bottom w:val="nil"/>
              <w:right w:val="nil"/>
            </w:tcBorders>
            <w:shd w:val="clear" w:color="auto" w:fill="auto"/>
            <w:noWrap/>
            <w:vAlign w:val="bottom"/>
            <w:hideMark/>
          </w:tcPr>
          <w:p w14:paraId="09921223"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43CE8209" w14:textId="37BEC94D" w:rsidR="00FE5BC1" w:rsidRPr="00FE5BC1" w:rsidRDefault="00C762A8" w:rsidP="00FE5BC1">
            <w:pPr>
              <w:spacing w:after="0" w:line="240" w:lineRule="auto"/>
              <w:rPr>
                <w:rFonts w:ascii="Calibri" w:eastAsia="Times New Roman" w:hAnsi="Calibri" w:cs="Calibri"/>
                <w:color w:val="000000"/>
              </w:rPr>
            </w:pPr>
            <w:r>
              <w:rPr>
                <w:rFonts w:ascii="Calibri" w:eastAsia="Times New Roman" w:hAnsi="Calibri" w:cs="Calibri"/>
                <w:color w:val="000000"/>
              </w:rPr>
              <w:t xml:space="preserve">ESA </w:t>
            </w:r>
            <w:proofErr w:type="spellStart"/>
            <w:r>
              <w:rPr>
                <w:rFonts w:ascii="Calibri" w:eastAsia="Times New Roman" w:hAnsi="Calibri" w:cs="Calibri"/>
                <w:color w:val="000000"/>
              </w:rPr>
              <w:t>dose</w:t>
            </w:r>
            <w:r w:rsidRPr="00C762A8">
              <w:rPr>
                <w:rFonts w:ascii="Calibri" w:eastAsia="Times New Roman" w:hAnsi="Calibri" w:cs="Calibri"/>
                <w:color w:val="000000"/>
                <w:vertAlign w:val="superscript"/>
              </w:rPr>
              <w:t>a</w:t>
            </w:r>
            <w:proofErr w:type="spellEnd"/>
          </w:p>
        </w:tc>
        <w:tc>
          <w:tcPr>
            <w:tcW w:w="1060" w:type="dxa"/>
            <w:tcBorders>
              <w:top w:val="nil"/>
              <w:left w:val="nil"/>
              <w:bottom w:val="nil"/>
              <w:right w:val="nil"/>
            </w:tcBorders>
            <w:shd w:val="clear" w:color="auto" w:fill="auto"/>
            <w:noWrap/>
            <w:vAlign w:val="bottom"/>
            <w:hideMark/>
          </w:tcPr>
          <w:p w14:paraId="645F6B62"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4946</w:t>
            </w:r>
          </w:p>
        </w:tc>
        <w:tc>
          <w:tcPr>
            <w:tcW w:w="880" w:type="dxa"/>
            <w:tcBorders>
              <w:top w:val="nil"/>
              <w:left w:val="nil"/>
              <w:bottom w:val="nil"/>
              <w:right w:val="nil"/>
            </w:tcBorders>
            <w:shd w:val="clear" w:color="auto" w:fill="auto"/>
            <w:noWrap/>
            <w:vAlign w:val="bottom"/>
            <w:hideMark/>
          </w:tcPr>
          <w:p w14:paraId="3BA77FD2"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8.4%</w:t>
            </w:r>
          </w:p>
        </w:tc>
        <w:tc>
          <w:tcPr>
            <w:tcW w:w="960" w:type="dxa"/>
            <w:tcBorders>
              <w:top w:val="nil"/>
              <w:left w:val="nil"/>
              <w:bottom w:val="nil"/>
              <w:right w:val="nil"/>
            </w:tcBorders>
            <w:shd w:val="clear" w:color="auto" w:fill="auto"/>
            <w:noWrap/>
            <w:vAlign w:val="bottom"/>
            <w:hideMark/>
          </w:tcPr>
          <w:p w14:paraId="23DF606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1344</w:t>
            </w:r>
          </w:p>
        </w:tc>
        <w:tc>
          <w:tcPr>
            <w:tcW w:w="1060" w:type="dxa"/>
            <w:tcBorders>
              <w:top w:val="nil"/>
              <w:left w:val="nil"/>
              <w:bottom w:val="nil"/>
              <w:right w:val="nil"/>
            </w:tcBorders>
            <w:shd w:val="clear" w:color="auto" w:fill="auto"/>
            <w:noWrap/>
            <w:vAlign w:val="bottom"/>
            <w:hideMark/>
          </w:tcPr>
          <w:p w14:paraId="4B81087C"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7.8%</w:t>
            </w:r>
          </w:p>
        </w:tc>
      </w:tr>
      <w:tr w:rsidR="00FE5BC1" w:rsidRPr="00FE5BC1" w14:paraId="50692E4D" w14:textId="77777777" w:rsidTr="00FE5BC1">
        <w:trPr>
          <w:trHeight w:val="300"/>
        </w:trPr>
        <w:tc>
          <w:tcPr>
            <w:tcW w:w="380" w:type="dxa"/>
            <w:tcBorders>
              <w:top w:val="nil"/>
              <w:left w:val="nil"/>
              <w:bottom w:val="nil"/>
              <w:right w:val="nil"/>
            </w:tcBorders>
            <w:shd w:val="clear" w:color="auto" w:fill="auto"/>
            <w:noWrap/>
            <w:vAlign w:val="bottom"/>
            <w:hideMark/>
          </w:tcPr>
          <w:p w14:paraId="21AC8515"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727A2C6D"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IV iron use</w:t>
            </w:r>
          </w:p>
        </w:tc>
        <w:tc>
          <w:tcPr>
            <w:tcW w:w="1060" w:type="dxa"/>
            <w:tcBorders>
              <w:top w:val="nil"/>
              <w:left w:val="nil"/>
              <w:bottom w:val="nil"/>
              <w:right w:val="nil"/>
            </w:tcBorders>
            <w:shd w:val="clear" w:color="auto" w:fill="auto"/>
            <w:noWrap/>
            <w:vAlign w:val="bottom"/>
            <w:hideMark/>
          </w:tcPr>
          <w:p w14:paraId="54073B78"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6129</w:t>
            </w:r>
          </w:p>
        </w:tc>
        <w:tc>
          <w:tcPr>
            <w:tcW w:w="880" w:type="dxa"/>
            <w:tcBorders>
              <w:top w:val="nil"/>
              <w:left w:val="nil"/>
              <w:bottom w:val="nil"/>
              <w:right w:val="nil"/>
            </w:tcBorders>
            <w:shd w:val="clear" w:color="auto" w:fill="auto"/>
            <w:noWrap/>
            <w:vAlign w:val="bottom"/>
            <w:hideMark/>
          </w:tcPr>
          <w:p w14:paraId="34815DC2"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3.1%</w:t>
            </w:r>
          </w:p>
        </w:tc>
        <w:tc>
          <w:tcPr>
            <w:tcW w:w="960" w:type="dxa"/>
            <w:tcBorders>
              <w:top w:val="nil"/>
              <w:left w:val="nil"/>
              <w:bottom w:val="nil"/>
              <w:right w:val="nil"/>
            </w:tcBorders>
            <w:shd w:val="clear" w:color="auto" w:fill="auto"/>
            <w:noWrap/>
            <w:vAlign w:val="bottom"/>
            <w:hideMark/>
          </w:tcPr>
          <w:p w14:paraId="61F6BC48"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1459</w:t>
            </w:r>
          </w:p>
        </w:tc>
        <w:tc>
          <w:tcPr>
            <w:tcW w:w="1060" w:type="dxa"/>
            <w:tcBorders>
              <w:top w:val="nil"/>
              <w:left w:val="nil"/>
              <w:bottom w:val="nil"/>
              <w:right w:val="nil"/>
            </w:tcBorders>
            <w:shd w:val="clear" w:color="auto" w:fill="auto"/>
            <w:noWrap/>
            <w:vAlign w:val="bottom"/>
            <w:hideMark/>
          </w:tcPr>
          <w:p w14:paraId="51A20A12"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3.2%</w:t>
            </w:r>
          </w:p>
        </w:tc>
      </w:tr>
      <w:tr w:rsidR="00FE5BC1" w:rsidRPr="00FE5BC1" w14:paraId="56513D70" w14:textId="77777777" w:rsidTr="00FE5BC1">
        <w:trPr>
          <w:trHeight w:val="300"/>
        </w:trPr>
        <w:tc>
          <w:tcPr>
            <w:tcW w:w="380" w:type="dxa"/>
            <w:tcBorders>
              <w:top w:val="nil"/>
              <w:left w:val="nil"/>
              <w:bottom w:val="nil"/>
              <w:right w:val="nil"/>
            </w:tcBorders>
            <w:shd w:val="clear" w:color="auto" w:fill="auto"/>
            <w:noWrap/>
            <w:vAlign w:val="bottom"/>
            <w:hideMark/>
          </w:tcPr>
          <w:p w14:paraId="6E223109"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30C02A25" w14:textId="5E02D17A" w:rsidR="00FE5BC1" w:rsidRPr="00FE5BC1" w:rsidRDefault="00C762A8" w:rsidP="00FE5BC1">
            <w:pPr>
              <w:spacing w:after="0" w:line="240" w:lineRule="auto"/>
              <w:rPr>
                <w:rFonts w:ascii="Calibri" w:eastAsia="Times New Roman" w:hAnsi="Calibri" w:cs="Calibri"/>
                <w:color w:val="000000"/>
              </w:rPr>
            </w:pPr>
            <w:r>
              <w:rPr>
                <w:rFonts w:ascii="Calibri" w:eastAsia="Times New Roman" w:hAnsi="Calibri" w:cs="Calibri"/>
                <w:color w:val="000000"/>
              </w:rPr>
              <w:t xml:space="preserve">IV iron </w:t>
            </w:r>
            <w:proofErr w:type="spellStart"/>
            <w:r>
              <w:rPr>
                <w:rFonts w:ascii="Calibri" w:eastAsia="Times New Roman" w:hAnsi="Calibri" w:cs="Calibri"/>
                <w:color w:val="000000"/>
              </w:rPr>
              <w:t>dose</w:t>
            </w:r>
            <w:r w:rsidRPr="00C762A8">
              <w:rPr>
                <w:rFonts w:ascii="Calibri" w:eastAsia="Times New Roman" w:hAnsi="Calibri" w:cs="Calibri"/>
                <w:color w:val="000000"/>
                <w:vertAlign w:val="superscript"/>
              </w:rPr>
              <w:t>a</w:t>
            </w:r>
            <w:proofErr w:type="spellEnd"/>
          </w:p>
        </w:tc>
        <w:tc>
          <w:tcPr>
            <w:tcW w:w="1060" w:type="dxa"/>
            <w:tcBorders>
              <w:top w:val="nil"/>
              <w:left w:val="nil"/>
              <w:bottom w:val="nil"/>
              <w:right w:val="nil"/>
            </w:tcBorders>
            <w:shd w:val="clear" w:color="auto" w:fill="auto"/>
            <w:noWrap/>
            <w:vAlign w:val="bottom"/>
            <w:hideMark/>
          </w:tcPr>
          <w:p w14:paraId="571D9B4A"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4161</w:t>
            </w:r>
          </w:p>
        </w:tc>
        <w:tc>
          <w:tcPr>
            <w:tcW w:w="880" w:type="dxa"/>
            <w:tcBorders>
              <w:top w:val="nil"/>
              <w:left w:val="nil"/>
              <w:bottom w:val="nil"/>
              <w:right w:val="nil"/>
            </w:tcBorders>
            <w:shd w:val="clear" w:color="auto" w:fill="auto"/>
            <w:noWrap/>
            <w:vAlign w:val="bottom"/>
            <w:hideMark/>
          </w:tcPr>
          <w:p w14:paraId="25DB5B8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3.4%</w:t>
            </w:r>
          </w:p>
        </w:tc>
        <w:tc>
          <w:tcPr>
            <w:tcW w:w="960" w:type="dxa"/>
            <w:tcBorders>
              <w:top w:val="nil"/>
              <w:left w:val="nil"/>
              <w:bottom w:val="nil"/>
              <w:right w:val="nil"/>
            </w:tcBorders>
            <w:shd w:val="clear" w:color="auto" w:fill="auto"/>
            <w:noWrap/>
            <w:vAlign w:val="bottom"/>
            <w:hideMark/>
          </w:tcPr>
          <w:p w14:paraId="6B52DDE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1148</w:t>
            </w:r>
          </w:p>
        </w:tc>
        <w:tc>
          <w:tcPr>
            <w:tcW w:w="1060" w:type="dxa"/>
            <w:tcBorders>
              <w:top w:val="nil"/>
              <w:left w:val="nil"/>
              <w:bottom w:val="nil"/>
              <w:right w:val="nil"/>
            </w:tcBorders>
            <w:shd w:val="clear" w:color="auto" w:fill="auto"/>
            <w:noWrap/>
            <w:vAlign w:val="bottom"/>
            <w:hideMark/>
          </w:tcPr>
          <w:p w14:paraId="65179F9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3.3%</w:t>
            </w:r>
          </w:p>
        </w:tc>
      </w:tr>
      <w:tr w:rsidR="00FE5BC1" w:rsidRPr="00FE5BC1" w14:paraId="083E9E64" w14:textId="77777777" w:rsidTr="00FE5BC1">
        <w:trPr>
          <w:trHeight w:val="300"/>
        </w:trPr>
        <w:tc>
          <w:tcPr>
            <w:tcW w:w="3300" w:type="dxa"/>
            <w:gridSpan w:val="2"/>
            <w:tcBorders>
              <w:top w:val="nil"/>
              <w:left w:val="nil"/>
              <w:bottom w:val="nil"/>
              <w:right w:val="nil"/>
            </w:tcBorders>
            <w:shd w:val="clear" w:color="auto" w:fill="auto"/>
            <w:noWrap/>
            <w:vAlign w:val="bottom"/>
            <w:hideMark/>
          </w:tcPr>
          <w:p w14:paraId="05AEE1A2"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Other time-updated variables</w:t>
            </w:r>
          </w:p>
        </w:tc>
        <w:tc>
          <w:tcPr>
            <w:tcW w:w="1060" w:type="dxa"/>
            <w:tcBorders>
              <w:top w:val="nil"/>
              <w:left w:val="nil"/>
              <w:bottom w:val="nil"/>
              <w:right w:val="nil"/>
            </w:tcBorders>
            <w:shd w:val="clear" w:color="auto" w:fill="auto"/>
            <w:noWrap/>
            <w:vAlign w:val="bottom"/>
            <w:hideMark/>
          </w:tcPr>
          <w:p w14:paraId="2112C591" w14:textId="77777777" w:rsidR="00FE5BC1" w:rsidRPr="00FE5BC1" w:rsidRDefault="00FE5BC1" w:rsidP="00FE5BC1">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68320A9D" w14:textId="77777777" w:rsidR="00FE5BC1" w:rsidRPr="00FE5BC1" w:rsidRDefault="00FE5BC1" w:rsidP="00FE5BC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2CE190D" w14:textId="77777777" w:rsidR="00FE5BC1" w:rsidRPr="00FE5BC1" w:rsidRDefault="00FE5BC1" w:rsidP="00FE5BC1">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17A3F6C5" w14:textId="77777777" w:rsidR="00FE5BC1" w:rsidRPr="00FE5BC1" w:rsidRDefault="00FE5BC1" w:rsidP="00FE5BC1">
            <w:pPr>
              <w:spacing w:after="0" w:line="240" w:lineRule="auto"/>
              <w:rPr>
                <w:rFonts w:ascii="Times New Roman" w:eastAsia="Times New Roman" w:hAnsi="Times New Roman" w:cs="Times New Roman"/>
                <w:sz w:val="20"/>
                <w:szCs w:val="20"/>
              </w:rPr>
            </w:pPr>
          </w:p>
        </w:tc>
      </w:tr>
      <w:tr w:rsidR="00FE5BC1" w:rsidRPr="00FE5BC1" w14:paraId="5C2F3FC6" w14:textId="77777777" w:rsidTr="00FE5BC1">
        <w:trPr>
          <w:trHeight w:val="300"/>
        </w:trPr>
        <w:tc>
          <w:tcPr>
            <w:tcW w:w="380" w:type="dxa"/>
            <w:tcBorders>
              <w:top w:val="nil"/>
              <w:left w:val="nil"/>
              <w:bottom w:val="nil"/>
              <w:right w:val="nil"/>
            </w:tcBorders>
            <w:shd w:val="clear" w:color="auto" w:fill="auto"/>
            <w:noWrap/>
            <w:vAlign w:val="bottom"/>
            <w:hideMark/>
          </w:tcPr>
          <w:p w14:paraId="654F05FE" w14:textId="77777777" w:rsidR="00FE5BC1" w:rsidRPr="00FE5BC1" w:rsidRDefault="00FE5BC1" w:rsidP="00FE5BC1">
            <w:pPr>
              <w:spacing w:after="0" w:line="240" w:lineRule="auto"/>
              <w:jc w:val="center"/>
              <w:rPr>
                <w:rFonts w:ascii="Times New Roman" w:eastAsia="Times New Roman" w:hAnsi="Times New Roman" w:cs="Times New Roman"/>
                <w:sz w:val="20"/>
                <w:szCs w:val="20"/>
              </w:rPr>
            </w:pPr>
          </w:p>
        </w:tc>
        <w:tc>
          <w:tcPr>
            <w:tcW w:w="2920" w:type="dxa"/>
            <w:tcBorders>
              <w:top w:val="nil"/>
              <w:left w:val="nil"/>
              <w:bottom w:val="nil"/>
              <w:right w:val="nil"/>
            </w:tcBorders>
            <w:shd w:val="clear" w:color="auto" w:fill="auto"/>
            <w:noWrap/>
            <w:vAlign w:val="bottom"/>
            <w:hideMark/>
          </w:tcPr>
          <w:p w14:paraId="23A5CCCC"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Serum albumin (LOCF)</w:t>
            </w:r>
          </w:p>
        </w:tc>
        <w:tc>
          <w:tcPr>
            <w:tcW w:w="1060" w:type="dxa"/>
            <w:tcBorders>
              <w:top w:val="nil"/>
              <w:left w:val="nil"/>
              <w:bottom w:val="nil"/>
              <w:right w:val="nil"/>
            </w:tcBorders>
            <w:shd w:val="clear" w:color="auto" w:fill="auto"/>
            <w:noWrap/>
            <w:vAlign w:val="bottom"/>
            <w:hideMark/>
          </w:tcPr>
          <w:p w14:paraId="2AAE7AB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5915</w:t>
            </w:r>
          </w:p>
        </w:tc>
        <w:tc>
          <w:tcPr>
            <w:tcW w:w="880" w:type="dxa"/>
            <w:tcBorders>
              <w:top w:val="nil"/>
              <w:left w:val="nil"/>
              <w:bottom w:val="nil"/>
              <w:right w:val="nil"/>
            </w:tcBorders>
            <w:shd w:val="clear" w:color="auto" w:fill="auto"/>
            <w:noWrap/>
            <w:vAlign w:val="bottom"/>
            <w:hideMark/>
          </w:tcPr>
          <w:p w14:paraId="02A57DD8"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6.5%</w:t>
            </w:r>
          </w:p>
        </w:tc>
        <w:tc>
          <w:tcPr>
            <w:tcW w:w="960" w:type="dxa"/>
            <w:tcBorders>
              <w:top w:val="nil"/>
              <w:left w:val="nil"/>
              <w:bottom w:val="nil"/>
              <w:right w:val="nil"/>
            </w:tcBorders>
            <w:shd w:val="clear" w:color="auto" w:fill="auto"/>
            <w:noWrap/>
            <w:vAlign w:val="bottom"/>
            <w:hideMark/>
          </w:tcPr>
          <w:p w14:paraId="21D97B0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1381</w:t>
            </w:r>
          </w:p>
        </w:tc>
        <w:tc>
          <w:tcPr>
            <w:tcW w:w="1060" w:type="dxa"/>
            <w:tcBorders>
              <w:top w:val="nil"/>
              <w:left w:val="nil"/>
              <w:bottom w:val="nil"/>
              <w:right w:val="nil"/>
            </w:tcBorders>
            <w:shd w:val="clear" w:color="auto" w:fill="auto"/>
            <w:noWrap/>
            <w:vAlign w:val="bottom"/>
            <w:hideMark/>
          </w:tcPr>
          <w:p w14:paraId="2F51477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8.4%</w:t>
            </w:r>
          </w:p>
        </w:tc>
      </w:tr>
      <w:tr w:rsidR="00FE5BC1" w:rsidRPr="00FE5BC1" w14:paraId="5DDD38B5" w14:textId="77777777" w:rsidTr="00FE5BC1">
        <w:trPr>
          <w:trHeight w:val="300"/>
        </w:trPr>
        <w:tc>
          <w:tcPr>
            <w:tcW w:w="380" w:type="dxa"/>
            <w:tcBorders>
              <w:top w:val="nil"/>
              <w:left w:val="nil"/>
              <w:bottom w:val="nil"/>
              <w:right w:val="nil"/>
            </w:tcBorders>
            <w:shd w:val="clear" w:color="auto" w:fill="auto"/>
            <w:noWrap/>
            <w:vAlign w:val="bottom"/>
            <w:hideMark/>
          </w:tcPr>
          <w:p w14:paraId="1BAE7AD4"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0FAAE013"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Serum phosphorus</w:t>
            </w:r>
          </w:p>
        </w:tc>
        <w:tc>
          <w:tcPr>
            <w:tcW w:w="1060" w:type="dxa"/>
            <w:tcBorders>
              <w:top w:val="nil"/>
              <w:left w:val="nil"/>
              <w:bottom w:val="nil"/>
              <w:right w:val="nil"/>
            </w:tcBorders>
            <w:shd w:val="clear" w:color="auto" w:fill="auto"/>
            <w:noWrap/>
            <w:vAlign w:val="bottom"/>
            <w:hideMark/>
          </w:tcPr>
          <w:p w14:paraId="2962F033"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5635</w:t>
            </w:r>
          </w:p>
        </w:tc>
        <w:tc>
          <w:tcPr>
            <w:tcW w:w="880" w:type="dxa"/>
            <w:tcBorders>
              <w:top w:val="nil"/>
              <w:left w:val="nil"/>
              <w:bottom w:val="nil"/>
              <w:right w:val="nil"/>
            </w:tcBorders>
            <w:shd w:val="clear" w:color="auto" w:fill="auto"/>
            <w:noWrap/>
            <w:vAlign w:val="bottom"/>
            <w:hideMark/>
          </w:tcPr>
          <w:p w14:paraId="53A5B05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10.9%</w:t>
            </w:r>
          </w:p>
        </w:tc>
        <w:tc>
          <w:tcPr>
            <w:tcW w:w="960" w:type="dxa"/>
            <w:tcBorders>
              <w:top w:val="nil"/>
              <w:left w:val="nil"/>
              <w:bottom w:val="nil"/>
              <w:right w:val="nil"/>
            </w:tcBorders>
            <w:shd w:val="clear" w:color="auto" w:fill="auto"/>
            <w:noWrap/>
            <w:vAlign w:val="bottom"/>
            <w:hideMark/>
          </w:tcPr>
          <w:p w14:paraId="1669DA7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1339</w:t>
            </w:r>
          </w:p>
        </w:tc>
        <w:tc>
          <w:tcPr>
            <w:tcW w:w="1060" w:type="dxa"/>
            <w:tcBorders>
              <w:top w:val="nil"/>
              <w:left w:val="nil"/>
              <w:bottom w:val="nil"/>
              <w:right w:val="nil"/>
            </w:tcBorders>
            <w:shd w:val="clear" w:color="auto" w:fill="auto"/>
            <w:noWrap/>
            <w:vAlign w:val="bottom"/>
            <w:hideMark/>
          </w:tcPr>
          <w:p w14:paraId="75EE9BD5"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11.2%</w:t>
            </w:r>
          </w:p>
        </w:tc>
      </w:tr>
      <w:tr w:rsidR="00FE5BC1" w:rsidRPr="00FE5BC1" w14:paraId="1B4B93DD" w14:textId="77777777" w:rsidTr="00FE5BC1">
        <w:trPr>
          <w:trHeight w:val="300"/>
        </w:trPr>
        <w:tc>
          <w:tcPr>
            <w:tcW w:w="380" w:type="dxa"/>
            <w:tcBorders>
              <w:top w:val="nil"/>
              <w:left w:val="nil"/>
              <w:bottom w:val="nil"/>
              <w:right w:val="nil"/>
            </w:tcBorders>
            <w:shd w:val="clear" w:color="auto" w:fill="auto"/>
            <w:noWrap/>
            <w:vAlign w:val="bottom"/>
            <w:hideMark/>
          </w:tcPr>
          <w:p w14:paraId="0AD55B30"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3617F556"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C-reactive protein (LOCF)</w:t>
            </w:r>
          </w:p>
        </w:tc>
        <w:tc>
          <w:tcPr>
            <w:tcW w:w="1060" w:type="dxa"/>
            <w:tcBorders>
              <w:top w:val="nil"/>
              <w:left w:val="nil"/>
              <w:bottom w:val="nil"/>
              <w:right w:val="nil"/>
            </w:tcBorders>
            <w:shd w:val="clear" w:color="auto" w:fill="auto"/>
            <w:noWrap/>
            <w:vAlign w:val="bottom"/>
            <w:hideMark/>
          </w:tcPr>
          <w:p w14:paraId="502BC739"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4961</w:t>
            </w:r>
          </w:p>
        </w:tc>
        <w:tc>
          <w:tcPr>
            <w:tcW w:w="880" w:type="dxa"/>
            <w:tcBorders>
              <w:top w:val="nil"/>
              <w:left w:val="nil"/>
              <w:bottom w:val="nil"/>
              <w:right w:val="nil"/>
            </w:tcBorders>
            <w:shd w:val="clear" w:color="auto" w:fill="auto"/>
            <w:noWrap/>
            <w:vAlign w:val="bottom"/>
            <w:hideMark/>
          </w:tcPr>
          <w:p w14:paraId="3A86AD8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21.6%</w:t>
            </w:r>
          </w:p>
        </w:tc>
        <w:tc>
          <w:tcPr>
            <w:tcW w:w="960" w:type="dxa"/>
            <w:tcBorders>
              <w:top w:val="nil"/>
              <w:left w:val="nil"/>
              <w:bottom w:val="nil"/>
              <w:right w:val="nil"/>
            </w:tcBorders>
            <w:shd w:val="clear" w:color="auto" w:fill="auto"/>
            <w:noWrap/>
            <w:vAlign w:val="bottom"/>
            <w:hideMark/>
          </w:tcPr>
          <w:p w14:paraId="5BBBC30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1133</w:t>
            </w:r>
          </w:p>
        </w:tc>
        <w:tc>
          <w:tcPr>
            <w:tcW w:w="1060" w:type="dxa"/>
            <w:tcBorders>
              <w:top w:val="nil"/>
              <w:left w:val="nil"/>
              <w:bottom w:val="nil"/>
              <w:right w:val="nil"/>
            </w:tcBorders>
            <w:shd w:val="clear" w:color="auto" w:fill="auto"/>
            <w:noWrap/>
            <w:vAlign w:val="bottom"/>
            <w:hideMark/>
          </w:tcPr>
          <w:p w14:paraId="4D3592B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24.9%</w:t>
            </w:r>
          </w:p>
        </w:tc>
      </w:tr>
      <w:tr w:rsidR="00FE5BC1" w:rsidRPr="00FE5BC1" w14:paraId="6338CC17" w14:textId="77777777" w:rsidTr="00FE5BC1">
        <w:trPr>
          <w:trHeight w:val="300"/>
        </w:trPr>
        <w:tc>
          <w:tcPr>
            <w:tcW w:w="380" w:type="dxa"/>
            <w:tcBorders>
              <w:top w:val="nil"/>
              <w:left w:val="nil"/>
              <w:bottom w:val="nil"/>
              <w:right w:val="nil"/>
            </w:tcBorders>
            <w:shd w:val="clear" w:color="auto" w:fill="auto"/>
            <w:noWrap/>
            <w:vAlign w:val="bottom"/>
            <w:hideMark/>
          </w:tcPr>
          <w:p w14:paraId="3D743D08"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2F563B24"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Hospitalized in last month</w:t>
            </w:r>
          </w:p>
        </w:tc>
        <w:tc>
          <w:tcPr>
            <w:tcW w:w="1060" w:type="dxa"/>
            <w:tcBorders>
              <w:top w:val="nil"/>
              <w:left w:val="nil"/>
              <w:bottom w:val="nil"/>
              <w:right w:val="nil"/>
            </w:tcBorders>
            <w:shd w:val="clear" w:color="auto" w:fill="auto"/>
            <w:noWrap/>
            <w:vAlign w:val="bottom"/>
            <w:hideMark/>
          </w:tcPr>
          <w:p w14:paraId="1A27A8C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4383</w:t>
            </w:r>
          </w:p>
        </w:tc>
        <w:tc>
          <w:tcPr>
            <w:tcW w:w="880" w:type="dxa"/>
            <w:tcBorders>
              <w:top w:val="nil"/>
              <w:left w:val="nil"/>
              <w:bottom w:val="nil"/>
              <w:right w:val="nil"/>
            </w:tcBorders>
            <w:shd w:val="clear" w:color="auto" w:fill="auto"/>
            <w:noWrap/>
            <w:vAlign w:val="bottom"/>
            <w:hideMark/>
          </w:tcPr>
          <w:p w14:paraId="7E818AF7"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30.7%</w:t>
            </w:r>
          </w:p>
        </w:tc>
        <w:tc>
          <w:tcPr>
            <w:tcW w:w="960" w:type="dxa"/>
            <w:tcBorders>
              <w:top w:val="nil"/>
              <w:left w:val="nil"/>
              <w:bottom w:val="nil"/>
              <w:right w:val="nil"/>
            </w:tcBorders>
            <w:shd w:val="clear" w:color="auto" w:fill="auto"/>
            <w:noWrap/>
            <w:vAlign w:val="bottom"/>
            <w:hideMark/>
          </w:tcPr>
          <w:p w14:paraId="4ABD0EEE"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1221</w:t>
            </w:r>
          </w:p>
        </w:tc>
        <w:tc>
          <w:tcPr>
            <w:tcW w:w="1060" w:type="dxa"/>
            <w:tcBorders>
              <w:top w:val="nil"/>
              <w:left w:val="nil"/>
              <w:bottom w:val="nil"/>
              <w:right w:val="nil"/>
            </w:tcBorders>
            <w:shd w:val="clear" w:color="auto" w:fill="auto"/>
            <w:noWrap/>
            <w:vAlign w:val="bottom"/>
            <w:hideMark/>
          </w:tcPr>
          <w:p w14:paraId="51F29B33"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19.0%</w:t>
            </w:r>
          </w:p>
        </w:tc>
      </w:tr>
      <w:tr w:rsidR="00FE5BC1" w:rsidRPr="00FE5BC1" w14:paraId="45EE8C6D" w14:textId="77777777" w:rsidTr="00FE5BC1">
        <w:trPr>
          <w:trHeight w:val="300"/>
        </w:trPr>
        <w:tc>
          <w:tcPr>
            <w:tcW w:w="380" w:type="dxa"/>
            <w:tcBorders>
              <w:top w:val="nil"/>
              <w:left w:val="nil"/>
              <w:bottom w:val="nil"/>
              <w:right w:val="nil"/>
            </w:tcBorders>
            <w:shd w:val="clear" w:color="auto" w:fill="auto"/>
            <w:noWrap/>
            <w:vAlign w:val="bottom"/>
            <w:hideMark/>
          </w:tcPr>
          <w:p w14:paraId="14FA8306"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69812989"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Catheter use (%)</w:t>
            </w:r>
          </w:p>
        </w:tc>
        <w:tc>
          <w:tcPr>
            <w:tcW w:w="1060" w:type="dxa"/>
            <w:tcBorders>
              <w:top w:val="nil"/>
              <w:left w:val="nil"/>
              <w:bottom w:val="nil"/>
              <w:right w:val="nil"/>
            </w:tcBorders>
            <w:shd w:val="clear" w:color="auto" w:fill="auto"/>
            <w:noWrap/>
            <w:vAlign w:val="bottom"/>
            <w:hideMark/>
          </w:tcPr>
          <w:p w14:paraId="1B235AFE"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5701</w:t>
            </w:r>
          </w:p>
        </w:tc>
        <w:tc>
          <w:tcPr>
            <w:tcW w:w="880" w:type="dxa"/>
            <w:tcBorders>
              <w:top w:val="nil"/>
              <w:left w:val="nil"/>
              <w:bottom w:val="nil"/>
              <w:right w:val="nil"/>
            </w:tcBorders>
            <w:shd w:val="clear" w:color="auto" w:fill="auto"/>
            <w:noWrap/>
            <w:vAlign w:val="bottom"/>
            <w:hideMark/>
          </w:tcPr>
          <w:p w14:paraId="36667D2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9.9%</w:t>
            </w:r>
          </w:p>
        </w:tc>
        <w:tc>
          <w:tcPr>
            <w:tcW w:w="960" w:type="dxa"/>
            <w:tcBorders>
              <w:top w:val="nil"/>
              <w:left w:val="nil"/>
              <w:bottom w:val="nil"/>
              <w:right w:val="nil"/>
            </w:tcBorders>
            <w:shd w:val="clear" w:color="auto" w:fill="auto"/>
            <w:noWrap/>
            <w:vAlign w:val="bottom"/>
            <w:hideMark/>
          </w:tcPr>
          <w:p w14:paraId="14DCAB9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1414</w:t>
            </w:r>
          </w:p>
        </w:tc>
        <w:tc>
          <w:tcPr>
            <w:tcW w:w="1060" w:type="dxa"/>
            <w:tcBorders>
              <w:top w:val="nil"/>
              <w:left w:val="nil"/>
              <w:bottom w:val="nil"/>
              <w:right w:val="nil"/>
            </w:tcBorders>
            <w:shd w:val="clear" w:color="auto" w:fill="auto"/>
            <w:noWrap/>
            <w:vAlign w:val="bottom"/>
            <w:hideMark/>
          </w:tcPr>
          <w:p w14:paraId="70B0B3CC"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6.2%</w:t>
            </w:r>
          </w:p>
        </w:tc>
      </w:tr>
      <w:tr w:rsidR="00FE5BC1" w:rsidRPr="00FE5BC1" w14:paraId="6054898B" w14:textId="77777777" w:rsidTr="00FE5BC1">
        <w:trPr>
          <w:trHeight w:val="300"/>
        </w:trPr>
        <w:tc>
          <w:tcPr>
            <w:tcW w:w="3300" w:type="dxa"/>
            <w:gridSpan w:val="2"/>
            <w:tcBorders>
              <w:top w:val="nil"/>
              <w:left w:val="nil"/>
              <w:bottom w:val="nil"/>
              <w:right w:val="nil"/>
            </w:tcBorders>
            <w:shd w:val="clear" w:color="auto" w:fill="auto"/>
            <w:noWrap/>
            <w:vAlign w:val="bottom"/>
            <w:hideMark/>
          </w:tcPr>
          <w:p w14:paraId="6B8DFA0D"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Comorbidity history</w:t>
            </w:r>
          </w:p>
        </w:tc>
        <w:tc>
          <w:tcPr>
            <w:tcW w:w="1060" w:type="dxa"/>
            <w:tcBorders>
              <w:top w:val="nil"/>
              <w:left w:val="nil"/>
              <w:bottom w:val="nil"/>
              <w:right w:val="nil"/>
            </w:tcBorders>
            <w:shd w:val="clear" w:color="auto" w:fill="auto"/>
            <w:noWrap/>
            <w:vAlign w:val="bottom"/>
            <w:hideMark/>
          </w:tcPr>
          <w:p w14:paraId="40BEB75D" w14:textId="77777777" w:rsidR="00FE5BC1" w:rsidRPr="00FE5BC1" w:rsidRDefault="00FE5BC1" w:rsidP="00FE5BC1">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6F8D4153" w14:textId="77777777" w:rsidR="00FE5BC1" w:rsidRPr="00FE5BC1" w:rsidRDefault="00FE5BC1" w:rsidP="00FE5BC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910057D" w14:textId="77777777" w:rsidR="00FE5BC1" w:rsidRPr="00FE5BC1" w:rsidRDefault="00FE5BC1" w:rsidP="00FE5BC1">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16AF5B76" w14:textId="77777777" w:rsidR="00FE5BC1" w:rsidRPr="00FE5BC1" w:rsidRDefault="00FE5BC1" w:rsidP="00FE5BC1">
            <w:pPr>
              <w:spacing w:after="0" w:line="240" w:lineRule="auto"/>
              <w:rPr>
                <w:rFonts w:ascii="Times New Roman" w:eastAsia="Times New Roman" w:hAnsi="Times New Roman" w:cs="Times New Roman"/>
                <w:sz w:val="20"/>
                <w:szCs w:val="20"/>
              </w:rPr>
            </w:pPr>
          </w:p>
        </w:tc>
      </w:tr>
      <w:tr w:rsidR="00FE5BC1" w:rsidRPr="00FE5BC1" w14:paraId="489ECFC9" w14:textId="77777777" w:rsidTr="00FE5BC1">
        <w:trPr>
          <w:trHeight w:val="300"/>
        </w:trPr>
        <w:tc>
          <w:tcPr>
            <w:tcW w:w="380" w:type="dxa"/>
            <w:tcBorders>
              <w:top w:val="nil"/>
              <w:left w:val="nil"/>
              <w:bottom w:val="nil"/>
              <w:right w:val="nil"/>
            </w:tcBorders>
            <w:shd w:val="clear" w:color="auto" w:fill="auto"/>
            <w:noWrap/>
            <w:vAlign w:val="bottom"/>
            <w:hideMark/>
          </w:tcPr>
          <w:p w14:paraId="262D84DF" w14:textId="77777777" w:rsidR="00FE5BC1" w:rsidRPr="00FE5BC1" w:rsidRDefault="00FE5BC1" w:rsidP="00FE5BC1">
            <w:pPr>
              <w:spacing w:after="0" w:line="240" w:lineRule="auto"/>
              <w:jc w:val="center"/>
              <w:rPr>
                <w:rFonts w:ascii="Times New Roman" w:eastAsia="Times New Roman" w:hAnsi="Times New Roman" w:cs="Times New Roman"/>
                <w:sz w:val="20"/>
                <w:szCs w:val="20"/>
              </w:rPr>
            </w:pPr>
          </w:p>
        </w:tc>
        <w:tc>
          <w:tcPr>
            <w:tcW w:w="2920" w:type="dxa"/>
            <w:tcBorders>
              <w:top w:val="nil"/>
              <w:left w:val="nil"/>
              <w:bottom w:val="nil"/>
              <w:right w:val="nil"/>
            </w:tcBorders>
            <w:shd w:val="clear" w:color="auto" w:fill="auto"/>
            <w:noWrap/>
            <w:vAlign w:val="bottom"/>
            <w:hideMark/>
          </w:tcPr>
          <w:p w14:paraId="3B4F1DA7"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Coronary artery disease</w:t>
            </w:r>
          </w:p>
        </w:tc>
        <w:tc>
          <w:tcPr>
            <w:tcW w:w="1060" w:type="dxa"/>
            <w:tcBorders>
              <w:top w:val="nil"/>
              <w:left w:val="nil"/>
              <w:bottom w:val="nil"/>
              <w:right w:val="nil"/>
            </w:tcBorders>
            <w:shd w:val="clear" w:color="auto" w:fill="auto"/>
            <w:noWrap/>
            <w:vAlign w:val="bottom"/>
            <w:hideMark/>
          </w:tcPr>
          <w:p w14:paraId="653163C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6295</w:t>
            </w:r>
          </w:p>
        </w:tc>
        <w:tc>
          <w:tcPr>
            <w:tcW w:w="880" w:type="dxa"/>
            <w:tcBorders>
              <w:top w:val="nil"/>
              <w:left w:val="nil"/>
              <w:bottom w:val="nil"/>
              <w:right w:val="nil"/>
            </w:tcBorders>
            <w:shd w:val="clear" w:color="auto" w:fill="auto"/>
            <w:noWrap/>
            <w:vAlign w:val="bottom"/>
            <w:hideMark/>
          </w:tcPr>
          <w:p w14:paraId="32CEFBBA"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0.5%</w:t>
            </w:r>
          </w:p>
        </w:tc>
        <w:tc>
          <w:tcPr>
            <w:tcW w:w="960" w:type="dxa"/>
            <w:tcBorders>
              <w:top w:val="nil"/>
              <w:left w:val="nil"/>
              <w:bottom w:val="nil"/>
              <w:right w:val="nil"/>
            </w:tcBorders>
            <w:shd w:val="clear" w:color="auto" w:fill="auto"/>
            <w:noWrap/>
            <w:vAlign w:val="bottom"/>
            <w:hideMark/>
          </w:tcPr>
          <w:p w14:paraId="499BEE41"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1497</w:t>
            </w:r>
          </w:p>
        </w:tc>
        <w:tc>
          <w:tcPr>
            <w:tcW w:w="1060" w:type="dxa"/>
            <w:tcBorders>
              <w:top w:val="nil"/>
              <w:left w:val="nil"/>
              <w:bottom w:val="nil"/>
              <w:right w:val="nil"/>
            </w:tcBorders>
            <w:shd w:val="clear" w:color="auto" w:fill="auto"/>
            <w:noWrap/>
            <w:vAlign w:val="bottom"/>
            <w:hideMark/>
          </w:tcPr>
          <w:p w14:paraId="7E100BBA"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0.7%</w:t>
            </w:r>
          </w:p>
        </w:tc>
      </w:tr>
      <w:tr w:rsidR="00FE5BC1" w:rsidRPr="00FE5BC1" w14:paraId="45901521" w14:textId="77777777" w:rsidTr="00FE5BC1">
        <w:trPr>
          <w:trHeight w:val="300"/>
        </w:trPr>
        <w:tc>
          <w:tcPr>
            <w:tcW w:w="380" w:type="dxa"/>
            <w:tcBorders>
              <w:top w:val="nil"/>
              <w:left w:val="nil"/>
              <w:bottom w:val="nil"/>
              <w:right w:val="nil"/>
            </w:tcBorders>
            <w:shd w:val="clear" w:color="auto" w:fill="auto"/>
            <w:noWrap/>
            <w:vAlign w:val="bottom"/>
            <w:hideMark/>
          </w:tcPr>
          <w:p w14:paraId="0F963D8B"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11C3CA13"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Heart failure</w:t>
            </w:r>
          </w:p>
        </w:tc>
        <w:tc>
          <w:tcPr>
            <w:tcW w:w="1060" w:type="dxa"/>
            <w:tcBorders>
              <w:top w:val="nil"/>
              <w:left w:val="nil"/>
              <w:bottom w:val="nil"/>
              <w:right w:val="nil"/>
            </w:tcBorders>
            <w:shd w:val="clear" w:color="auto" w:fill="auto"/>
            <w:noWrap/>
            <w:vAlign w:val="bottom"/>
            <w:hideMark/>
          </w:tcPr>
          <w:p w14:paraId="1F2C06C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6299</w:t>
            </w:r>
          </w:p>
        </w:tc>
        <w:tc>
          <w:tcPr>
            <w:tcW w:w="880" w:type="dxa"/>
            <w:tcBorders>
              <w:top w:val="nil"/>
              <w:left w:val="nil"/>
              <w:bottom w:val="nil"/>
              <w:right w:val="nil"/>
            </w:tcBorders>
            <w:shd w:val="clear" w:color="auto" w:fill="auto"/>
            <w:noWrap/>
            <w:vAlign w:val="bottom"/>
            <w:hideMark/>
          </w:tcPr>
          <w:p w14:paraId="770DE6B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0.4%</w:t>
            </w:r>
          </w:p>
        </w:tc>
        <w:tc>
          <w:tcPr>
            <w:tcW w:w="960" w:type="dxa"/>
            <w:tcBorders>
              <w:top w:val="nil"/>
              <w:left w:val="nil"/>
              <w:bottom w:val="nil"/>
              <w:right w:val="nil"/>
            </w:tcBorders>
            <w:shd w:val="clear" w:color="auto" w:fill="auto"/>
            <w:noWrap/>
            <w:vAlign w:val="bottom"/>
            <w:hideMark/>
          </w:tcPr>
          <w:p w14:paraId="6B5A2C63"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1497</w:t>
            </w:r>
          </w:p>
        </w:tc>
        <w:tc>
          <w:tcPr>
            <w:tcW w:w="1060" w:type="dxa"/>
            <w:tcBorders>
              <w:top w:val="nil"/>
              <w:left w:val="nil"/>
              <w:bottom w:val="nil"/>
              <w:right w:val="nil"/>
            </w:tcBorders>
            <w:shd w:val="clear" w:color="auto" w:fill="auto"/>
            <w:noWrap/>
            <w:vAlign w:val="bottom"/>
            <w:hideMark/>
          </w:tcPr>
          <w:p w14:paraId="7D65CDA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0.7%</w:t>
            </w:r>
          </w:p>
        </w:tc>
      </w:tr>
      <w:tr w:rsidR="00FE5BC1" w:rsidRPr="00FE5BC1" w14:paraId="0AB9CAAE" w14:textId="77777777" w:rsidTr="00FE5BC1">
        <w:trPr>
          <w:trHeight w:val="300"/>
        </w:trPr>
        <w:tc>
          <w:tcPr>
            <w:tcW w:w="380" w:type="dxa"/>
            <w:tcBorders>
              <w:top w:val="nil"/>
              <w:left w:val="nil"/>
              <w:bottom w:val="nil"/>
              <w:right w:val="nil"/>
            </w:tcBorders>
            <w:shd w:val="clear" w:color="auto" w:fill="auto"/>
            <w:noWrap/>
            <w:vAlign w:val="bottom"/>
            <w:hideMark/>
          </w:tcPr>
          <w:p w14:paraId="43875E24"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3B336C09"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Cerebrovascular disease</w:t>
            </w:r>
          </w:p>
        </w:tc>
        <w:tc>
          <w:tcPr>
            <w:tcW w:w="1060" w:type="dxa"/>
            <w:tcBorders>
              <w:top w:val="nil"/>
              <w:left w:val="nil"/>
              <w:bottom w:val="nil"/>
              <w:right w:val="nil"/>
            </w:tcBorders>
            <w:shd w:val="clear" w:color="auto" w:fill="auto"/>
            <w:noWrap/>
            <w:vAlign w:val="bottom"/>
            <w:hideMark/>
          </w:tcPr>
          <w:p w14:paraId="3EC470C2"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6301</w:t>
            </w:r>
          </w:p>
        </w:tc>
        <w:tc>
          <w:tcPr>
            <w:tcW w:w="880" w:type="dxa"/>
            <w:tcBorders>
              <w:top w:val="nil"/>
              <w:left w:val="nil"/>
              <w:bottom w:val="nil"/>
              <w:right w:val="nil"/>
            </w:tcBorders>
            <w:shd w:val="clear" w:color="auto" w:fill="auto"/>
            <w:noWrap/>
            <w:vAlign w:val="bottom"/>
            <w:hideMark/>
          </w:tcPr>
          <w:p w14:paraId="1126940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0.4%</w:t>
            </w:r>
          </w:p>
        </w:tc>
        <w:tc>
          <w:tcPr>
            <w:tcW w:w="960" w:type="dxa"/>
            <w:tcBorders>
              <w:top w:val="nil"/>
              <w:left w:val="nil"/>
              <w:bottom w:val="nil"/>
              <w:right w:val="nil"/>
            </w:tcBorders>
            <w:shd w:val="clear" w:color="auto" w:fill="auto"/>
            <w:noWrap/>
            <w:vAlign w:val="bottom"/>
            <w:hideMark/>
          </w:tcPr>
          <w:p w14:paraId="10088F75"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1498</w:t>
            </w:r>
          </w:p>
        </w:tc>
        <w:tc>
          <w:tcPr>
            <w:tcW w:w="1060" w:type="dxa"/>
            <w:tcBorders>
              <w:top w:val="nil"/>
              <w:left w:val="nil"/>
              <w:bottom w:val="nil"/>
              <w:right w:val="nil"/>
            </w:tcBorders>
            <w:shd w:val="clear" w:color="auto" w:fill="auto"/>
            <w:noWrap/>
            <w:vAlign w:val="bottom"/>
            <w:hideMark/>
          </w:tcPr>
          <w:p w14:paraId="33742B9C"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0.7%</w:t>
            </w:r>
          </w:p>
        </w:tc>
      </w:tr>
      <w:tr w:rsidR="00FE5BC1" w:rsidRPr="00FE5BC1" w14:paraId="43AEB361" w14:textId="77777777" w:rsidTr="00FE5BC1">
        <w:trPr>
          <w:trHeight w:val="300"/>
        </w:trPr>
        <w:tc>
          <w:tcPr>
            <w:tcW w:w="380" w:type="dxa"/>
            <w:tcBorders>
              <w:top w:val="nil"/>
              <w:left w:val="nil"/>
              <w:bottom w:val="nil"/>
              <w:right w:val="nil"/>
            </w:tcBorders>
            <w:shd w:val="clear" w:color="auto" w:fill="auto"/>
            <w:noWrap/>
            <w:vAlign w:val="bottom"/>
            <w:hideMark/>
          </w:tcPr>
          <w:p w14:paraId="14A121DF"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049D2562"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Other cardiovascular disease</w:t>
            </w:r>
          </w:p>
        </w:tc>
        <w:tc>
          <w:tcPr>
            <w:tcW w:w="1060" w:type="dxa"/>
            <w:tcBorders>
              <w:top w:val="nil"/>
              <w:left w:val="nil"/>
              <w:bottom w:val="nil"/>
              <w:right w:val="nil"/>
            </w:tcBorders>
            <w:shd w:val="clear" w:color="auto" w:fill="auto"/>
            <w:noWrap/>
            <w:vAlign w:val="bottom"/>
            <w:hideMark/>
          </w:tcPr>
          <w:p w14:paraId="1BAFCB03"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6308</w:t>
            </w:r>
          </w:p>
        </w:tc>
        <w:tc>
          <w:tcPr>
            <w:tcW w:w="880" w:type="dxa"/>
            <w:tcBorders>
              <w:top w:val="nil"/>
              <w:left w:val="nil"/>
              <w:bottom w:val="nil"/>
              <w:right w:val="nil"/>
            </w:tcBorders>
            <w:shd w:val="clear" w:color="auto" w:fill="auto"/>
            <w:noWrap/>
            <w:vAlign w:val="bottom"/>
            <w:hideMark/>
          </w:tcPr>
          <w:p w14:paraId="420C049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0.3%</w:t>
            </w:r>
          </w:p>
        </w:tc>
        <w:tc>
          <w:tcPr>
            <w:tcW w:w="960" w:type="dxa"/>
            <w:tcBorders>
              <w:top w:val="nil"/>
              <w:left w:val="nil"/>
              <w:bottom w:val="nil"/>
              <w:right w:val="nil"/>
            </w:tcBorders>
            <w:shd w:val="clear" w:color="auto" w:fill="auto"/>
            <w:noWrap/>
            <w:vAlign w:val="bottom"/>
            <w:hideMark/>
          </w:tcPr>
          <w:p w14:paraId="6218C7CE"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1500</w:t>
            </w:r>
          </w:p>
        </w:tc>
        <w:tc>
          <w:tcPr>
            <w:tcW w:w="1060" w:type="dxa"/>
            <w:tcBorders>
              <w:top w:val="nil"/>
              <w:left w:val="nil"/>
              <w:bottom w:val="nil"/>
              <w:right w:val="nil"/>
            </w:tcBorders>
            <w:shd w:val="clear" w:color="auto" w:fill="auto"/>
            <w:noWrap/>
            <w:vAlign w:val="bottom"/>
            <w:hideMark/>
          </w:tcPr>
          <w:p w14:paraId="6BB61774"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0.5%</w:t>
            </w:r>
          </w:p>
        </w:tc>
      </w:tr>
      <w:tr w:rsidR="00FE5BC1" w:rsidRPr="00FE5BC1" w14:paraId="122AFF76" w14:textId="77777777" w:rsidTr="00FE5BC1">
        <w:trPr>
          <w:trHeight w:val="300"/>
        </w:trPr>
        <w:tc>
          <w:tcPr>
            <w:tcW w:w="380" w:type="dxa"/>
            <w:tcBorders>
              <w:top w:val="nil"/>
              <w:left w:val="nil"/>
              <w:bottom w:val="nil"/>
              <w:right w:val="nil"/>
            </w:tcBorders>
            <w:shd w:val="clear" w:color="auto" w:fill="auto"/>
            <w:noWrap/>
            <w:vAlign w:val="bottom"/>
            <w:hideMark/>
          </w:tcPr>
          <w:p w14:paraId="20245BFE"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2DE9EB41"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Cancer (non-skin)</w:t>
            </w:r>
          </w:p>
        </w:tc>
        <w:tc>
          <w:tcPr>
            <w:tcW w:w="1060" w:type="dxa"/>
            <w:tcBorders>
              <w:top w:val="nil"/>
              <w:left w:val="nil"/>
              <w:bottom w:val="nil"/>
              <w:right w:val="nil"/>
            </w:tcBorders>
            <w:shd w:val="clear" w:color="auto" w:fill="auto"/>
            <w:noWrap/>
            <w:vAlign w:val="bottom"/>
            <w:hideMark/>
          </w:tcPr>
          <w:p w14:paraId="01F2D723"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6301</w:t>
            </w:r>
          </w:p>
        </w:tc>
        <w:tc>
          <w:tcPr>
            <w:tcW w:w="880" w:type="dxa"/>
            <w:tcBorders>
              <w:top w:val="nil"/>
              <w:left w:val="nil"/>
              <w:bottom w:val="nil"/>
              <w:right w:val="nil"/>
            </w:tcBorders>
            <w:shd w:val="clear" w:color="auto" w:fill="auto"/>
            <w:noWrap/>
            <w:vAlign w:val="bottom"/>
            <w:hideMark/>
          </w:tcPr>
          <w:p w14:paraId="5C3407D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0.4%</w:t>
            </w:r>
          </w:p>
        </w:tc>
        <w:tc>
          <w:tcPr>
            <w:tcW w:w="960" w:type="dxa"/>
            <w:tcBorders>
              <w:top w:val="nil"/>
              <w:left w:val="nil"/>
              <w:bottom w:val="nil"/>
              <w:right w:val="nil"/>
            </w:tcBorders>
            <w:shd w:val="clear" w:color="auto" w:fill="auto"/>
            <w:noWrap/>
            <w:vAlign w:val="bottom"/>
            <w:hideMark/>
          </w:tcPr>
          <w:p w14:paraId="531ECBA8"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1495</w:t>
            </w:r>
          </w:p>
        </w:tc>
        <w:tc>
          <w:tcPr>
            <w:tcW w:w="1060" w:type="dxa"/>
            <w:tcBorders>
              <w:top w:val="nil"/>
              <w:left w:val="nil"/>
              <w:bottom w:val="nil"/>
              <w:right w:val="nil"/>
            </w:tcBorders>
            <w:shd w:val="clear" w:color="auto" w:fill="auto"/>
            <w:noWrap/>
            <w:vAlign w:val="bottom"/>
            <w:hideMark/>
          </w:tcPr>
          <w:p w14:paraId="5F77CE1C"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0.9%</w:t>
            </w:r>
          </w:p>
        </w:tc>
      </w:tr>
      <w:tr w:rsidR="00FE5BC1" w:rsidRPr="00FE5BC1" w14:paraId="4AC6FB4D" w14:textId="77777777" w:rsidTr="00FE5BC1">
        <w:trPr>
          <w:trHeight w:val="300"/>
        </w:trPr>
        <w:tc>
          <w:tcPr>
            <w:tcW w:w="380" w:type="dxa"/>
            <w:tcBorders>
              <w:top w:val="nil"/>
              <w:left w:val="nil"/>
              <w:bottom w:val="nil"/>
              <w:right w:val="nil"/>
            </w:tcBorders>
            <w:shd w:val="clear" w:color="auto" w:fill="auto"/>
            <w:noWrap/>
            <w:vAlign w:val="bottom"/>
            <w:hideMark/>
          </w:tcPr>
          <w:p w14:paraId="16970BF1"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3BB1C743"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Diabetes</w:t>
            </w:r>
          </w:p>
        </w:tc>
        <w:tc>
          <w:tcPr>
            <w:tcW w:w="1060" w:type="dxa"/>
            <w:tcBorders>
              <w:top w:val="nil"/>
              <w:left w:val="nil"/>
              <w:bottom w:val="nil"/>
              <w:right w:val="nil"/>
            </w:tcBorders>
            <w:shd w:val="clear" w:color="auto" w:fill="auto"/>
            <w:noWrap/>
            <w:vAlign w:val="bottom"/>
            <w:hideMark/>
          </w:tcPr>
          <w:p w14:paraId="2E361D59"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6296</w:t>
            </w:r>
          </w:p>
        </w:tc>
        <w:tc>
          <w:tcPr>
            <w:tcW w:w="880" w:type="dxa"/>
            <w:tcBorders>
              <w:top w:val="nil"/>
              <w:left w:val="nil"/>
              <w:bottom w:val="nil"/>
              <w:right w:val="nil"/>
            </w:tcBorders>
            <w:shd w:val="clear" w:color="auto" w:fill="auto"/>
            <w:noWrap/>
            <w:vAlign w:val="bottom"/>
            <w:hideMark/>
          </w:tcPr>
          <w:p w14:paraId="6D10A829"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0.5%</w:t>
            </w:r>
          </w:p>
        </w:tc>
        <w:tc>
          <w:tcPr>
            <w:tcW w:w="960" w:type="dxa"/>
            <w:tcBorders>
              <w:top w:val="nil"/>
              <w:left w:val="nil"/>
              <w:bottom w:val="nil"/>
              <w:right w:val="nil"/>
            </w:tcBorders>
            <w:shd w:val="clear" w:color="auto" w:fill="auto"/>
            <w:noWrap/>
            <w:vAlign w:val="bottom"/>
            <w:hideMark/>
          </w:tcPr>
          <w:p w14:paraId="33101C04"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1497</w:t>
            </w:r>
          </w:p>
        </w:tc>
        <w:tc>
          <w:tcPr>
            <w:tcW w:w="1060" w:type="dxa"/>
            <w:tcBorders>
              <w:top w:val="nil"/>
              <w:left w:val="nil"/>
              <w:bottom w:val="nil"/>
              <w:right w:val="nil"/>
            </w:tcBorders>
            <w:shd w:val="clear" w:color="auto" w:fill="auto"/>
            <w:noWrap/>
            <w:vAlign w:val="bottom"/>
            <w:hideMark/>
          </w:tcPr>
          <w:p w14:paraId="0C0F8752"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0.7%</w:t>
            </w:r>
          </w:p>
        </w:tc>
      </w:tr>
      <w:tr w:rsidR="00FE5BC1" w:rsidRPr="00FE5BC1" w14:paraId="37854B7E" w14:textId="77777777" w:rsidTr="00FE5BC1">
        <w:trPr>
          <w:trHeight w:val="300"/>
        </w:trPr>
        <w:tc>
          <w:tcPr>
            <w:tcW w:w="380" w:type="dxa"/>
            <w:tcBorders>
              <w:top w:val="nil"/>
              <w:left w:val="nil"/>
              <w:bottom w:val="nil"/>
              <w:right w:val="nil"/>
            </w:tcBorders>
            <w:shd w:val="clear" w:color="auto" w:fill="auto"/>
            <w:noWrap/>
            <w:vAlign w:val="bottom"/>
            <w:hideMark/>
          </w:tcPr>
          <w:p w14:paraId="4EA3A0BF"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765AAF2D"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Hepatitis B or C</w:t>
            </w:r>
          </w:p>
        </w:tc>
        <w:tc>
          <w:tcPr>
            <w:tcW w:w="1060" w:type="dxa"/>
            <w:tcBorders>
              <w:top w:val="nil"/>
              <w:left w:val="nil"/>
              <w:bottom w:val="nil"/>
              <w:right w:val="nil"/>
            </w:tcBorders>
            <w:shd w:val="clear" w:color="auto" w:fill="auto"/>
            <w:noWrap/>
            <w:vAlign w:val="bottom"/>
            <w:hideMark/>
          </w:tcPr>
          <w:p w14:paraId="0FFF51DA"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6279</w:t>
            </w:r>
          </w:p>
        </w:tc>
        <w:tc>
          <w:tcPr>
            <w:tcW w:w="880" w:type="dxa"/>
            <w:tcBorders>
              <w:top w:val="nil"/>
              <w:left w:val="nil"/>
              <w:bottom w:val="nil"/>
              <w:right w:val="nil"/>
            </w:tcBorders>
            <w:shd w:val="clear" w:color="auto" w:fill="auto"/>
            <w:noWrap/>
            <w:vAlign w:val="bottom"/>
            <w:hideMark/>
          </w:tcPr>
          <w:p w14:paraId="50F3DF74"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0.7%</w:t>
            </w:r>
          </w:p>
        </w:tc>
        <w:tc>
          <w:tcPr>
            <w:tcW w:w="960" w:type="dxa"/>
            <w:tcBorders>
              <w:top w:val="nil"/>
              <w:left w:val="nil"/>
              <w:bottom w:val="nil"/>
              <w:right w:val="nil"/>
            </w:tcBorders>
            <w:shd w:val="clear" w:color="auto" w:fill="auto"/>
            <w:noWrap/>
            <w:vAlign w:val="bottom"/>
            <w:hideMark/>
          </w:tcPr>
          <w:p w14:paraId="36D03504"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1494</w:t>
            </w:r>
          </w:p>
        </w:tc>
        <w:tc>
          <w:tcPr>
            <w:tcW w:w="1060" w:type="dxa"/>
            <w:tcBorders>
              <w:top w:val="nil"/>
              <w:left w:val="nil"/>
              <w:bottom w:val="nil"/>
              <w:right w:val="nil"/>
            </w:tcBorders>
            <w:shd w:val="clear" w:color="auto" w:fill="auto"/>
            <w:noWrap/>
            <w:vAlign w:val="bottom"/>
            <w:hideMark/>
          </w:tcPr>
          <w:p w14:paraId="6C8EA60E"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0.9%</w:t>
            </w:r>
          </w:p>
        </w:tc>
      </w:tr>
      <w:tr w:rsidR="00FE5BC1" w:rsidRPr="00FE5BC1" w14:paraId="4A09E201" w14:textId="77777777" w:rsidTr="00FE5BC1">
        <w:trPr>
          <w:trHeight w:val="300"/>
        </w:trPr>
        <w:tc>
          <w:tcPr>
            <w:tcW w:w="380" w:type="dxa"/>
            <w:tcBorders>
              <w:top w:val="nil"/>
              <w:left w:val="nil"/>
              <w:bottom w:val="nil"/>
              <w:right w:val="nil"/>
            </w:tcBorders>
            <w:shd w:val="clear" w:color="auto" w:fill="auto"/>
            <w:noWrap/>
            <w:vAlign w:val="bottom"/>
            <w:hideMark/>
          </w:tcPr>
          <w:p w14:paraId="0FADE38A"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1CFED28B"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Gastrointestinal bleeding</w:t>
            </w:r>
          </w:p>
        </w:tc>
        <w:tc>
          <w:tcPr>
            <w:tcW w:w="1060" w:type="dxa"/>
            <w:tcBorders>
              <w:top w:val="nil"/>
              <w:left w:val="nil"/>
              <w:bottom w:val="nil"/>
              <w:right w:val="nil"/>
            </w:tcBorders>
            <w:shd w:val="clear" w:color="auto" w:fill="auto"/>
            <w:noWrap/>
            <w:vAlign w:val="bottom"/>
            <w:hideMark/>
          </w:tcPr>
          <w:p w14:paraId="76DFD4D1"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6277</w:t>
            </w:r>
          </w:p>
        </w:tc>
        <w:tc>
          <w:tcPr>
            <w:tcW w:w="880" w:type="dxa"/>
            <w:tcBorders>
              <w:top w:val="nil"/>
              <w:left w:val="nil"/>
              <w:bottom w:val="nil"/>
              <w:right w:val="nil"/>
            </w:tcBorders>
            <w:shd w:val="clear" w:color="auto" w:fill="auto"/>
            <w:noWrap/>
            <w:vAlign w:val="bottom"/>
            <w:hideMark/>
          </w:tcPr>
          <w:p w14:paraId="03F44A38"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0.8%</w:t>
            </w:r>
          </w:p>
        </w:tc>
        <w:tc>
          <w:tcPr>
            <w:tcW w:w="960" w:type="dxa"/>
            <w:tcBorders>
              <w:top w:val="nil"/>
              <w:left w:val="nil"/>
              <w:bottom w:val="nil"/>
              <w:right w:val="nil"/>
            </w:tcBorders>
            <w:shd w:val="clear" w:color="auto" w:fill="auto"/>
            <w:noWrap/>
            <w:vAlign w:val="bottom"/>
            <w:hideMark/>
          </w:tcPr>
          <w:p w14:paraId="4DCFF639"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1488</w:t>
            </w:r>
          </w:p>
        </w:tc>
        <w:tc>
          <w:tcPr>
            <w:tcW w:w="1060" w:type="dxa"/>
            <w:tcBorders>
              <w:top w:val="nil"/>
              <w:left w:val="nil"/>
              <w:bottom w:val="nil"/>
              <w:right w:val="nil"/>
            </w:tcBorders>
            <w:shd w:val="clear" w:color="auto" w:fill="auto"/>
            <w:noWrap/>
            <w:vAlign w:val="bottom"/>
            <w:hideMark/>
          </w:tcPr>
          <w:p w14:paraId="3E25C52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1.3%</w:t>
            </w:r>
          </w:p>
        </w:tc>
      </w:tr>
      <w:tr w:rsidR="00FE5BC1" w:rsidRPr="00FE5BC1" w14:paraId="51F080C3" w14:textId="77777777" w:rsidTr="00FE5BC1">
        <w:trPr>
          <w:trHeight w:val="300"/>
        </w:trPr>
        <w:tc>
          <w:tcPr>
            <w:tcW w:w="380" w:type="dxa"/>
            <w:tcBorders>
              <w:top w:val="nil"/>
              <w:left w:val="nil"/>
              <w:bottom w:val="nil"/>
              <w:right w:val="nil"/>
            </w:tcBorders>
            <w:shd w:val="clear" w:color="auto" w:fill="auto"/>
            <w:noWrap/>
            <w:vAlign w:val="bottom"/>
            <w:hideMark/>
          </w:tcPr>
          <w:p w14:paraId="783022F7"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69BA5F6E"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Hypertension</w:t>
            </w:r>
          </w:p>
        </w:tc>
        <w:tc>
          <w:tcPr>
            <w:tcW w:w="1060" w:type="dxa"/>
            <w:tcBorders>
              <w:top w:val="nil"/>
              <w:left w:val="nil"/>
              <w:bottom w:val="nil"/>
              <w:right w:val="nil"/>
            </w:tcBorders>
            <w:shd w:val="clear" w:color="auto" w:fill="auto"/>
            <w:noWrap/>
            <w:vAlign w:val="bottom"/>
            <w:hideMark/>
          </w:tcPr>
          <w:p w14:paraId="2DEBE8FC"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6295</w:t>
            </w:r>
          </w:p>
        </w:tc>
        <w:tc>
          <w:tcPr>
            <w:tcW w:w="880" w:type="dxa"/>
            <w:tcBorders>
              <w:top w:val="nil"/>
              <w:left w:val="nil"/>
              <w:bottom w:val="nil"/>
              <w:right w:val="nil"/>
            </w:tcBorders>
            <w:shd w:val="clear" w:color="auto" w:fill="auto"/>
            <w:noWrap/>
            <w:vAlign w:val="bottom"/>
            <w:hideMark/>
          </w:tcPr>
          <w:p w14:paraId="4E55E636"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0.5%</w:t>
            </w:r>
          </w:p>
        </w:tc>
        <w:tc>
          <w:tcPr>
            <w:tcW w:w="960" w:type="dxa"/>
            <w:tcBorders>
              <w:top w:val="nil"/>
              <w:left w:val="nil"/>
              <w:bottom w:val="nil"/>
              <w:right w:val="nil"/>
            </w:tcBorders>
            <w:shd w:val="clear" w:color="auto" w:fill="auto"/>
            <w:noWrap/>
            <w:vAlign w:val="bottom"/>
            <w:hideMark/>
          </w:tcPr>
          <w:p w14:paraId="506D7737"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1497</w:t>
            </w:r>
          </w:p>
        </w:tc>
        <w:tc>
          <w:tcPr>
            <w:tcW w:w="1060" w:type="dxa"/>
            <w:tcBorders>
              <w:top w:val="nil"/>
              <w:left w:val="nil"/>
              <w:bottom w:val="nil"/>
              <w:right w:val="nil"/>
            </w:tcBorders>
            <w:shd w:val="clear" w:color="auto" w:fill="auto"/>
            <w:noWrap/>
            <w:vAlign w:val="bottom"/>
            <w:hideMark/>
          </w:tcPr>
          <w:p w14:paraId="12834B68"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0.7%</w:t>
            </w:r>
          </w:p>
        </w:tc>
      </w:tr>
      <w:tr w:rsidR="00FE5BC1" w:rsidRPr="00FE5BC1" w14:paraId="1BDE968D" w14:textId="77777777" w:rsidTr="00FE5BC1">
        <w:trPr>
          <w:trHeight w:val="300"/>
        </w:trPr>
        <w:tc>
          <w:tcPr>
            <w:tcW w:w="380" w:type="dxa"/>
            <w:tcBorders>
              <w:top w:val="nil"/>
              <w:left w:val="nil"/>
              <w:bottom w:val="nil"/>
              <w:right w:val="nil"/>
            </w:tcBorders>
            <w:shd w:val="clear" w:color="auto" w:fill="auto"/>
            <w:noWrap/>
            <w:vAlign w:val="bottom"/>
            <w:hideMark/>
          </w:tcPr>
          <w:p w14:paraId="1288AA96"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2004E5A1"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Lung disease</w:t>
            </w:r>
          </w:p>
        </w:tc>
        <w:tc>
          <w:tcPr>
            <w:tcW w:w="1060" w:type="dxa"/>
            <w:tcBorders>
              <w:top w:val="nil"/>
              <w:left w:val="nil"/>
              <w:bottom w:val="nil"/>
              <w:right w:val="nil"/>
            </w:tcBorders>
            <w:shd w:val="clear" w:color="auto" w:fill="auto"/>
            <w:noWrap/>
            <w:vAlign w:val="bottom"/>
            <w:hideMark/>
          </w:tcPr>
          <w:p w14:paraId="76EA209C"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6304</w:t>
            </w:r>
          </w:p>
        </w:tc>
        <w:tc>
          <w:tcPr>
            <w:tcW w:w="880" w:type="dxa"/>
            <w:tcBorders>
              <w:top w:val="nil"/>
              <w:left w:val="nil"/>
              <w:bottom w:val="nil"/>
              <w:right w:val="nil"/>
            </w:tcBorders>
            <w:shd w:val="clear" w:color="auto" w:fill="auto"/>
            <w:noWrap/>
            <w:vAlign w:val="bottom"/>
            <w:hideMark/>
          </w:tcPr>
          <w:p w14:paraId="0EF1F9A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0.3%</w:t>
            </w:r>
          </w:p>
        </w:tc>
        <w:tc>
          <w:tcPr>
            <w:tcW w:w="960" w:type="dxa"/>
            <w:tcBorders>
              <w:top w:val="nil"/>
              <w:left w:val="nil"/>
              <w:bottom w:val="nil"/>
              <w:right w:val="nil"/>
            </w:tcBorders>
            <w:shd w:val="clear" w:color="auto" w:fill="auto"/>
            <w:noWrap/>
            <w:vAlign w:val="bottom"/>
            <w:hideMark/>
          </w:tcPr>
          <w:p w14:paraId="74046F89"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1497</w:t>
            </w:r>
          </w:p>
        </w:tc>
        <w:tc>
          <w:tcPr>
            <w:tcW w:w="1060" w:type="dxa"/>
            <w:tcBorders>
              <w:top w:val="nil"/>
              <w:left w:val="nil"/>
              <w:bottom w:val="nil"/>
              <w:right w:val="nil"/>
            </w:tcBorders>
            <w:shd w:val="clear" w:color="auto" w:fill="auto"/>
            <w:noWrap/>
            <w:vAlign w:val="bottom"/>
            <w:hideMark/>
          </w:tcPr>
          <w:p w14:paraId="6937C71D"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0.7%</w:t>
            </w:r>
          </w:p>
        </w:tc>
      </w:tr>
      <w:tr w:rsidR="00FE5BC1" w:rsidRPr="00FE5BC1" w14:paraId="6079CC2F" w14:textId="77777777" w:rsidTr="00FE5BC1">
        <w:trPr>
          <w:trHeight w:val="300"/>
        </w:trPr>
        <w:tc>
          <w:tcPr>
            <w:tcW w:w="380" w:type="dxa"/>
            <w:tcBorders>
              <w:top w:val="nil"/>
              <w:left w:val="nil"/>
              <w:bottom w:val="nil"/>
              <w:right w:val="nil"/>
            </w:tcBorders>
            <w:shd w:val="clear" w:color="auto" w:fill="auto"/>
            <w:noWrap/>
            <w:vAlign w:val="bottom"/>
            <w:hideMark/>
          </w:tcPr>
          <w:p w14:paraId="45427218"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211FD884"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Neurologic disease</w:t>
            </w:r>
          </w:p>
        </w:tc>
        <w:tc>
          <w:tcPr>
            <w:tcW w:w="1060" w:type="dxa"/>
            <w:tcBorders>
              <w:top w:val="nil"/>
              <w:left w:val="nil"/>
              <w:bottom w:val="nil"/>
              <w:right w:val="nil"/>
            </w:tcBorders>
            <w:shd w:val="clear" w:color="auto" w:fill="auto"/>
            <w:noWrap/>
            <w:vAlign w:val="bottom"/>
            <w:hideMark/>
          </w:tcPr>
          <w:p w14:paraId="5DC1F29A"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6309</w:t>
            </w:r>
          </w:p>
        </w:tc>
        <w:tc>
          <w:tcPr>
            <w:tcW w:w="880" w:type="dxa"/>
            <w:tcBorders>
              <w:top w:val="nil"/>
              <w:left w:val="nil"/>
              <w:bottom w:val="nil"/>
              <w:right w:val="nil"/>
            </w:tcBorders>
            <w:shd w:val="clear" w:color="auto" w:fill="auto"/>
            <w:noWrap/>
            <w:vAlign w:val="bottom"/>
            <w:hideMark/>
          </w:tcPr>
          <w:p w14:paraId="7484F60D"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0.3%</w:t>
            </w:r>
          </w:p>
        </w:tc>
        <w:tc>
          <w:tcPr>
            <w:tcW w:w="960" w:type="dxa"/>
            <w:tcBorders>
              <w:top w:val="nil"/>
              <w:left w:val="nil"/>
              <w:bottom w:val="nil"/>
              <w:right w:val="nil"/>
            </w:tcBorders>
            <w:shd w:val="clear" w:color="auto" w:fill="auto"/>
            <w:noWrap/>
            <w:vAlign w:val="bottom"/>
            <w:hideMark/>
          </w:tcPr>
          <w:p w14:paraId="2BE05772"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1499</w:t>
            </w:r>
          </w:p>
        </w:tc>
        <w:tc>
          <w:tcPr>
            <w:tcW w:w="1060" w:type="dxa"/>
            <w:tcBorders>
              <w:top w:val="nil"/>
              <w:left w:val="nil"/>
              <w:bottom w:val="nil"/>
              <w:right w:val="nil"/>
            </w:tcBorders>
            <w:shd w:val="clear" w:color="auto" w:fill="auto"/>
            <w:noWrap/>
            <w:vAlign w:val="bottom"/>
            <w:hideMark/>
          </w:tcPr>
          <w:p w14:paraId="58877AA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0.6%</w:t>
            </w:r>
          </w:p>
        </w:tc>
      </w:tr>
      <w:tr w:rsidR="00FE5BC1" w:rsidRPr="00FE5BC1" w14:paraId="1C0DF05C" w14:textId="77777777" w:rsidTr="00FE5BC1">
        <w:trPr>
          <w:trHeight w:val="300"/>
        </w:trPr>
        <w:tc>
          <w:tcPr>
            <w:tcW w:w="380" w:type="dxa"/>
            <w:tcBorders>
              <w:top w:val="nil"/>
              <w:left w:val="nil"/>
              <w:bottom w:val="nil"/>
              <w:right w:val="nil"/>
            </w:tcBorders>
            <w:shd w:val="clear" w:color="auto" w:fill="auto"/>
            <w:noWrap/>
            <w:vAlign w:val="bottom"/>
            <w:hideMark/>
          </w:tcPr>
          <w:p w14:paraId="3B9B0DA7"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46678CB2"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Psychiatric disorder</w:t>
            </w:r>
          </w:p>
        </w:tc>
        <w:tc>
          <w:tcPr>
            <w:tcW w:w="1060" w:type="dxa"/>
            <w:tcBorders>
              <w:top w:val="nil"/>
              <w:left w:val="nil"/>
              <w:bottom w:val="nil"/>
              <w:right w:val="nil"/>
            </w:tcBorders>
            <w:shd w:val="clear" w:color="auto" w:fill="auto"/>
            <w:noWrap/>
            <w:vAlign w:val="bottom"/>
            <w:hideMark/>
          </w:tcPr>
          <w:p w14:paraId="0D8D5804"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6306</w:t>
            </w:r>
          </w:p>
        </w:tc>
        <w:tc>
          <w:tcPr>
            <w:tcW w:w="880" w:type="dxa"/>
            <w:tcBorders>
              <w:top w:val="nil"/>
              <w:left w:val="nil"/>
              <w:bottom w:val="nil"/>
              <w:right w:val="nil"/>
            </w:tcBorders>
            <w:shd w:val="clear" w:color="auto" w:fill="auto"/>
            <w:noWrap/>
            <w:vAlign w:val="bottom"/>
            <w:hideMark/>
          </w:tcPr>
          <w:p w14:paraId="027652A5"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0.3%</w:t>
            </w:r>
          </w:p>
        </w:tc>
        <w:tc>
          <w:tcPr>
            <w:tcW w:w="960" w:type="dxa"/>
            <w:tcBorders>
              <w:top w:val="nil"/>
              <w:left w:val="nil"/>
              <w:bottom w:val="nil"/>
              <w:right w:val="nil"/>
            </w:tcBorders>
            <w:shd w:val="clear" w:color="auto" w:fill="auto"/>
            <w:noWrap/>
            <w:vAlign w:val="bottom"/>
            <w:hideMark/>
          </w:tcPr>
          <w:p w14:paraId="104D3878"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1497</w:t>
            </w:r>
          </w:p>
        </w:tc>
        <w:tc>
          <w:tcPr>
            <w:tcW w:w="1060" w:type="dxa"/>
            <w:tcBorders>
              <w:top w:val="nil"/>
              <w:left w:val="nil"/>
              <w:bottom w:val="nil"/>
              <w:right w:val="nil"/>
            </w:tcBorders>
            <w:shd w:val="clear" w:color="auto" w:fill="auto"/>
            <w:noWrap/>
            <w:vAlign w:val="bottom"/>
            <w:hideMark/>
          </w:tcPr>
          <w:p w14:paraId="7D7C13B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0.7%</w:t>
            </w:r>
          </w:p>
        </w:tc>
      </w:tr>
      <w:tr w:rsidR="00FE5BC1" w:rsidRPr="00FE5BC1" w14:paraId="318DFA48" w14:textId="77777777" w:rsidTr="00FE5BC1">
        <w:trPr>
          <w:trHeight w:val="300"/>
        </w:trPr>
        <w:tc>
          <w:tcPr>
            <w:tcW w:w="380" w:type="dxa"/>
            <w:tcBorders>
              <w:top w:val="nil"/>
              <w:left w:val="nil"/>
              <w:bottom w:val="nil"/>
              <w:right w:val="nil"/>
            </w:tcBorders>
            <w:shd w:val="clear" w:color="auto" w:fill="auto"/>
            <w:noWrap/>
            <w:vAlign w:val="bottom"/>
            <w:hideMark/>
          </w:tcPr>
          <w:p w14:paraId="5DCAC3F9" w14:textId="77777777" w:rsidR="00FE5BC1" w:rsidRPr="00FE5BC1" w:rsidRDefault="00FE5BC1" w:rsidP="00FE5BC1">
            <w:pPr>
              <w:spacing w:after="0" w:line="240" w:lineRule="auto"/>
              <w:jc w:val="center"/>
              <w:rPr>
                <w:rFonts w:ascii="Calibri" w:eastAsia="Times New Roman" w:hAnsi="Calibri" w:cs="Calibri"/>
                <w:color w:val="000000"/>
              </w:rPr>
            </w:pPr>
          </w:p>
        </w:tc>
        <w:tc>
          <w:tcPr>
            <w:tcW w:w="2920" w:type="dxa"/>
            <w:tcBorders>
              <w:top w:val="nil"/>
              <w:left w:val="nil"/>
              <w:bottom w:val="nil"/>
              <w:right w:val="nil"/>
            </w:tcBorders>
            <w:shd w:val="clear" w:color="auto" w:fill="auto"/>
            <w:noWrap/>
            <w:vAlign w:val="bottom"/>
            <w:hideMark/>
          </w:tcPr>
          <w:p w14:paraId="46CD1D65"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Peripheral vascular disease</w:t>
            </w:r>
          </w:p>
        </w:tc>
        <w:tc>
          <w:tcPr>
            <w:tcW w:w="1060" w:type="dxa"/>
            <w:tcBorders>
              <w:top w:val="nil"/>
              <w:left w:val="nil"/>
              <w:bottom w:val="nil"/>
              <w:right w:val="nil"/>
            </w:tcBorders>
            <w:shd w:val="clear" w:color="auto" w:fill="auto"/>
            <w:noWrap/>
            <w:vAlign w:val="bottom"/>
            <w:hideMark/>
          </w:tcPr>
          <w:p w14:paraId="45ED81C9"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6308</w:t>
            </w:r>
          </w:p>
        </w:tc>
        <w:tc>
          <w:tcPr>
            <w:tcW w:w="880" w:type="dxa"/>
            <w:tcBorders>
              <w:top w:val="nil"/>
              <w:left w:val="nil"/>
              <w:bottom w:val="nil"/>
              <w:right w:val="nil"/>
            </w:tcBorders>
            <w:shd w:val="clear" w:color="auto" w:fill="auto"/>
            <w:noWrap/>
            <w:vAlign w:val="bottom"/>
            <w:hideMark/>
          </w:tcPr>
          <w:p w14:paraId="4398CA8B"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0.3%</w:t>
            </w:r>
          </w:p>
        </w:tc>
        <w:tc>
          <w:tcPr>
            <w:tcW w:w="960" w:type="dxa"/>
            <w:tcBorders>
              <w:top w:val="nil"/>
              <w:left w:val="nil"/>
              <w:bottom w:val="nil"/>
              <w:right w:val="nil"/>
            </w:tcBorders>
            <w:shd w:val="clear" w:color="auto" w:fill="auto"/>
            <w:noWrap/>
            <w:vAlign w:val="bottom"/>
            <w:hideMark/>
          </w:tcPr>
          <w:p w14:paraId="579F1E1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1499</w:t>
            </w:r>
          </w:p>
        </w:tc>
        <w:tc>
          <w:tcPr>
            <w:tcW w:w="1060" w:type="dxa"/>
            <w:tcBorders>
              <w:top w:val="nil"/>
              <w:left w:val="nil"/>
              <w:bottom w:val="nil"/>
              <w:right w:val="nil"/>
            </w:tcBorders>
            <w:shd w:val="clear" w:color="auto" w:fill="auto"/>
            <w:noWrap/>
            <w:vAlign w:val="bottom"/>
            <w:hideMark/>
          </w:tcPr>
          <w:p w14:paraId="0E536D1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0.6%</w:t>
            </w:r>
          </w:p>
        </w:tc>
      </w:tr>
      <w:tr w:rsidR="00FE5BC1" w:rsidRPr="00FE5BC1" w14:paraId="48A95625" w14:textId="77777777" w:rsidTr="00FE5BC1">
        <w:trPr>
          <w:trHeight w:val="300"/>
        </w:trPr>
        <w:tc>
          <w:tcPr>
            <w:tcW w:w="380" w:type="dxa"/>
            <w:tcBorders>
              <w:top w:val="nil"/>
              <w:left w:val="nil"/>
              <w:bottom w:val="single" w:sz="4" w:space="0" w:color="auto"/>
              <w:right w:val="nil"/>
            </w:tcBorders>
            <w:shd w:val="clear" w:color="auto" w:fill="auto"/>
            <w:noWrap/>
            <w:vAlign w:val="bottom"/>
            <w:hideMark/>
          </w:tcPr>
          <w:p w14:paraId="2EC76297"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 </w:t>
            </w:r>
          </w:p>
        </w:tc>
        <w:tc>
          <w:tcPr>
            <w:tcW w:w="2920" w:type="dxa"/>
            <w:tcBorders>
              <w:top w:val="nil"/>
              <w:left w:val="nil"/>
              <w:bottom w:val="single" w:sz="4" w:space="0" w:color="auto"/>
              <w:right w:val="nil"/>
            </w:tcBorders>
            <w:shd w:val="clear" w:color="auto" w:fill="auto"/>
            <w:noWrap/>
            <w:vAlign w:val="bottom"/>
            <w:hideMark/>
          </w:tcPr>
          <w:p w14:paraId="321E0ACE" w14:textId="77777777" w:rsidR="00FE5BC1" w:rsidRPr="00FE5BC1" w:rsidRDefault="00FE5BC1" w:rsidP="00FE5BC1">
            <w:pPr>
              <w:spacing w:after="0" w:line="240" w:lineRule="auto"/>
              <w:rPr>
                <w:rFonts w:ascii="Calibri" w:eastAsia="Times New Roman" w:hAnsi="Calibri" w:cs="Calibri"/>
                <w:color w:val="000000"/>
              </w:rPr>
            </w:pPr>
            <w:r w:rsidRPr="00FE5BC1">
              <w:rPr>
                <w:rFonts w:ascii="Calibri" w:eastAsia="Times New Roman" w:hAnsi="Calibri" w:cs="Calibri"/>
                <w:color w:val="000000"/>
              </w:rPr>
              <w:t>Recurrent cellulitis, gangrene</w:t>
            </w:r>
          </w:p>
        </w:tc>
        <w:tc>
          <w:tcPr>
            <w:tcW w:w="1060" w:type="dxa"/>
            <w:tcBorders>
              <w:top w:val="nil"/>
              <w:left w:val="nil"/>
              <w:bottom w:val="single" w:sz="4" w:space="0" w:color="auto"/>
              <w:right w:val="nil"/>
            </w:tcBorders>
            <w:shd w:val="clear" w:color="auto" w:fill="auto"/>
            <w:noWrap/>
            <w:vAlign w:val="bottom"/>
            <w:hideMark/>
          </w:tcPr>
          <w:p w14:paraId="45915368"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6306</w:t>
            </w:r>
          </w:p>
        </w:tc>
        <w:tc>
          <w:tcPr>
            <w:tcW w:w="880" w:type="dxa"/>
            <w:tcBorders>
              <w:top w:val="nil"/>
              <w:left w:val="nil"/>
              <w:bottom w:val="single" w:sz="4" w:space="0" w:color="auto"/>
              <w:right w:val="nil"/>
            </w:tcBorders>
            <w:shd w:val="clear" w:color="auto" w:fill="auto"/>
            <w:noWrap/>
            <w:vAlign w:val="bottom"/>
            <w:hideMark/>
          </w:tcPr>
          <w:p w14:paraId="73399D10"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0.3%</w:t>
            </w:r>
          </w:p>
        </w:tc>
        <w:tc>
          <w:tcPr>
            <w:tcW w:w="960" w:type="dxa"/>
            <w:tcBorders>
              <w:top w:val="nil"/>
              <w:left w:val="nil"/>
              <w:bottom w:val="single" w:sz="4" w:space="0" w:color="auto"/>
              <w:right w:val="nil"/>
            </w:tcBorders>
            <w:shd w:val="clear" w:color="auto" w:fill="auto"/>
            <w:noWrap/>
            <w:vAlign w:val="bottom"/>
            <w:hideMark/>
          </w:tcPr>
          <w:p w14:paraId="044B5851"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1497</w:t>
            </w:r>
          </w:p>
        </w:tc>
        <w:tc>
          <w:tcPr>
            <w:tcW w:w="1060" w:type="dxa"/>
            <w:tcBorders>
              <w:top w:val="nil"/>
              <w:left w:val="nil"/>
              <w:bottom w:val="single" w:sz="4" w:space="0" w:color="auto"/>
              <w:right w:val="nil"/>
            </w:tcBorders>
            <w:shd w:val="clear" w:color="auto" w:fill="auto"/>
            <w:noWrap/>
            <w:vAlign w:val="bottom"/>
            <w:hideMark/>
          </w:tcPr>
          <w:p w14:paraId="5987C54F" w14:textId="77777777" w:rsidR="00FE5BC1" w:rsidRPr="00FE5BC1" w:rsidRDefault="00FE5BC1" w:rsidP="00FE5BC1">
            <w:pPr>
              <w:spacing w:after="0" w:line="240" w:lineRule="auto"/>
              <w:jc w:val="center"/>
              <w:rPr>
                <w:rFonts w:ascii="Calibri" w:eastAsia="Times New Roman" w:hAnsi="Calibri" w:cs="Calibri"/>
                <w:color w:val="000000"/>
              </w:rPr>
            </w:pPr>
            <w:r w:rsidRPr="00FE5BC1">
              <w:rPr>
                <w:rFonts w:ascii="Calibri" w:eastAsia="Times New Roman" w:hAnsi="Calibri" w:cs="Calibri"/>
                <w:color w:val="000000"/>
              </w:rPr>
              <w:t>0.7%</w:t>
            </w:r>
          </w:p>
        </w:tc>
      </w:tr>
    </w:tbl>
    <w:p w14:paraId="24DC9840" w14:textId="212A19E8" w:rsidR="00E768C5" w:rsidRDefault="00C762A8">
      <w:proofErr w:type="spellStart"/>
      <w:r w:rsidRPr="00C762A8">
        <w:rPr>
          <w:sz w:val="20"/>
          <w:vertAlign w:val="superscript"/>
        </w:rPr>
        <w:t>a</w:t>
      </w:r>
      <w:r w:rsidR="00FE5BC1" w:rsidRPr="00FE5BC1">
        <w:rPr>
          <w:sz w:val="20"/>
        </w:rPr>
        <w:t>Doses</w:t>
      </w:r>
      <w:proofErr w:type="spellEnd"/>
      <w:r w:rsidR="00FE5BC1" w:rsidRPr="00FE5BC1">
        <w:rPr>
          <w:sz w:val="20"/>
        </w:rPr>
        <w:t xml:space="preserve"> restricted to users; LOCF= Last observation carried forward for 2 months, due to less frequent routine measurement in some dialysis centers</w:t>
      </w:r>
      <w:r w:rsidR="00E768C5">
        <w:br w:type="page"/>
      </w:r>
    </w:p>
    <w:p w14:paraId="64473992" w14:textId="4ACFC500" w:rsidR="00AC7935" w:rsidRDefault="00AC7935" w:rsidP="00AC7935">
      <w:pPr>
        <w:pStyle w:val="Heading1"/>
      </w:pPr>
      <w:r>
        <w:lastRenderedPageBreak/>
        <w:t xml:space="preserve">Supplementary </w:t>
      </w:r>
      <w:r w:rsidR="00C44F38">
        <w:t>Figures</w:t>
      </w:r>
    </w:p>
    <w:p w14:paraId="4684366D" w14:textId="70931E47" w:rsidR="00AC7935" w:rsidRPr="005E4201" w:rsidRDefault="00AC7935" w:rsidP="00AC7935">
      <w:pPr>
        <w:pStyle w:val="Heading2"/>
      </w:pPr>
      <w:r w:rsidRPr="005E4201">
        <w:t xml:space="preserve">Figure </w:t>
      </w:r>
      <w:r w:rsidR="000E459A">
        <w:t>S</w:t>
      </w:r>
      <w:r>
        <w:t>1</w:t>
      </w:r>
    </w:p>
    <w:p w14:paraId="5928BC47" w14:textId="77777777" w:rsidR="00AC7935" w:rsidRDefault="00AC7935" w:rsidP="00AC7935">
      <w:pPr>
        <w:rPr>
          <w:b/>
        </w:rPr>
      </w:pPr>
      <w:r w:rsidRPr="0074519A">
        <w:rPr>
          <w:b/>
        </w:rPr>
        <w:t xml:space="preserve">Title. </w:t>
      </w:r>
      <w:r w:rsidRPr="00B4082F">
        <w:t>Comparison of observed DOPPS data vs. natural course simulation</w:t>
      </w:r>
    </w:p>
    <w:p w14:paraId="0ACBD0FB" w14:textId="77777777" w:rsidR="00AC7935" w:rsidRPr="00B4082F" w:rsidRDefault="00AC7935" w:rsidP="00AC7935">
      <w:r>
        <w:rPr>
          <w:b/>
        </w:rPr>
        <w:t xml:space="preserve">Legend. </w:t>
      </w:r>
      <w:r w:rsidRPr="00B4082F">
        <w:t xml:space="preserve">DOPPS data </w:t>
      </w:r>
      <w:r>
        <w:t>observed over the 12 months after baseline; Natural course simulation based on 12 simulated months using the parametric g-formula; Outcomes: (a) all-cause mortality, (b) hemoglobin, (c) serum ferritin, (d) TSAT, (e) ESA dose, (f) IV iron dose.</w:t>
      </w:r>
    </w:p>
    <w:p w14:paraId="1485005B" w14:textId="6801E7F8" w:rsidR="00AC7935" w:rsidRDefault="00AC7935" w:rsidP="00AC7935">
      <w:r>
        <w:rPr>
          <w:noProof/>
        </w:rPr>
        <w:drawing>
          <wp:inline distT="0" distB="0" distL="0" distR="0" wp14:anchorId="22F23F5F" wp14:editId="4275D6E2">
            <wp:extent cx="5943600" cy="330771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07715"/>
                    </a:xfrm>
                    <a:prstGeom prst="rect">
                      <a:avLst/>
                    </a:prstGeom>
                  </pic:spPr>
                </pic:pic>
              </a:graphicData>
            </a:graphic>
          </wp:inline>
        </w:drawing>
      </w:r>
      <w:r w:rsidRPr="000172BF">
        <w:rPr>
          <w:noProof/>
        </w:rPr>
        <w:t xml:space="preserve"> </w:t>
      </w:r>
      <w:r>
        <w:rPr>
          <w:noProof/>
        </w:rPr>
        <w:drawing>
          <wp:inline distT="0" distB="0" distL="0" distR="0" wp14:anchorId="3DC17EDC" wp14:editId="432C80D5">
            <wp:extent cx="5943600" cy="3283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283585"/>
                    </a:xfrm>
                    <a:prstGeom prst="rect">
                      <a:avLst/>
                    </a:prstGeom>
                  </pic:spPr>
                </pic:pic>
              </a:graphicData>
            </a:graphic>
          </wp:inline>
        </w:drawing>
      </w:r>
    </w:p>
    <w:p w14:paraId="4D6B6FA3" w14:textId="77777777" w:rsidR="00AC7935" w:rsidRDefault="00AC7935" w:rsidP="00AC7935">
      <w:pPr>
        <w:spacing w:line="480" w:lineRule="auto"/>
      </w:pPr>
      <w:r w:rsidRPr="000172BF">
        <w:rPr>
          <w:noProof/>
        </w:rPr>
        <w:lastRenderedPageBreak/>
        <w:t xml:space="preserve"> </w:t>
      </w:r>
      <w:r>
        <w:rPr>
          <w:noProof/>
        </w:rPr>
        <w:drawing>
          <wp:inline distT="0" distB="0" distL="0" distR="0" wp14:anchorId="1D574D16" wp14:editId="39351970">
            <wp:extent cx="5943600" cy="33712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71215"/>
                    </a:xfrm>
                    <a:prstGeom prst="rect">
                      <a:avLst/>
                    </a:prstGeom>
                  </pic:spPr>
                </pic:pic>
              </a:graphicData>
            </a:graphic>
          </wp:inline>
        </w:drawing>
      </w:r>
    </w:p>
    <w:p w14:paraId="2DA68C1E" w14:textId="77777777" w:rsidR="00AC7935" w:rsidRDefault="00AC7935" w:rsidP="00AC7935">
      <w:pPr>
        <w:spacing w:line="480" w:lineRule="auto"/>
      </w:pPr>
      <w:r w:rsidRPr="000172BF">
        <w:rPr>
          <w:noProof/>
        </w:rPr>
        <w:t xml:space="preserve"> </w:t>
      </w:r>
      <w:r>
        <w:rPr>
          <w:noProof/>
        </w:rPr>
        <w:drawing>
          <wp:inline distT="0" distB="0" distL="0" distR="0" wp14:anchorId="451DAC5D" wp14:editId="1E6A3AFD">
            <wp:extent cx="5943600" cy="33648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64865"/>
                    </a:xfrm>
                    <a:prstGeom prst="rect">
                      <a:avLst/>
                    </a:prstGeom>
                  </pic:spPr>
                </pic:pic>
              </a:graphicData>
            </a:graphic>
          </wp:inline>
        </w:drawing>
      </w:r>
    </w:p>
    <w:p w14:paraId="695A34CF" w14:textId="77777777" w:rsidR="00AC7935" w:rsidRDefault="00AC7935" w:rsidP="00AC7935">
      <w:pPr>
        <w:spacing w:line="480" w:lineRule="auto"/>
      </w:pPr>
      <w:r w:rsidRPr="000172BF">
        <w:rPr>
          <w:noProof/>
        </w:rPr>
        <w:lastRenderedPageBreak/>
        <w:t xml:space="preserve"> </w:t>
      </w:r>
      <w:r>
        <w:rPr>
          <w:noProof/>
        </w:rPr>
        <w:drawing>
          <wp:inline distT="0" distB="0" distL="0" distR="0" wp14:anchorId="6C65AF29" wp14:editId="13FD9B07">
            <wp:extent cx="5943600" cy="32600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260090"/>
                    </a:xfrm>
                    <a:prstGeom prst="rect">
                      <a:avLst/>
                    </a:prstGeom>
                  </pic:spPr>
                </pic:pic>
              </a:graphicData>
            </a:graphic>
          </wp:inline>
        </w:drawing>
      </w:r>
    </w:p>
    <w:p w14:paraId="44A8E834" w14:textId="77777777" w:rsidR="00AC7935" w:rsidRDefault="00AC7935" w:rsidP="00AC7935">
      <w:pPr>
        <w:spacing w:line="480" w:lineRule="auto"/>
      </w:pPr>
      <w:r w:rsidRPr="000172BF">
        <w:rPr>
          <w:noProof/>
        </w:rPr>
        <w:t xml:space="preserve"> </w:t>
      </w:r>
      <w:r>
        <w:rPr>
          <w:noProof/>
        </w:rPr>
        <w:drawing>
          <wp:inline distT="0" distB="0" distL="0" distR="0" wp14:anchorId="03311B03" wp14:editId="0DE5EFCD">
            <wp:extent cx="5943600" cy="336740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67405"/>
                    </a:xfrm>
                    <a:prstGeom prst="rect">
                      <a:avLst/>
                    </a:prstGeom>
                  </pic:spPr>
                </pic:pic>
              </a:graphicData>
            </a:graphic>
          </wp:inline>
        </w:drawing>
      </w:r>
    </w:p>
    <w:p w14:paraId="35373B7F" w14:textId="77777777" w:rsidR="00AC7935" w:rsidRDefault="00AC7935" w:rsidP="00AC7935">
      <w:pPr>
        <w:spacing w:line="480" w:lineRule="auto"/>
      </w:pPr>
      <w:r>
        <w:br w:type="page"/>
      </w:r>
    </w:p>
    <w:p w14:paraId="2EA3632E" w14:textId="6096C745" w:rsidR="00AC7935" w:rsidRPr="005E4201" w:rsidRDefault="00AC7935" w:rsidP="00AC7935">
      <w:pPr>
        <w:pStyle w:val="Heading2"/>
      </w:pPr>
      <w:r w:rsidRPr="005E4201">
        <w:lastRenderedPageBreak/>
        <w:t xml:space="preserve">Figure </w:t>
      </w:r>
      <w:r w:rsidR="000E459A">
        <w:t>S</w:t>
      </w:r>
      <w:r>
        <w:t>2</w:t>
      </w:r>
    </w:p>
    <w:p w14:paraId="4D20AF1B" w14:textId="77777777" w:rsidR="00AC7935" w:rsidRDefault="00AC7935" w:rsidP="00AC7935">
      <w:pPr>
        <w:rPr>
          <w:b/>
        </w:rPr>
      </w:pPr>
      <w:r w:rsidRPr="0074519A">
        <w:rPr>
          <w:b/>
        </w:rPr>
        <w:t xml:space="preserve">Title. </w:t>
      </w:r>
      <w:r>
        <w:t>Proactive high-dose vs. reactive low-dose IV iron treatment strategy: Comparison of cumulative doses of ESA and IV iron over 12 months using the parametric g-formula</w:t>
      </w:r>
    </w:p>
    <w:p w14:paraId="79EA7F03" w14:textId="2CA3BB91" w:rsidR="00AC7935" w:rsidRDefault="00AC7935" w:rsidP="00AC7935">
      <w:r>
        <w:rPr>
          <w:b/>
        </w:rPr>
        <w:t xml:space="preserve">Legend. </w:t>
      </w:r>
      <w:r>
        <w:t>High dose and low dose</w:t>
      </w:r>
      <w:r w:rsidR="00C44F38">
        <w:t xml:space="preserve"> strategies defined by PIVOTAL </w:t>
      </w:r>
      <w:r>
        <w:t xml:space="preserve">trial protocol as described in </w:t>
      </w:r>
      <w:r w:rsidR="00B0054E">
        <w:t xml:space="preserve">Table </w:t>
      </w:r>
      <w:r>
        <w:t>1; Outcomes: (a) cumulative ESA dose; (b) cumulative IV iron dose</w:t>
      </w:r>
    </w:p>
    <w:p w14:paraId="5C973F3A" w14:textId="77777777" w:rsidR="00AC7935" w:rsidRDefault="00AC7935" w:rsidP="00AC7935">
      <w:pPr>
        <w:rPr>
          <w:noProof/>
        </w:rPr>
      </w:pPr>
      <w:r>
        <w:rPr>
          <w:noProof/>
        </w:rPr>
        <w:drawing>
          <wp:inline distT="0" distB="0" distL="0" distR="0" wp14:anchorId="2CFC6DB4" wp14:editId="6B095D9E">
            <wp:extent cx="5943600" cy="332740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327400"/>
                    </a:xfrm>
                    <a:prstGeom prst="rect">
                      <a:avLst/>
                    </a:prstGeom>
                  </pic:spPr>
                </pic:pic>
              </a:graphicData>
            </a:graphic>
          </wp:inline>
        </w:drawing>
      </w:r>
      <w:r w:rsidRPr="000172BF">
        <w:rPr>
          <w:noProof/>
        </w:rPr>
        <w:t xml:space="preserve"> </w:t>
      </w:r>
      <w:r>
        <w:rPr>
          <w:noProof/>
        </w:rPr>
        <w:drawing>
          <wp:inline distT="0" distB="0" distL="0" distR="0" wp14:anchorId="61595E53" wp14:editId="3C846D98">
            <wp:extent cx="5943600" cy="33147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314700"/>
                    </a:xfrm>
                    <a:prstGeom prst="rect">
                      <a:avLst/>
                    </a:prstGeom>
                  </pic:spPr>
                </pic:pic>
              </a:graphicData>
            </a:graphic>
          </wp:inline>
        </w:drawing>
      </w:r>
    </w:p>
    <w:p w14:paraId="093AFDFF" w14:textId="28583FE0" w:rsidR="00AC7935" w:rsidRDefault="00AC7935" w:rsidP="00AC7935">
      <w:r>
        <w:t xml:space="preserve"> </w:t>
      </w:r>
      <w:r>
        <w:br w:type="page"/>
      </w:r>
    </w:p>
    <w:p w14:paraId="65240DD8" w14:textId="75D429FB" w:rsidR="00841D4F" w:rsidRPr="005E4201" w:rsidRDefault="00841D4F" w:rsidP="00841D4F">
      <w:pPr>
        <w:pStyle w:val="Heading2"/>
      </w:pPr>
      <w:r w:rsidRPr="005E4201">
        <w:lastRenderedPageBreak/>
        <w:t xml:space="preserve">Figure </w:t>
      </w:r>
      <w:r w:rsidR="000E459A">
        <w:t>S</w:t>
      </w:r>
      <w:r>
        <w:t>3</w:t>
      </w:r>
    </w:p>
    <w:p w14:paraId="3333FC19" w14:textId="6EFAF506" w:rsidR="00841D4F" w:rsidRDefault="00841D4F" w:rsidP="00841D4F">
      <w:pPr>
        <w:rPr>
          <w:b/>
        </w:rPr>
      </w:pPr>
      <w:r w:rsidRPr="0074519A">
        <w:rPr>
          <w:b/>
        </w:rPr>
        <w:t xml:space="preserve">Title. </w:t>
      </w:r>
      <w:r w:rsidRPr="00B4082F">
        <w:t xml:space="preserve">Comparison of </w:t>
      </w:r>
      <w:r>
        <w:t>proactive high-dose vs. reactive low-dose IV iron treatment strategy over 12 months using the parametric g-formula: Complete-case sensitivity analysis</w:t>
      </w:r>
    </w:p>
    <w:p w14:paraId="6C5B22BF" w14:textId="4726E85A" w:rsidR="00841D4F" w:rsidRDefault="00841D4F" w:rsidP="00841D4F">
      <w:r>
        <w:rPr>
          <w:b/>
        </w:rPr>
        <w:t xml:space="preserve">Legend. </w:t>
      </w:r>
      <w:r>
        <w:t>RR=Risk ratio; RD=Risk difference; High dose and low dose strategies defined by PIVOTAL trial</w:t>
      </w:r>
      <w:r w:rsidR="006669C4" w:rsidRPr="006669C4">
        <w:rPr>
          <w:vertAlign w:val="superscript"/>
        </w:rPr>
        <w:t>15</w:t>
      </w:r>
      <w:r>
        <w:t xml:space="preserve"> protocol as described in Table 1; Outcomes: (a) all-cause mortality, (b) hemoglobin, (c) serum ferritin, (d) TSAT, (e) ESA dose, (f) IV iron dose. Step 1 models limited to 40,721 (of 97,044) patient-months with complete data; Step 2 utilized first instance of complete data for each of 3,994 (of 6,325) patients.</w:t>
      </w:r>
    </w:p>
    <w:p w14:paraId="44B82764" w14:textId="61A7B16E" w:rsidR="000A4EC5" w:rsidRDefault="000A4EC5" w:rsidP="00841D4F">
      <w:r>
        <w:rPr>
          <w:noProof/>
        </w:rPr>
        <w:drawing>
          <wp:inline distT="0" distB="0" distL="0" distR="0" wp14:anchorId="2219872E" wp14:editId="15C29D79">
            <wp:extent cx="5534025" cy="3056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37671" cy="3058143"/>
                    </a:xfrm>
                    <a:prstGeom prst="rect">
                      <a:avLst/>
                    </a:prstGeom>
                  </pic:spPr>
                </pic:pic>
              </a:graphicData>
            </a:graphic>
          </wp:inline>
        </w:drawing>
      </w:r>
    </w:p>
    <w:p w14:paraId="794EA259" w14:textId="23FB9E77" w:rsidR="000A4EC5" w:rsidRDefault="000A4EC5" w:rsidP="00841D4F">
      <w:r>
        <w:rPr>
          <w:noProof/>
        </w:rPr>
        <w:drawing>
          <wp:inline distT="0" distB="0" distL="0" distR="0" wp14:anchorId="7BCB77F5" wp14:editId="7A11378A">
            <wp:extent cx="5657850" cy="31583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63463" cy="3161496"/>
                    </a:xfrm>
                    <a:prstGeom prst="rect">
                      <a:avLst/>
                    </a:prstGeom>
                  </pic:spPr>
                </pic:pic>
              </a:graphicData>
            </a:graphic>
          </wp:inline>
        </w:drawing>
      </w:r>
    </w:p>
    <w:p w14:paraId="06FAFA06" w14:textId="76C82553" w:rsidR="000A4EC5" w:rsidRDefault="000A4EC5">
      <w:r>
        <w:br w:type="page"/>
      </w:r>
    </w:p>
    <w:p w14:paraId="774CDA4F" w14:textId="0C095EF1" w:rsidR="000A4EC5" w:rsidRDefault="000A4EC5" w:rsidP="00841D4F">
      <w:r>
        <w:rPr>
          <w:noProof/>
        </w:rPr>
        <w:lastRenderedPageBreak/>
        <w:drawing>
          <wp:inline distT="0" distB="0" distL="0" distR="0" wp14:anchorId="636C79DD" wp14:editId="3BCA4D0B">
            <wp:extent cx="5943600" cy="34042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404235"/>
                    </a:xfrm>
                    <a:prstGeom prst="rect">
                      <a:avLst/>
                    </a:prstGeom>
                  </pic:spPr>
                </pic:pic>
              </a:graphicData>
            </a:graphic>
          </wp:inline>
        </w:drawing>
      </w:r>
    </w:p>
    <w:p w14:paraId="5E8C0BC8" w14:textId="06A1BAB8" w:rsidR="000A4EC5" w:rsidRDefault="000A4EC5" w:rsidP="00841D4F">
      <w:r>
        <w:rPr>
          <w:noProof/>
        </w:rPr>
        <w:drawing>
          <wp:inline distT="0" distB="0" distL="0" distR="0" wp14:anchorId="1076F77C" wp14:editId="31B84FD6">
            <wp:extent cx="5943600" cy="330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3302000"/>
                    </a:xfrm>
                    <a:prstGeom prst="rect">
                      <a:avLst/>
                    </a:prstGeom>
                  </pic:spPr>
                </pic:pic>
              </a:graphicData>
            </a:graphic>
          </wp:inline>
        </w:drawing>
      </w:r>
    </w:p>
    <w:p w14:paraId="0584E8BC" w14:textId="6A2B170E" w:rsidR="000A4EC5" w:rsidRDefault="000A4EC5">
      <w:r>
        <w:br w:type="page"/>
      </w:r>
    </w:p>
    <w:p w14:paraId="122053EC" w14:textId="175177F2" w:rsidR="000A4EC5" w:rsidRDefault="000A4EC5" w:rsidP="00841D4F">
      <w:r>
        <w:rPr>
          <w:noProof/>
        </w:rPr>
        <w:lastRenderedPageBreak/>
        <w:drawing>
          <wp:inline distT="0" distB="0" distL="0" distR="0" wp14:anchorId="2D6867B8" wp14:editId="53B1D428">
            <wp:extent cx="5943600" cy="328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282950"/>
                    </a:xfrm>
                    <a:prstGeom prst="rect">
                      <a:avLst/>
                    </a:prstGeom>
                  </pic:spPr>
                </pic:pic>
              </a:graphicData>
            </a:graphic>
          </wp:inline>
        </w:drawing>
      </w:r>
    </w:p>
    <w:p w14:paraId="2B7338FC" w14:textId="0F2E3A49" w:rsidR="000A4EC5" w:rsidRPr="00B4082F" w:rsidRDefault="000A4EC5" w:rsidP="00841D4F">
      <w:r>
        <w:rPr>
          <w:noProof/>
        </w:rPr>
        <w:drawing>
          <wp:inline distT="0" distB="0" distL="0" distR="0" wp14:anchorId="7B7EAFD9" wp14:editId="75DB809F">
            <wp:extent cx="5943600" cy="3353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3353435"/>
                    </a:xfrm>
                    <a:prstGeom prst="rect">
                      <a:avLst/>
                    </a:prstGeom>
                  </pic:spPr>
                </pic:pic>
              </a:graphicData>
            </a:graphic>
          </wp:inline>
        </w:drawing>
      </w:r>
    </w:p>
    <w:p w14:paraId="12268A1C" w14:textId="77777777" w:rsidR="00841D4F" w:rsidRDefault="00841D4F" w:rsidP="00841D4F">
      <w:r>
        <w:br w:type="page"/>
      </w:r>
    </w:p>
    <w:p w14:paraId="372EC7F3" w14:textId="0A1F686E" w:rsidR="00AC7935" w:rsidRPr="005E4201" w:rsidRDefault="00AC7935" w:rsidP="00AC7935">
      <w:pPr>
        <w:pStyle w:val="Heading2"/>
      </w:pPr>
      <w:r w:rsidRPr="005E4201">
        <w:lastRenderedPageBreak/>
        <w:t xml:space="preserve">Figure </w:t>
      </w:r>
      <w:r w:rsidR="000E459A">
        <w:t>S</w:t>
      </w:r>
      <w:r w:rsidR="00841D4F">
        <w:t>4</w:t>
      </w:r>
    </w:p>
    <w:p w14:paraId="18B9847B" w14:textId="77777777" w:rsidR="00AC7935" w:rsidRDefault="00AC7935" w:rsidP="00AC7935">
      <w:pPr>
        <w:rPr>
          <w:b/>
        </w:rPr>
      </w:pPr>
      <w:r w:rsidRPr="0074519A">
        <w:rPr>
          <w:b/>
        </w:rPr>
        <w:t xml:space="preserve">Title. </w:t>
      </w:r>
      <w:r w:rsidRPr="00B4082F">
        <w:t>Comparison of observed DOPPS data vs. natural course simulation</w:t>
      </w:r>
      <w:r>
        <w:t>, restricted to PIVOTAL-like patients</w:t>
      </w:r>
    </w:p>
    <w:p w14:paraId="201C15F0" w14:textId="77777777" w:rsidR="00AC7935" w:rsidRPr="00B4082F" w:rsidRDefault="00AC7935" w:rsidP="00AC7935">
      <w:r>
        <w:rPr>
          <w:b/>
        </w:rPr>
        <w:t xml:space="preserve">Legend. </w:t>
      </w:r>
      <w:r w:rsidRPr="00B4082F">
        <w:t xml:space="preserve">DOPPS data </w:t>
      </w:r>
      <w:r>
        <w:t>observed over the 12 months after baseline; Natural course simulation based on 12 simulated months using the parametric g-formula; N=1508 PIVOTAL-like DOPPS patients restricted to emulate PIVOTAL exclusion criteria; Outcomes: (a) all-cause mortality, (b) hemoglobin, (c) serum ferritin, (d) TSAT, (e) ESA dose, (f) IV iron dose.</w:t>
      </w:r>
    </w:p>
    <w:p w14:paraId="5301FA64" w14:textId="0AB0A9C2" w:rsidR="00AC7935" w:rsidRDefault="00AC7935" w:rsidP="00AC7935">
      <w:r>
        <w:rPr>
          <w:noProof/>
        </w:rPr>
        <w:drawing>
          <wp:inline distT="0" distB="0" distL="0" distR="0" wp14:anchorId="3F6D3916" wp14:editId="5C33C4CD">
            <wp:extent cx="5943600" cy="32378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237865"/>
                    </a:xfrm>
                    <a:prstGeom prst="rect">
                      <a:avLst/>
                    </a:prstGeom>
                  </pic:spPr>
                </pic:pic>
              </a:graphicData>
            </a:graphic>
          </wp:inline>
        </w:drawing>
      </w:r>
      <w:r w:rsidRPr="000172BF">
        <w:rPr>
          <w:noProof/>
        </w:rPr>
        <w:t xml:space="preserve"> </w:t>
      </w:r>
      <w:r>
        <w:rPr>
          <w:noProof/>
        </w:rPr>
        <w:drawing>
          <wp:inline distT="0" distB="0" distL="0" distR="0" wp14:anchorId="4911D513" wp14:editId="4C280342">
            <wp:extent cx="5943600" cy="3230245"/>
            <wp:effectExtent l="0" t="0" r="0"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3230245"/>
                    </a:xfrm>
                    <a:prstGeom prst="rect">
                      <a:avLst/>
                    </a:prstGeom>
                  </pic:spPr>
                </pic:pic>
              </a:graphicData>
            </a:graphic>
          </wp:inline>
        </w:drawing>
      </w:r>
    </w:p>
    <w:p w14:paraId="0DEFC1F2" w14:textId="0465D6EE" w:rsidR="00AC7935" w:rsidRDefault="00AC7935" w:rsidP="00AC7935">
      <w:pPr>
        <w:spacing w:line="480" w:lineRule="auto"/>
      </w:pPr>
      <w:r>
        <w:rPr>
          <w:noProof/>
        </w:rPr>
        <w:lastRenderedPageBreak/>
        <w:drawing>
          <wp:inline distT="0" distB="0" distL="0" distR="0" wp14:anchorId="3611CE26" wp14:editId="641E531B">
            <wp:extent cx="5943600" cy="3274695"/>
            <wp:effectExtent l="0" t="0" r="0"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274695"/>
                    </a:xfrm>
                    <a:prstGeom prst="rect">
                      <a:avLst/>
                    </a:prstGeom>
                  </pic:spPr>
                </pic:pic>
              </a:graphicData>
            </a:graphic>
          </wp:inline>
        </w:drawing>
      </w:r>
    </w:p>
    <w:p w14:paraId="33DAA006" w14:textId="366D31C6" w:rsidR="00AC7935" w:rsidRDefault="00AC7935" w:rsidP="00AC7935">
      <w:pPr>
        <w:spacing w:line="480" w:lineRule="auto"/>
      </w:pPr>
      <w:r>
        <w:rPr>
          <w:noProof/>
        </w:rPr>
        <w:drawing>
          <wp:inline distT="0" distB="0" distL="0" distR="0" wp14:anchorId="7A6721B3" wp14:editId="6184C9A2">
            <wp:extent cx="5943600" cy="3362960"/>
            <wp:effectExtent l="0" t="0" r="0"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3362960"/>
                    </a:xfrm>
                    <a:prstGeom prst="rect">
                      <a:avLst/>
                    </a:prstGeom>
                  </pic:spPr>
                </pic:pic>
              </a:graphicData>
            </a:graphic>
          </wp:inline>
        </w:drawing>
      </w:r>
    </w:p>
    <w:p w14:paraId="6539E231" w14:textId="77777777" w:rsidR="00AC7935" w:rsidRDefault="00AC7935" w:rsidP="00AC7935">
      <w:pPr>
        <w:spacing w:line="480" w:lineRule="auto"/>
      </w:pPr>
    </w:p>
    <w:p w14:paraId="78A74DBC" w14:textId="750B08CC" w:rsidR="00AC7935" w:rsidRDefault="00AC7935" w:rsidP="00AC7935">
      <w:pPr>
        <w:spacing w:line="480" w:lineRule="auto"/>
      </w:pPr>
      <w:r>
        <w:rPr>
          <w:noProof/>
        </w:rPr>
        <w:lastRenderedPageBreak/>
        <w:drawing>
          <wp:inline distT="0" distB="0" distL="0" distR="0" wp14:anchorId="3E384490" wp14:editId="0FAB13B2">
            <wp:extent cx="5943600" cy="330073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3300730"/>
                    </a:xfrm>
                    <a:prstGeom prst="rect">
                      <a:avLst/>
                    </a:prstGeom>
                  </pic:spPr>
                </pic:pic>
              </a:graphicData>
            </a:graphic>
          </wp:inline>
        </w:drawing>
      </w:r>
    </w:p>
    <w:p w14:paraId="471699BA" w14:textId="161B388C" w:rsidR="00AC7935" w:rsidRDefault="00AC7935" w:rsidP="00AC7935">
      <w:pPr>
        <w:spacing w:line="480" w:lineRule="auto"/>
      </w:pPr>
      <w:r>
        <w:rPr>
          <w:noProof/>
        </w:rPr>
        <w:drawing>
          <wp:inline distT="0" distB="0" distL="0" distR="0" wp14:anchorId="311F3CCD" wp14:editId="166C539A">
            <wp:extent cx="5943600" cy="333502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335020"/>
                    </a:xfrm>
                    <a:prstGeom prst="rect">
                      <a:avLst/>
                    </a:prstGeom>
                  </pic:spPr>
                </pic:pic>
              </a:graphicData>
            </a:graphic>
          </wp:inline>
        </w:drawing>
      </w:r>
    </w:p>
    <w:p w14:paraId="49145B39" w14:textId="3DDA8480" w:rsidR="00AC7935" w:rsidRDefault="00AC7935" w:rsidP="00AC7935">
      <w:pPr>
        <w:spacing w:line="480" w:lineRule="auto"/>
      </w:pPr>
    </w:p>
    <w:sectPr w:rsidR="00AC793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DDFF5" w16cid:durableId="203BAF9B"/>
  <w16cid:commentId w16cid:paraId="36BA6AF0" w16cid:durableId="203BAF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ACFA3" w14:textId="77777777" w:rsidR="00885281" w:rsidRDefault="00885281" w:rsidP="00B37BF5">
      <w:pPr>
        <w:spacing w:after="0" w:line="240" w:lineRule="auto"/>
      </w:pPr>
      <w:r>
        <w:separator/>
      </w:r>
    </w:p>
  </w:endnote>
  <w:endnote w:type="continuationSeparator" w:id="0">
    <w:p w14:paraId="0FD3CA6C" w14:textId="77777777" w:rsidR="00885281" w:rsidRDefault="00885281" w:rsidP="00B3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7EEC" w14:textId="77777777" w:rsidR="00885281" w:rsidRDefault="00885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508664"/>
      <w:docPartObj>
        <w:docPartGallery w:val="Page Numbers (Bottom of Page)"/>
        <w:docPartUnique/>
      </w:docPartObj>
    </w:sdtPr>
    <w:sdtEndPr>
      <w:rPr>
        <w:noProof/>
      </w:rPr>
    </w:sdtEndPr>
    <w:sdtContent>
      <w:p w14:paraId="393CFB48" w14:textId="4B7A050B" w:rsidR="00885281" w:rsidRDefault="00885281">
        <w:pPr>
          <w:pStyle w:val="Footer"/>
          <w:jc w:val="center"/>
        </w:pPr>
        <w:r>
          <w:fldChar w:fldCharType="begin"/>
        </w:r>
        <w:r>
          <w:instrText xml:space="preserve"> PAGE   \* MERGEFORMAT </w:instrText>
        </w:r>
        <w:r>
          <w:fldChar w:fldCharType="separate"/>
        </w:r>
        <w:r w:rsidR="00CF1C23">
          <w:rPr>
            <w:noProof/>
          </w:rPr>
          <w:t>23</w:t>
        </w:r>
        <w:r>
          <w:rPr>
            <w:noProof/>
          </w:rPr>
          <w:fldChar w:fldCharType="end"/>
        </w:r>
      </w:p>
    </w:sdtContent>
  </w:sdt>
  <w:p w14:paraId="02D4FC13" w14:textId="77777777" w:rsidR="00885281" w:rsidRDefault="00885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A9A33" w14:textId="77777777" w:rsidR="00885281" w:rsidRDefault="00885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6AE3" w14:textId="77777777" w:rsidR="00885281" w:rsidRDefault="00885281" w:rsidP="00B37BF5">
      <w:pPr>
        <w:spacing w:after="0" w:line="240" w:lineRule="auto"/>
      </w:pPr>
      <w:r>
        <w:separator/>
      </w:r>
    </w:p>
  </w:footnote>
  <w:footnote w:type="continuationSeparator" w:id="0">
    <w:p w14:paraId="5AA6E95C" w14:textId="77777777" w:rsidR="00885281" w:rsidRDefault="00885281" w:rsidP="00B37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1EBA" w14:textId="77777777" w:rsidR="00885281" w:rsidRDefault="00885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67A3" w14:textId="77777777" w:rsidR="00885281" w:rsidRDefault="00885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50EB8" w14:textId="77777777" w:rsidR="00885281" w:rsidRDefault="00885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78E6"/>
    <w:multiLevelType w:val="hybridMultilevel"/>
    <w:tmpl w:val="ABA21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9754A"/>
    <w:multiLevelType w:val="hybridMultilevel"/>
    <w:tmpl w:val="B1B4C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44C"/>
    <w:multiLevelType w:val="hybridMultilevel"/>
    <w:tmpl w:val="C066A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56B67"/>
    <w:multiLevelType w:val="hybridMultilevel"/>
    <w:tmpl w:val="5044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37199"/>
    <w:multiLevelType w:val="hybridMultilevel"/>
    <w:tmpl w:val="B444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14A94"/>
    <w:multiLevelType w:val="hybridMultilevel"/>
    <w:tmpl w:val="A41C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219BF"/>
    <w:multiLevelType w:val="hybridMultilevel"/>
    <w:tmpl w:val="F1A6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2751B"/>
    <w:multiLevelType w:val="hybridMultilevel"/>
    <w:tmpl w:val="A490D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A0212"/>
    <w:multiLevelType w:val="hybridMultilevel"/>
    <w:tmpl w:val="29D0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A3E86"/>
    <w:multiLevelType w:val="hybridMultilevel"/>
    <w:tmpl w:val="9626B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94025"/>
    <w:multiLevelType w:val="hybridMultilevel"/>
    <w:tmpl w:val="1BBEB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3853"/>
    <w:multiLevelType w:val="hybridMultilevel"/>
    <w:tmpl w:val="04769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C32D6"/>
    <w:multiLevelType w:val="hybridMultilevel"/>
    <w:tmpl w:val="F04E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47C48"/>
    <w:multiLevelType w:val="hybridMultilevel"/>
    <w:tmpl w:val="39803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6241F"/>
    <w:multiLevelType w:val="hybridMultilevel"/>
    <w:tmpl w:val="040A3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55550"/>
    <w:multiLevelType w:val="hybridMultilevel"/>
    <w:tmpl w:val="65BA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37284"/>
    <w:multiLevelType w:val="hybridMultilevel"/>
    <w:tmpl w:val="101AF0E6"/>
    <w:lvl w:ilvl="0" w:tplc="4EA45A52">
      <w:start w:val="1"/>
      <w:numFmt w:val="bullet"/>
      <w:lvlText w:val="•"/>
      <w:lvlJc w:val="left"/>
      <w:pPr>
        <w:tabs>
          <w:tab w:val="num" w:pos="720"/>
        </w:tabs>
        <w:ind w:left="720" w:hanging="360"/>
      </w:pPr>
      <w:rPr>
        <w:rFonts w:ascii="Arial" w:hAnsi="Arial" w:hint="default"/>
      </w:rPr>
    </w:lvl>
    <w:lvl w:ilvl="1" w:tplc="5E009972">
      <w:start w:val="78"/>
      <w:numFmt w:val="bullet"/>
      <w:lvlText w:val="–"/>
      <w:lvlJc w:val="left"/>
      <w:pPr>
        <w:tabs>
          <w:tab w:val="num" w:pos="1440"/>
        </w:tabs>
        <w:ind w:left="1440" w:hanging="360"/>
      </w:pPr>
      <w:rPr>
        <w:rFonts w:ascii="Arial" w:hAnsi="Arial" w:hint="default"/>
      </w:rPr>
    </w:lvl>
    <w:lvl w:ilvl="2" w:tplc="4B045792" w:tentative="1">
      <w:start w:val="1"/>
      <w:numFmt w:val="bullet"/>
      <w:lvlText w:val="•"/>
      <w:lvlJc w:val="left"/>
      <w:pPr>
        <w:tabs>
          <w:tab w:val="num" w:pos="2160"/>
        </w:tabs>
        <w:ind w:left="2160" w:hanging="360"/>
      </w:pPr>
      <w:rPr>
        <w:rFonts w:ascii="Arial" w:hAnsi="Arial" w:hint="default"/>
      </w:rPr>
    </w:lvl>
    <w:lvl w:ilvl="3" w:tplc="04C68430" w:tentative="1">
      <w:start w:val="1"/>
      <w:numFmt w:val="bullet"/>
      <w:lvlText w:val="•"/>
      <w:lvlJc w:val="left"/>
      <w:pPr>
        <w:tabs>
          <w:tab w:val="num" w:pos="2880"/>
        </w:tabs>
        <w:ind w:left="2880" w:hanging="360"/>
      </w:pPr>
      <w:rPr>
        <w:rFonts w:ascii="Arial" w:hAnsi="Arial" w:hint="default"/>
      </w:rPr>
    </w:lvl>
    <w:lvl w:ilvl="4" w:tplc="C2E0834A" w:tentative="1">
      <w:start w:val="1"/>
      <w:numFmt w:val="bullet"/>
      <w:lvlText w:val="•"/>
      <w:lvlJc w:val="left"/>
      <w:pPr>
        <w:tabs>
          <w:tab w:val="num" w:pos="3600"/>
        </w:tabs>
        <w:ind w:left="3600" w:hanging="360"/>
      </w:pPr>
      <w:rPr>
        <w:rFonts w:ascii="Arial" w:hAnsi="Arial" w:hint="default"/>
      </w:rPr>
    </w:lvl>
    <w:lvl w:ilvl="5" w:tplc="25BE447E" w:tentative="1">
      <w:start w:val="1"/>
      <w:numFmt w:val="bullet"/>
      <w:lvlText w:val="•"/>
      <w:lvlJc w:val="left"/>
      <w:pPr>
        <w:tabs>
          <w:tab w:val="num" w:pos="4320"/>
        </w:tabs>
        <w:ind w:left="4320" w:hanging="360"/>
      </w:pPr>
      <w:rPr>
        <w:rFonts w:ascii="Arial" w:hAnsi="Arial" w:hint="default"/>
      </w:rPr>
    </w:lvl>
    <w:lvl w:ilvl="6" w:tplc="E61EAD92" w:tentative="1">
      <w:start w:val="1"/>
      <w:numFmt w:val="bullet"/>
      <w:lvlText w:val="•"/>
      <w:lvlJc w:val="left"/>
      <w:pPr>
        <w:tabs>
          <w:tab w:val="num" w:pos="5040"/>
        </w:tabs>
        <w:ind w:left="5040" w:hanging="360"/>
      </w:pPr>
      <w:rPr>
        <w:rFonts w:ascii="Arial" w:hAnsi="Arial" w:hint="default"/>
      </w:rPr>
    </w:lvl>
    <w:lvl w:ilvl="7" w:tplc="6AAA8C62" w:tentative="1">
      <w:start w:val="1"/>
      <w:numFmt w:val="bullet"/>
      <w:lvlText w:val="•"/>
      <w:lvlJc w:val="left"/>
      <w:pPr>
        <w:tabs>
          <w:tab w:val="num" w:pos="5760"/>
        </w:tabs>
        <w:ind w:left="5760" w:hanging="360"/>
      </w:pPr>
      <w:rPr>
        <w:rFonts w:ascii="Arial" w:hAnsi="Arial" w:hint="default"/>
      </w:rPr>
    </w:lvl>
    <w:lvl w:ilvl="8" w:tplc="24D094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5012B6"/>
    <w:multiLevelType w:val="hybridMultilevel"/>
    <w:tmpl w:val="19C03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574AA"/>
    <w:multiLevelType w:val="hybridMultilevel"/>
    <w:tmpl w:val="F68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80E3A"/>
    <w:multiLevelType w:val="hybridMultilevel"/>
    <w:tmpl w:val="F2125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E13D5"/>
    <w:multiLevelType w:val="hybridMultilevel"/>
    <w:tmpl w:val="2AD0F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72953"/>
    <w:multiLevelType w:val="hybridMultilevel"/>
    <w:tmpl w:val="40AA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9476B"/>
    <w:multiLevelType w:val="hybridMultilevel"/>
    <w:tmpl w:val="1C9E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30B8B"/>
    <w:multiLevelType w:val="hybridMultilevel"/>
    <w:tmpl w:val="B7A0E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53253"/>
    <w:multiLevelType w:val="hybridMultilevel"/>
    <w:tmpl w:val="734E0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53456"/>
    <w:multiLevelType w:val="hybridMultilevel"/>
    <w:tmpl w:val="E57C6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6359C"/>
    <w:multiLevelType w:val="hybridMultilevel"/>
    <w:tmpl w:val="C718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71591"/>
    <w:multiLevelType w:val="hybridMultilevel"/>
    <w:tmpl w:val="1FC4E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B52C3"/>
    <w:multiLevelType w:val="hybridMultilevel"/>
    <w:tmpl w:val="8BC22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206FC"/>
    <w:multiLevelType w:val="hybridMultilevel"/>
    <w:tmpl w:val="5BE6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8599D"/>
    <w:multiLevelType w:val="hybridMultilevel"/>
    <w:tmpl w:val="657EF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A4339"/>
    <w:multiLevelType w:val="hybridMultilevel"/>
    <w:tmpl w:val="46246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761F65"/>
    <w:multiLevelType w:val="hybridMultilevel"/>
    <w:tmpl w:val="31D2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26A40"/>
    <w:multiLevelType w:val="hybridMultilevel"/>
    <w:tmpl w:val="DF4E5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664B2"/>
    <w:multiLevelType w:val="hybridMultilevel"/>
    <w:tmpl w:val="C7162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4277C"/>
    <w:multiLevelType w:val="hybridMultilevel"/>
    <w:tmpl w:val="D4684594"/>
    <w:lvl w:ilvl="0" w:tplc="9E64F346">
      <w:start w:val="1"/>
      <w:numFmt w:val="bullet"/>
      <w:lvlText w:val="–"/>
      <w:lvlJc w:val="left"/>
      <w:pPr>
        <w:tabs>
          <w:tab w:val="num" w:pos="720"/>
        </w:tabs>
        <w:ind w:left="720" w:hanging="360"/>
      </w:pPr>
      <w:rPr>
        <w:rFonts w:ascii="Arial" w:hAnsi="Arial" w:hint="default"/>
      </w:rPr>
    </w:lvl>
    <w:lvl w:ilvl="1" w:tplc="796CBAFA">
      <w:start w:val="1"/>
      <w:numFmt w:val="bullet"/>
      <w:lvlText w:val="–"/>
      <w:lvlJc w:val="left"/>
      <w:pPr>
        <w:tabs>
          <w:tab w:val="num" w:pos="1440"/>
        </w:tabs>
        <w:ind w:left="1440" w:hanging="360"/>
      </w:pPr>
      <w:rPr>
        <w:rFonts w:ascii="Arial" w:hAnsi="Arial" w:hint="default"/>
      </w:rPr>
    </w:lvl>
    <w:lvl w:ilvl="2" w:tplc="A46E80EC" w:tentative="1">
      <w:start w:val="1"/>
      <w:numFmt w:val="bullet"/>
      <w:lvlText w:val="–"/>
      <w:lvlJc w:val="left"/>
      <w:pPr>
        <w:tabs>
          <w:tab w:val="num" w:pos="2160"/>
        </w:tabs>
        <w:ind w:left="2160" w:hanging="360"/>
      </w:pPr>
      <w:rPr>
        <w:rFonts w:ascii="Arial" w:hAnsi="Arial" w:hint="default"/>
      </w:rPr>
    </w:lvl>
    <w:lvl w:ilvl="3" w:tplc="64E4F942" w:tentative="1">
      <w:start w:val="1"/>
      <w:numFmt w:val="bullet"/>
      <w:lvlText w:val="–"/>
      <w:lvlJc w:val="left"/>
      <w:pPr>
        <w:tabs>
          <w:tab w:val="num" w:pos="2880"/>
        </w:tabs>
        <w:ind w:left="2880" w:hanging="360"/>
      </w:pPr>
      <w:rPr>
        <w:rFonts w:ascii="Arial" w:hAnsi="Arial" w:hint="default"/>
      </w:rPr>
    </w:lvl>
    <w:lvl w:ilvl="4" w:tplc="EEEA28A8" w:tentative="1">
      <w:start w:val="1"/>
      <w:numFmt w:val="bullet"/>
      <w:lvlText w:val="–"/>
      <w:lvlJc w:val="left"/>
      <w:pPr>
        <w:tabs>
          <w:tab w:val="num" w:pos="3600"/>
        </w:tabs>
        <w:ind w:left="3600" w:hanging="360"/>
      </w:pPr>
      <w:rPr>
        <w:rFonts w:ascii="Arial" w:hAnsi="Arial" w:hint="default"/>
      </w:rPr>
    </w:lvl>
    <w:lvl w:ilvl="5" w:tplc="14241036" w:tentative="1">
      <w:start w:val="1"/>
      <w:numFmt w:val="bullet"/>
      <w:lvlText w:val="–"/>
      <w:lvlJc w:val="left"/>
      <w:pPr>
        <w:tabs>
          <w:tab w:val="num" w:pos="4320"/>
        </w:tabs>
        <w:ind w:left="4320" w:hanging="360"/>
      </w:pPr>
      <w:rPr>
        <w:rFonts w:ascii="Arial" w:hAnsi="Arial" w:hint="default"/>
      </w:rPr>
    </w:lvl>
    <w:lvl w:ilvl="6" w:tplc="31B2F802" w:tentative="1">
      <w:start w:val="1"/>
      <w:numFmt w:val="bullet"/>
      <w:lvlText w:val="–"/>
      <w:lvlJc w:val="left"/>
      <w:pPr>
        <w:tabs>
          <w:tab w:val="num" w:pos="5040"/>
        </w:tabs>
        <w:ind w:left="5040" w:hanging="360"/>
      </w:pPr>
      <w:rPr>
        <w:rFonts w:ascii="Arial" w:hAnsi="Arial" w:hint="default"/>
      </w:rPr>
    </w:lvl>
    <w:lvl w:ilvl="7" w:tplc="2A1AA932" w:tentative="1">
      <w:start w:val="1"/>
      <w:numFmt w:val="bullet"/>
      <w:lvlText w:val="–"/>
      <w:lvlJc w:val="left"/>
      <w:pPr>
        <w:tabs>
          <w:tab w:val="num" w:pos="5760"/>
        </w:tabs>
        <w:ind w:left="5760" w:hanging="360"/>
      </w:pPr>
      <w:rPr>
        <w:rFonts w:ascii="Arial" w:hAnsi="Arial" w:hint="default"/>
      </w:rPr>
    </w:lvl>
    <w:lvl w:ilvl="8" w:tplc="5D0620C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1A7709"/>
    <w:multiLevelType w:val="hybridMultilevel"/>
    <w:tmpl w:val="3618C62E"/>
    <w:lvl w:ilvl="0" w:tplc="6A269D6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7" w15:restartNumberingAfterBreak="0">
    <w:nsid w:val="7C2D1DA0"/>
    <w:multiLevelType w:val="hybridMultilevel"/>
    <w:tmpl w:val="7E3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46FC0"/>
    <w:multiLevelType w:val="hybridMultilevel"/>
    <w:tmpl w:val="2B6E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
  </w:num>
  <w:num w:numId="3">
    <w:abstractNumId w:val="30"/>
  </w:num>
  <w:num w:numId="4">
    <w:abstractNumId w:val="3"/>
  </w:num>
  <w:num w:numId="5">
    <w:abstractNumId w:val="28"/>
  </w:num>
  <w:num w:numId="6">
    <w:abstractNumId w:val="19"/>
  </w:num>
  <w:num w:numId="7">
    <w:abstractNumId w:val="20"/>
  </w:num>
  <w:num w:numId="8">
    <w:abstractNumId w:val="24"/>
  </w:num>
  <w:num w:numId="9">
    <w:abstractNumId w:val="25"/>
  </w:num>
  <w:num w:numId="10">
    <w:abstractNumId w:val="31"/>
  </w:num>
  <w:num w:numId="11">
    <w:abstractNumId w:val="26"/>
  </w:num>
  <w:num w:numId="12">
    <w:abstractNumId w:val="0"/>
  </w:num>
  <w:num w:numId="13">
    <w:abstractNumId w:val="9"/>
  </w:num>
  <w:num w:numId="14">
    <w:abstractNumId w:val="7"/>
  </w:num>
  <w:num w:numId="15">
    <w:abstractNumId w:val="13"/>
  </w:num>
  <w:num w:numId="16">
    <w:abstractNumId w:val="33"/>
  </w:num>
  <w:num w:numId="17">
    <w:abstractNumId w:val="23"/>
  </w:num>
  <w:num w:numId="18">
    <w:abstractNumId w:val="12"/>
  </w:num>
  <w:num w:numId="19">
    <w:abstractNumId w:val="8"/>
  </w:num>
  <w:num w:numId="20">
    <w:abstractNumId w:val="10"/>
  </w:num>
  <w:num w:numId="21">
    <w:abstractNumId w:val="22"/>
  </w:num>
  <w:num w:numId="22">
    <w:abstractNumId w:val="4"/>
  </w:num>
  <w:num w:numId="23">
    <w:abstractNumId w:val="32"/>
  </w:num>
  <w:num w:numId="24">
    <w:abstractNumId w:val="18"/>
  </w:num>
  <w:num w:numId="25">
    <w:abstractNumId w:val="36"/>
  </w:num>
  <w:num w:numId="26">
    <w:abstractNumId w:val="6"/>
  </w:num>
  <w:num w:numId="27">
    <w:abstractNumId w:val="15"/>
  </w:num>
  <w:num w:numId="28">
    <w:abstractNumId w:val="2"/>
  </w:num>
  <w:num w:numId="29">
    <w:abstractNumId w:val="17"/>
  </w:num>
  <w:num w:numId="30">
    <w:abstractNumId w:val="27"/>
  </w:num>
  <w:num w:numId="31">
    <w:abstractNumId w:val="11"/>
  </w:num>
  <w:num w:numId="32">
    <w:abstractNumId w:val="35"/>
  </w:num>
  <w:num w:numId="33">
    <w:abstractNumId w:val="16"/>
  </w:num>
  <w:num w:numId="34">
    <w:abstractNumId w:val="21"/>
  </w:num>
  <w:num w:numId="35">
    <w:abstractNumId w:val="14"/>
  </w:num>
  <w:num w:numId="36">
    <w:abstractNumId w:val="37"/>
  </w:num>
  <w:num w:numId="37">
    <w:abstractNumId w:val="38"/>
  </w:num>
  <w:num w:numId="38">
    <w:abstractNumId w:val="2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EC"/>
    <w:rsid w:val="00002C5B"/>
    <w:rsid w:val="000052D4"/>
    <w:rsid w:val="0000634B"/>
    <w:rsid w:val="000069DB"/>
    <w:rsid w:val="000114E9"/>
    <w:rsid w:val="000168AB"/>
    <w:rsid w:val="000172BF"/>
    <w:rsid w:val="00017763"/>
    <w:rsid w:val="00021237"/>
    <w:rsid w:val="000311DE"/>
    <w:rsid w:val="0003158B"/>
    <w:rsid w:val="00031A37"/>
    <w:rsid w:val="000329AB"/>
    <w:rsid w:val="00033B52"/>
    <w:rsid w:val="00037806"/>
    <w:rsid w:val="00037AB2"/>
    <w:rsid w:val="00041357"/>
    <w:rsid w:val="00042A89"/>
    <w:rsid w:val="00043F82"/>
    <w:rsid w:val="00044686"/>
    <w:rsid w:val="0004601D"/>
    <w:rsid w:val="00051163"/>
    <w:rsid w:val="0005314F"/>
    <w:rsid w:val="000565BB"/>
    <w:rsid w:val="00057578"/>
    <w:rsid w:val="00061664"/>
    <w:rsid w:val="0006296C"/>
    <w:rsid w:val="00067FCB"/>
    <w:rsid w:val="00073097"/>
    <w:rsid w:val="00073FD0"/>
    <w:rsid w:val="00076CD2"/>
    <w:rsid w:val="0007789A"/>
    <w:rsid w:val="0008153B"/>
    <w:rsid w:val="0008301A"/>
    <w:rsid w:val="00083985"/>
    <w:rsid w:val="0008407F"/>
    <w:rsid w:val="000857F2"/>
    <w:rsid w:val="00085D81"/>
    <w:rsid w:val="0008665E"/>
    <w:rsid w:val="00090E9E"/>
    <w:rsid w:val="00093B26"/>
    <w:rsid w:val="00093E0C"/>
    <w:rsid w:val="000973F2"/>
    <w:rsid w:val="00097EB0"/>
    <w:rsid w:val="000A0201"/>
    <w:rsid w:val="000A12E8"/>
    <w:rsid w:val="000A2C4A"/>
    <w:rsid w:val="000A2EF0"/>
    <w:rsid w:val="000A49D3"/>
    <w:rsid w:val="000A4EC5"/>
    <w:rsid w:val="000B0CB6"/>
    <w:rsid w:val="000B1855"/>
    <w:rsid w:val="000B25C6"/>
    <w:rsid w:val="000B2E69"/>
    <w:rsid w:val="000B36E5"/>
    <w:rsid w:val="000B4E70"/>
    <w:rsid w:val="000B77B7"/>
    <w:rsid w:val="000C261F"/>
    <w:rsid w:val="000D0D47"/>
    <w:rsid w:val="000D2759"/>
    <w:rsid w:val="000D4C36"/>
    <w:rsid w:val="000E0657"/>
    <w:rsid w:val="000E1D14"/>
    <w:rsid w:val="000E3095"/>
    <w:rsid w:val="000E3162"/>
    <w:rsid w:val="000E459A"/>
    <w:rsid w:val="000E55A2"/>
    <w:rsid w:val="000E6596"/>
    <w:rsid w:val="000E68AF"/>
    <w:rsid w:val="000F0B8E"/>
    <w:rsid w:val="000F12F0"/>
    <w:rsid w:val="000F40CB"/>
    <w:rsid w:val="000F4912"/>
    <w:rsid w:val="000F5B5F"/>
    <w:rsid w:val="000F6190"/>
    <w:rsid w:val="00100FDC"/>
    <w:rsid w:val="001010EE"/>
    <w:rsid w:val="0010324E"/>
    <w:rsid w:val="00103EA4"/>
    <w:rsid w:val="00107A34"/>
    <w:rsid w:val="00107CD4"/>
    <w:rsid w:val="001114A5"/>
    <w:rsid w:val="00113808"/>
    <w:rsid w:val="00113DCC"/>
    <w:rsid w:val="001143C9"/>
    <w:rsid w:val="00114EFB"/>
    <w:rsid w:val="0012107D"/>
    <w:rsid w:val="00122509"/>
    <w:rsid w:val="0012431B"/>
    <w:rsid w:val="001259AF"/>
    <w:rsid w:val="00125A17"/>
    <w:rsid w:val="001300FE"/>
    <w:rsid w:val="0013031C"/>
    <w:rsid w:val="00131CBA"/>
    <w:rsid w:val="00137299"/>
    <w:rsid w:val="00141040"/>
    <w:rsid w:val="00142535"/>
    <w:rsid w:val="00143339"/>
    <w:rsid w:val="0014454A"/>
    <w:rsid w:val="001453C9"/>
    <w:rsid w:val="00146EFE"/>
    <w:rsid w:val="00147A4F"/>
    <w:rsid w:val="00151584"/>
    <w:rsid w:val="00153F42"/>
    <w:rsid w:val="00157B43"/>
    <w:rsid w:val="001603D8"/>
    <w:rsid w:val="00161873"/>
    <w:rsid w:val="0016514C"/>
    <w:rsid w:val="00175479"/>
    <w:rsid w:val="00176235"/>
    <w:rsid w:val="00176784"/>
    <w:rsid w:val="001770D3"/>
    <w:rsid w:val="00180355"/>
    <w:rsid w:val="001822C5"/>
    <w:rsid w:val="00183139"/>
    <w:rsid w:val="00183575"/>
    <w:rsid w:val="00185800"/>
    <w:rsid w:val="00185D99"/>
    <w:rsid w:val="00192910"/>
    <w:rsid w:val="00193C19"/>
    <w:rsid w:val="001A24ED"/>
    <w:rsid w:val="001A25DB"/>
    <w:rsid w:val="001A3EEA"/>
    <w:rsid w:val="001A742C"/>
    <w:rsid w:val="001A76EC"/>
    <w:rsid w:val="001A7C05"/>
    <w:rsid w:val="001B02B8"/>
    <w:rsid w:val="001C2555"/>
    <w:rsid w:val="001C272C"/>
    <w:rsid w:val="001C3476"/>
    <w:rsid w:val="001C3729"/>
    <w:rsid w:val="001C7C41"/>
    <w:rsid w:val="001D1725"/>
    <w:rsid w:val="001D3254"/>
    <w:rsid w:val="001D3944"/>
    <w:rsid w:val="001D4D78"/>
    <w:rsid w:val="001D7B78"/>
    <w:rsid w:val="001E144C"/>
    <w:rsid w:val="001E1599"/>
    <w:rsid w:val="001E1E35"/>
    <w:rsid w:val="001E21A7"/>
    <w:rsid w:val="001E4106"/>
    <w:rsid w:val="001E4679"/>
    <w:rsid w:val="001E566F"/>
    <w:rsid w:val="001E643F"/>
    <w:rsid w:val="001E6C98"/>
    <w:rsid w:val="001F1369"/>
    <w:rsid w:val="001F274A"/>
    <w:rsid w:val="001F74A1"/>
    <w:rsid w:val="001F7766"/>
    <w:rsid w:val="00203259"/>
    <w:rsid w:val="002044AA"/>
    <w:rsid w:val="00207126"/>
    <w:rsid w:val="0020767C"/>
    <w:rsid w:val="00215972"/>
    <w:rsid w:val="002205FA"/>
    <w:rsid w:val="00223C7B"/>
    <w:rsid w:val="00223D08"/>
    <w:rsid w:val="002249F1"/>
    <w:rsid w:val="00225C3C"/>
    <w:rsid w:val="00227D9B"/>
    <w:rsid w:val="00237C4A"/>
    <w:rsid w:val="002408CB"/>
    <w:rsid w:val="00241056"/>
    <w:rsid w:val="002413EC"/>
    <w:rsid w:val="00241F54"/>
    <w:rsid w:val="0024248A"/>
    <w:rsid w:val="00244CDD"/>
    <w:rsid w:val="0024590C"/>
    <w:rsid w:val="00245F71"/>
    <w:rsid w:val="00246DC8"/>
    <w:rsid w:val="00260014"/>
    <w:rsid w:val="00262250"/>
    <w:rsid w:val="002642E5"/>
    <w:rsid w:val="00264330"/>
    <w:rsid w:val="00265BD5"/>
    <w:rsid w:val="002720DE"/>
    <w:rsid w:val="00273913"/>
    <w:rsid w:val="00274049"/>
    <w:rsid w:val="00275824"/>
    <w:rsid w:val="00276959"/>
    <w:rsid w:val="00277B9A"/>
    <w:rsid w:val="00290320"/>
    <w:rsid w:val="002909A4"/>
    <w:rsid w:val="00293930"/>
    <w:rsid w:val="00294264"/>
    <w:rsid w:val="00294960"/>
    <w:rsid w:val="002972F5"/>
    <w:rsid w:val="002976C6"/>
    <w:rsid w:val="00297810"/>
    <w:rsid w:val="0029782A"/>
    <w:rsid w:val="00297A81"/>
    <w:rsid w:val="002A340B"/>
    <w:rsid w:val="002A35CC"/>
    <w:rsid w:val="002A6B16"/>
    <w:rsid w:val="002A7AEA"/>
    <w:rsid w:val="002B1055"/>
    <w:rsid w:val="002B1AD4"/>
    <w:rsid w:val="002B4F09"/>
    <w:rsid w:val="002B7DD7"/>
    <w:rsid w:val="002C16C4"/>
    <w:rsid w:val="002C197E"/>
    <w:rsid w:val="002C2F05"/>
    <w:rsid w:val="002C5278"/>
    <w:rsid w:val="002C5331"/>
    <w:rsid w:val="002C574E"/>
    <w:rsid w:val="002C580F"/>
    <w:rsid w:val="002C6189"/>
    <w:rsid w:val="002C67F7"/>
    <w:rsid w:val="002D2B54"/>
    <w:rsid w:val="002D4B89"/>
    <w:rsid w:val="002D5F07"/>
    <w:rsid w:val="002E0BF6"/>
    <w:rsid w:val="002E283E"/>
    <w:rsid w:val="002E69E3"/>
    <w:rsid w:val="002E782B"/>
    <w:rsid w:val="002F092C"/>
    <w:rsid w:val="002F6FDA"/>
    <w:rsid w:val="00300E51"/>
    <w:rsid w:val="003016E5"/>
    <w:rsid w:val="00304334"/>
    <w:rsid w:val="0030434F"/>
    <w:rsid w:val="003046EB"/>
    <w:rsid w:val="0030586A"/>
    <w:rsid w:val="00306151"/>
    <w:rsid w:val="00306965"/>
    <w:rsid w:val="00307918"/>
    <w:rsid w:val="00312BE4"/>
    <w:rsid w:val="00313543"/>
    <w:rsid w:val="00320CE6"/>
    <w:rsid w:val="003218FB"/>
    <w:rsid w:val="00322673"/>
    <w:rsid w:val="0032787B"/>
    <w:rsid w:val="003278B5"/>
    <w:rsid w:val="00330BC8"/>
    <w:rsid w:val="003324FA"/>
    <w:rsid w:val="003339ED"/>
    <w:rsid w:val="00334D8F"/>
    <w:rsid w:val="003361EC"/>
    <w:rsid w:val="00336BA1"/>
    <w:rsid w:val="00340D45"/>
    <w:rsid w:val="00341329"/>
    <w:rsid w:val="00346032"/>
    <w:rsid w:val="00346853"/>
    <w:rsid w:val="0035262E"/>
    <w:rsid w:val="003530DD"/>
    <w:rsid w:val="003553FD"/>
    <w:rsid w:val="0035578F"/>
    <w:rsid w:val="00363E5D"/>
    <w:rsid w:val="0036409C"/>
    <w:rsid w:val="00364119"/>
    <w:rsid w:val="00364219"/>
    <w:rsid w:val="0036495A"/>
    <w:rsid w:val="00364E83"/>
    <w:rsid w:val="003651E7"/>
    <w:rsid w:val="0036728E"/>
    <w:rsid w:val="003708B8"/>
    <w:rsid w:val="003723C6"/>
    <w:rsid w:val="003764AB"/>
    <w:rsid w:val="0038057B"/>
    <w:rsid w:val="00382488"/>
    <w:rsid w:val="00382A39"/>
    <w:rsid w:val="00385E32"/>
    <w:rsid w:val="00391E0F"/>
    <w:rsid w:val="00393DB9"/>
    <w:rsid w:val="0039484D"/>
    <w:rsid w:val="00394F55"/>
    <w:rsid w:val="003950D5"/>
    <w:rsid w:val="0039519B"/>
    <w:rsid w:val="00396D15"/>
    <w:rsid w:val="003A15B7"/>
    <w:rsid w:val="003A18C7"/>
    <w:rsid w:val="003A2646"/>
    <w:rsid w:val="003B2D36"/>
    <w:rsid w:val="003B3A9A"/>
    <w:rsid w:val="003B625E"/>
    <w:rsid w:val="003C17F1"/>
    <w:rsid w:val="003C256F"/>
    <w:rsid w:val="003C4277"/>
    <w:rsid w:val="003C439F"/>
    <w:rsid w:val="003D43FC"/>
    <w:rsid w:val="003D5138"/>
    <w:rsid w:val="003E3DDD"/>
    <w:rsid w:val="003E3F97"/>
    <w:rsid w:val="003E4418"/>
    <w:rsid w:val="003E4BE4"/>
    <w:rsid w:val="003E5496"/>
    <w:rsid w:val="003F0DEB"/>
    <w:rsid w:val="003F1002"/>
    <w:rsid w:val="003F1014"/>
    <w:rsid w:val="003F1577"/>
    <w:rsid w:val="003F1B7A"/>
    <w:rsid w:val="003F2847"/>
    <w:rsid w:val="003F3407"/>
    <w:rsid w:val="003F6F97"/>
    <w:rsid w:val="004025A6"/>
    <w:rsid w:val="00407C17"/>
    <w:rsid w:val="00410BA8"/>
    <w:rsid w:val="00413714"/>
    <w:rsid w:val="00416D17"/>
    <w:rsid w:val="00416D6C"/>
    <w:rsid w:val="00417D5C"/>
    <w:rsid w:val="0042197A"/>
    <w:rsid w:val="004222AA"/>
    <w:rsid w:val="00423D37"/>
    <w:rsid w:val="00424A38"/>
    <w:rsid w:val="00425984"/>
    <w:rsid w:val="00427BE0"/>
    <w:rsid w:val="00431CC6"/>
    <w:rsid w:val="00432462"/>
    <w:rsid w:val="00432B6E"/>
    <w:rsid w:val="00433189"/>
    <w:rsid w:val="004343B3"/>
    <w:rsid w:val="004425C0"/>
    <w:rsid w:val="00444B10"/>
    <w:rsid w:val="00447009"/>
    <w:rsid w:val="0044714B"/>
    <w:rsid w:val="004520FC"/>
    <w:rsid w:val="00452D1E"/>
    <w:rsid w:val="004532C6"/>
    <w:rsid w:val="004533B2"/>
    <w:rsid w:val="00455DD3"/>
    <w:rsid w:val="00457526"/>
    <w:rsid w:val="004604DC"/>
    <w:rsid w:val="00461555"/>
    <w:rsid w:val="00462714"/>
    <w:rsid w:val="00466316"/>
    <w:rsid w:val="00467B27"/>
    <w:rsid w:val="004708C5"/>
    <w:rsid w:val="00474B07"/>
    <w:rsid w:val="004778FE"/>
    <w:rsid w:val="00484375"/>
    <w:rsid w:val="00485169"/>
    <w:rsid w:val="0048544E"/>
    <w:rsid w:val="0048559B"/>
    <w:rsid w:val="004873B7"/>
    <w:rsid w:val="00487936"/>
    <w:rsid w:val="0049086C"/>
    <w:rsid w:val="00494631"/>
    <w:rsid w:val="00494722"/>
    <w:rsid w:val="004962B2"/>
    <w:rsid w:val="00496BD4"/>
    <w:rsid w:val="004A1D1C"/>
    <w:rsid w:val="004A26B5"/>
    <w:rsid w:val="004A37E5"/>
    <w:rsid w:val="004A4628"/>
    <w:rsid w:val="004A5F3C"/>
    <w:rsid w:val="004A61A1"/>
    <w:rsid w:val="004A7F94"/>
    <w:rsid w:val="004B17B8"/>
    <w:rsid w:val="004B1A00"/>
    <w:rsid w:val="004B78C4"/>
    <w:rsid w:val="004C0C1F"/>
    <w:rsid w:val="004C2457"/>
    <w:rsid w:val="004C26A4"/>
    <w:rsid w:val="004C42FF"/>
    <w:rsid w:val="004C545D"/>
    <w:rsid w:val="004C619E"/>
    <w:rsid w:val="004C7A1F"/>
    <w:rsid w:val="004D0A1B"/>
    <w:rsid w:val="004D154D"/>
    <w:rsid w:val="004D3164"/>
    <w:rsid w:val="004D3845"/>
    <w:rsid w:val="004D52B3"/>
    <w:rsid w:val="004D63F3"/>
    <w:rsid w:val="004F5D20"/>
    <w:rsid w:val="00500CF2"/>
    <w:rsid w:val="005013BC"/>
    <w:rsid w:val="00503D2B"/>
    <w:rsid w:val="00504465"/>
    <w:rsid w:val="00504EA8"/>
    <w:rsid w:val="005061D7"/>
    <w:rsid w:val="005066E7"/>
    <w:rsid w:val="00510B59"/>
    <w:rsid w:val="005110CB"/>
    <w:rsid w:val="00512ABE"/>
    <w:rsid w:val="005130BD"/>
    <w:rsid w:val="00517E7C"/>
    <w:rsid w:val="005206ED"/>
    <w:rsid w:val="00521067"/>
    <w:rsid w:val="00521FA0"/>
    <w:rsid w:val="005227D1"/>
    <w:rsid w:val="005252A5"/>
    <w:rsid w:val="00525D0E"/>
    <w:rsid w:val="00526CB5"/>
    <w:rsid w:val="00527652"/>
    <w:rsid w:val="005325C1"/>
    <w:rsid w:val="00535126"/>
    <w:rsid w:val="0053640B"/>
    <w:rsid w:val="005400A6"/>
    <w:rsid w:val="005400DD"/>
    <w:rsid w:val="005468BD"/>
    <w:rsid w:val="00547907"/>
    <w:rsid w:val="005524CA"/>
    <w:rsid w:val="0056061D"/>
    <w:rsid w:val="005616A3"/>
    <w:rsid w:val="00561829"/>
    <w:rsid w:val="005618F0"/>
    <w:rsid w:val="00562804"/>
    <w:rsid w:val="005646F3"/>
    <w:rsid w:val="00567D65"/>
    <w:rsid w:val="0057095A"/>
    <w:rsid w:val="00574918"/>
    <w:rsid w:val="00574DF7"/>
    <w:rsid w:val="00576D0B"/>
    <w:rsid w:val="0058174F"/>
    <w:rsid w:val="005868B8"/>
    <w:rsid w:val="00587AC7"/>
    <w:rsid w:val="00592A4D"/>
    <w:rsid w:val="00593FD5"/>
    <w:rsid w:val="0059400E"/>
    <w:rsid w:val="005A0C76"/>
    <w:rsid w:val="005A1FF9"/>
    <w:rsid w:val="005A4E8D"/>
    <w:rsid w:val="005A6719"/>
    <w:rsid w:val="005B0239"/>
    <w:rsid w:val="005B1818"/>
    <w:rsid w:val="005B1EAA"/>
    <w:rsid w:val="005B30AE"/>
    <w:rsid w:val="005B4F30"/>
    <w:rsid w:val="005B5081"/>
    <w:rsid w:val="005C2074"/>
    <w:rsid w:val="005C24DF"/>
    <w:rsid w:val="005C3808"/>
    <w:rsid w:val="005C4CB5"/>
    <w:rsid w:val="005D0052"/>
    <w:rsid w:val="005D142E"/>
    <w:rsid w:val="005D3D2E"/>
    <w:rsid w:val="005D6A77"/>
    <w:rsid w:val="005D6C95"/>
    <w:rsid w:val="005E0030"/>
    <w:rsid w:val="005E0A5E"/>
    <w:rsid w:val="005E0C69"/>
    <w:rsid w:val="005E3736"/>
    <w:rsid w:val="005E3E69"/>
    <w:rsid w:val="005E4201"/>
    <w:rsid w:val="005E48A5"/>
    <w:rsid w:val="005E48C7"/>
    <w:rsid w:val="005E7EF9"/>
    <w:rsid w:val="005F0690"/>
    <w:rsid w:val="005F32CE"/>
    <w:rsid w:val="00600636"/>
    <w:rsid w:val="00601E4A"/>
    <w:rsid w:val="00604767"/>
    <w:rsid w:val="00611EB8"/>
    <w:rsid w:val="00615D7C"/>
    <w:rsid w:val="00615F56"/>
    <w:rsid w:val="00616806"/>
    <w:rsid w:val="00617CEA"/>
    <w:rsid w:val="006209B7"/>
    <w:rsid w:val="006307EF"/>
    <w:rsid w:val="00631400"/>
    <w:rsid w:val="006353B8"/>
    <w:rsid w:val="00635486"/>
    <w:rsid w:val="00640633"/>
    <w:rsid w:val="00640A7B"/>
    <w:rsid w:val="006558B1"/>
    <w:rsid w:val="00655DE2"/>
    <w:rsid w:val="00655FE0"/>
    <w:rsid w:val="00657E10"/>
    <w:rsid w:val="006617A9"/>
    <w:rsid w:val="00662299"/>
    <w:rsid w:val="00662600"/>
    <w:rsid w:val="0066270D"/>
    <w:rsid w:val="00664139"/>
    <w:rsid w:val="006659AB"/>
    <w:rsid w:val="006669C4"/>
    <w:rsid w:val="0066781E"/>
    <w:rsid w:val="0067041E"/>
    <w:rsid w:val="00670FCE"/>
    <w:rsid w:val="006712E9"/>
    <w:rsid w:val="00676DF6"/>
    <w:rsid w:val="00677CA8"/>
    <w:rsid w:val="00681B20"/>
    <w:rsid w:val="00682E49"/>
    <w:rsid w:val="00683F3E"/>
    <w:rsid w:val="0068420B"/>
    <w:rsid w:val="006847DC"/>
    <w:rsid w:val="00687527"/>
    <w:rsid w:val="0069419F"/>
    <w:rsid w:val="006943A3"/>
    <w:rsid w:val="00696A1C"/>
    <w:rsid w:val="00696DC4"/>
    <w:rsid w:val="00697514"/>
    <w:rsid w:val="006A102D"/>
    <w:rsid w:val="006A1388"/>
    <w:rsid w:val="006A277F"/>
    <w:rsid w:val="006A2E53"/>
    <w:rsid w:val="006A747D"/>
    <w:rsid w:val="006A7AA8"/>
    <w:rsid w:val="006B2D10"/>
    <w:rsid w:val="006B321F"/>
    <w:rsid w:val="006B584E"/>
    <w:rsid w:val="006B7D97"/>
    <w:rsid w:val="006C2CBC"/>
    <w:rsid w:val="006C5A6C"/>
    <w:rsid w:val="006C6D73"/>
    <w:rsid w:val="006C788E"/>
    <w:rsid w:val="006D219E"/>
    <w:rsid w:val="006D494B"/>
    <w:rsid w:val="006D7BA9"/>
    <w:rsid w:val="006E0D41"/>
    <w:rsid w:val="006E166C"/>
    <w:rsid w:val="006E2A7A"/>
    <w:rsid w:val="006E325E"/>
    <w:rsid w:val="006E76BC"/>
    <w:rsid w:val="006F05C5"/>
    <w:rsid w:val="006F1CC2"/>
    <w:rsid w:val="006F316C"/>
    <w:rsid w:val="006F4036"/>
    <w:rsid w:val="006F4565"/>
    <w:rsid w:val="006F6577"/>
    <w:rsid w:val="006F68D8"/>
    <w:rsid w:val="0070331B"/>
    <w:rsid w:val="00705B48"/>
    <w:rsid w:val="00706050"/>
    <w:rsid w:val="0071026A"/>
    <w:rsid w:val="00712413"/>
    <w:rsid w:val="007127A9"/>
    <w:rsid w:val="00722C0C"/>
    <w:rsid w:val="007231B0"/>
    <w:rsid w:val="0073399B"/>
    <w:rsid w:val="00733E4E"/>
    <w:rsid w:val="00734CFA"/>
    <w:rsid w:val="0073702C"/>
    <w:rsid w:val="00737C86"/>
    <w:rsid w:val="00740461"/>
    <w:rsid w:val="0074519A"/>
    <w:rsid w:val="0074523B"/>
    <w:rsid w:val="00747B4F"/>
    <w:rsid w:val="0075158E"/>
    <w:rsid w:val="00752CA3"/>
    <w:rsid w:val="00754A42"/>
    <w:rsid w:val="00754E15"/>
    <w:rsid w:val="00755E82"/>
    <w:rsid w:val="00767DC6"/>
    <w:rsid w:val="00770333"/>
    <w:rsid w:val="007706F3"/>
    <w:rsid w:val="007746F8"/>
    <w:rsid w:val="00775693"/>
    <w:rsid w:val="00776D0C"/>
    <w:rsid w:val="00777C6A"/>
    <w:rsid w:val="00785328"/>
    <w:rsid w:val="007858B1"/>
    <w:rsid w:val="00785D5A"/>
    <w:rsid w:val="00787EA3"/>
    <w:rsid w:val="00790CB7"/>
    <w:rsid w:val="00791AD6"/>
    <w:rsid w:val="0079229E"/>
    <w:rsid w:val="007926BA"/>
    <w:rsid w:val="0079282B"/>
    <w:rsid w:val="00793E55"/>
    <w:rsid w:val="00794348"/>
    <w:rsid w:val="00795E6C"/>
    <w:rsid w:val="007974AE"/>
    <w:rsid w:val="007A0910"/>
    <w:rsid w:val="007A0966"/>
    <w:rsid w:val="007A3633"/>
    <w:rsid w:val="007A7B63"/>
    <w:rsid w:val="007B04CD"/>
    <w:rsid w:val="007B1590"/>
    <w:rsid w:val="007B2114"/>
    <w:rsid w:val="007B3007"/>
    <w:rsid w:val="007B3C58"/>
    <w:rsid w:val="007B66E6"/>
    <w:rsid w:val="007C127B"/>
    <w:rsid w:val="007C14CA"/>
    <w:rsid w:val="007C4CD7"/>
    <w:rsid w:val="007C4D7E"/>
    <w:rsid w:val="007C5A22"/>
    <w:rsid w:val="007C77EB"/>
    <w:rsid w:val="007C7AA5"/>
    <w:rsid w:val="007D1E1A"/>
    <w:rsid w:val="007D4D6C"/>
    <w:rsid w:val="007D718A"/>
    <w:rsid w:val="007E2CB8"/>
    <w:rsid w:val="007E5F85"/>
    <w:rsid w:val="007F2D2B"/>
    <w:rsid w:val="007F4D46"/>
    <w:rsid w:val="007F6BB6"/>
    <w:rsid w:val="007F7420"/>
    <w:rsid w:val="007F7937"/>
    <w:rsid w:val="0080622D"/>
    <w:rsid w:val="0081088F"/>
    <w:rsid w:val="00813A98"/>
    <w:rsid w:val="00813F55"/>
    <w:rsid w:val="0081519E"/>
    <w:rsid w:val="00815B99"/>
    <w:rsid w:val="00816010"/>
    <w:rsid w:val="00816FD9"/>
    <w:rsid w:val="00817564"/>
    <w:rsid w:val="00833ED2"/>
    <w:rsid w:val="008343B2"/>
    <w:rsid w:val="00835776"/>
    <w:rsid w:val="008363DD"/>
    <w:rsid w:val="00837A84"/>
    <w:rsid w:val="008414BA"/>
    <w:rsid w:val="00841D4F"/>
    <w:rsid w:val="00845543"/>
    <w:rsid w:val="00847249"/>
    <w:rsid w:val="008474CF"/>
    <w:rsid w:val="00850749"/>
    <w:rsid w:val="00850A21"/>
    <w:rsid w:val="00850DF0"/>
    <w:rsid w:val="0085549E"/>
    <w:rsid w:val="00855CD1"/>
    <w:rsid w:val="00862541"/>
    <w:rsid w:val="00864E4E"/>
    <w:rsid w:val="00873A95"/>
    <w:rsid w:val="0087423B"/>
    <w:rsid w:val="008761F6"/>
    <w:rsid w:val="0087733C"/>
    <w:rsid w:val="0088041D"/>
    <w:rsid w:val="00880F91"/>
    <w:rsid w:val="00881BD5"/>
    <w:rsid w:val="00885281"/>
    <w:rsid w:val="00887336"/>
    <w:rsid w:val="0089052C"/>
    <w:rsid w:val="008921FB"/>
    <w:rsid w:val="008933C4"/>
    <w:rsid w:val="00893E83"/>
    <w:rsid w:val="008960F6"/>
    <w:rsid w:val="00896D43"/>
    <w:rsid w:val="00897932"/>
    <w:rsid w:val="008A102F"/>
    <w:rsid w:val="008A516B"/>
    <w:rsid w:val="008A516F"/>
    <w:rsid w:val="008B25A7"/>
    <w:rsid w:val="008B4CD3"/>
    <w:rsid w:val="008C4DAE"/>
    <w:rsid w:val="008C53D4"/>
    <w:rsid w:val="008C62B4"/>
    <w:rsid w:val="008C7B3C"/>
    <w:rsid w:val="008D19E3"/>
    <w:rsid w:val="008D35B5"/>
    <w:rsid w:val="008D3C6C"/>
    <w:rsid w:val="008D455E"/>
    <w:rsid w:val="008D63AB"/>
    <w:rsid w:val="008D709B"/>
    <w:rsid w:val="008D787A"/>
    <w:rsid w:val="008D78F2"/>
    <w:rsid w:val="008E462D"/>
    <w:rsid w:val="008E479A"/>
    <w:rsid w:val="008F0BA0"/>
    <w:rsid w:val="008F3C6F"/>
    <w:rsid w:val="008F69B7"/>
    <w:rsid w:val="00900C13"/>
    <w:rsid w:val="009044AA"/>
    <w:rsid w:val="00904D70"/>
    <w:rsid w:val="0091035C"/>
    <w:rsid w:val="0091047E"/>
    <w:rsid w:val="00910895"/>
    <w:rsid w:val="0091324C"/>
    <w:rsid w:val="00913BA8"/>
    <w:rsid w:val="00920A8A"/>
    <w:rsid w:val="00920D2D"/>
    <w:rsid w:val="009245AB"/>
    <w:rsid w:val="00924912"/>
    <w:rsid w:val="00924967"/>
    <w:rsid w:val="00926659"/>
    <w:rsid w:val="00930D8A"/>
    <w:rsid w:val="00940040"/>
    <w:rsid w:val="00940DFA"/>
    <w:rsid w:val="00941EF8"/>
    <w:rsid w:val="00942472"/>
    <w:rsid w:val="009424F7"/>
    <w:rsid w:val="0094338A"/>
    <w:rsid w:val="00946DA1"/>
    <w:rsid w:val="009506C8"/>
    <w:rsid w:val="009558C7"/>
    <w:rsid w:val="0095600F"/>
    <w:rsid w:val="009617B0"/>
    <w:rsid w:val="00962C1B"/>
    <w:rsid w:val="00965EFF"/>
    <w:rsid w:val="00967F03"/>
    <w:rsid w:val="009725B9"/>
    <w:rsid w:val="00972829"/>
    <w:rsid w:val="00973570"/>
    <w:rsid w:val="009754DC"/>
    <w:rsid w:val="00975B18"/>
    <w:rsid w:val="00976009"/>
    <w:rsid w:val="00981AF3"/>
    <w:rsid w:val="00983333"/>
    <w:rsid w:val="00983BBD"/>
    <w:rsid w:val="00985734"/>
    <w:rsid w:val="0098706F"/>
    <w:rsid w:val="00987FA0"/>
    <w:rsid w:val="00991A63"/>
    <w:rsid w:val="00993E24"/>
    <w:rsid w:val="009947C6"/>
    <w:rsid w:val="00994A02"/>
    <w:rsid w:val="009951C5"/>
    <w:rsid w:val="00995ED8"/>
    <w:rsid w:val="009A046E"/>
    <w:rsid w:val="009A2AD5"/>
    <w:rsid w:val="009A4C7F"/>
    <w:rsid w:val="009A62EE"/>
    <w:rsid w:val="009A63C5"/>
    <w:rsid w:val="009A704A"/>
    <w:rsid w:val="009B4038"/>
    <w:rsid w:val="009B53D5"/>
    <w:rsid w:val="009B7953"/>
    <w:rsid w:val="009C0709"/>
    <w:rsid w:val="009C10A6"/>
    <w:rsid w:val="009C20CB"/>
    <w:rsid w:val="009C257F"/>
    <w:rsid w:val="009C40B1"/>
    <w:rsid w:val="009C4949"/>
    <w:rsid w:val="009C4DBA"/>
    <w:rsid w:val="009C54B4"/>
    <w:rsid w:val="009C56C4"/>
    <w:rsid w:val="009C6244"/>
    <w:rsid w:val="009C79CF"/>
    <w:rsid w:val="009D06DD"/>
    <w:rsid w:val="009D0BDE"/>
    <w:rsid w:val="009D53D8"/>
    <w:rsid w:val="009E1022"/>
    <w:rsid w:val="009E514A"/>
    <w:rsid w:val="009E5929"/>
    <w:rsid w:val="009E686B"/>
    <w:rsid w:val="009F639C"/>
    <w:rsid w:val="009F73EC"/>
    <w:rsid w:val="009F7551"/>
    <w:rsid w:val="00A02A8A"/>
    <w:rsid w:val="00A048C9"/>
    <w:rsid w:val="00A063FB"/>
    <w:rsid w:val="00A13587"/>
    <w:rsid w:val="00A135F5"/>
    <w:rsid w:val="00A1588D"/>
    <w:rsid w:val="00A16620"/>
    <w:rsid w:val="00A16F4C"/>
    <w:rsid w:val="00A2087C"/>
    <w:rsid w:val="00A243F4"/>
    <w:rsid w:val="00A24BEA"/>
    <w:rsid w:val="00A26F1A"/>
    <w:rsid w:val="00A27963"/>
    <w:rsid w:val="00A30398"/>
    <w:rsid w:val="00A34150"/>
    <w:rsid w:val="00A375C0"/>
    <w:rsid w:val="00A421C5"/>
    <w:rsid w:val="00A42EF2"/>
    <w:rsid w:val="00A436FA"/>
    <w:rsid w:val="00A4505C"/>
    <w:rsid w:val="00A465E4"/>
    <w:rsid w:val="00A46CB6"/>
    <w:rsid w:val="00A56A8E"/>
    <w:rsid w:val="00A6120A"/>
    <w:rsid w:val="00A6244D"/>
    <w:rsid w:val="00A64126"/>
    <w:rsid w:val="00A64B33"/>
    <w:rsid w:val="00A656D5"/>
    <w:rsid w:val="00A7069B"/>
    <w:rsid w:val="00A70878"/>
    <w:rsid w:val="00A71990"/>
    <w:rsid w:val="00A734B9"/>
    <w:rsid w:val="00A73515"/>
    <w:rsid w:val="00A774B4"/>
    <w:rsid w:val="00A8290F"/>
    <w:rsid w:val="00A845FF"/>
    <w:rsid w:val="00A86068"/>
    <w:rsid w:val="00A91347"/>
    <w:rsid w:val="00A95FDC"/>
    <w:rsid w:val="00A96368"/>
    <w:rsid w:val="00AA1742"/>
    <w:rsid w:val="00AA23E3"/>
    <w:rsid w:val="00AA51F9"/>
    <w:rsid w:val="00AA6F1B"/>
    <w:rsid w:val="00AB023F"/>
    <w:rsid w:val="00AB1BAF"/>
    <w:rsid w:val="00AB34C5"/>
    <w:rsid w:val="00AB4415"/>
    <w:rsid w:val="00AB7B25"/>
    <w:rsid w:val="00AC569A"/>
    <w:rsid w:val="00AC7935"/>
    <w:rsid w:val="00AD02BE"/>
    <w:rsid w:val="00AD1024"/>
    <w:rsid w:val="00AD52B4"/>
    <w:rsid w:val="00AD6BF9"/>
    <w:rsid w:val="00AE0AF5"/>
    <w:rsid w:val="00AE0CD7"/>
    <w:rsid w:val="00AE4373"/>
    <w:rsid w:val="00AE4F06"/>
    <w:rsid w:val="00AF3165"/>
    <w:rsid w:val="00AF50AE"/>
    <w:rsid w:val="00AF5161"/>
    <w:rsid w:val="00AF6B8A"/>
    <w:rsid w:val="00B000CF"/>
    <w:rsid w:val="00B0054E"/>
    <w:rsid w:val="00B02D8F"/>
    <w:rsid w:val="00B02E14"/>
    <w:rsid w:val="00B03C36"/>
    <w:rsid w:val="00B04880"/>
    <w:rsid w:val="00B051CC"/>
    <w:rsid w:val="00B0675E"/>
    <w:rsid w:val="00B06E1A"/>
    <w:rsid w:val="00B079F4"/>
    <w:rsid w:val="00B11C3D"/>
    <w:rsid w:val="00B20B20"/>
    <w:rsid w:val="00B22EAF"/>
    <w:rsid w:val="00B25F7B"/>
    <w:rsid w:val="00B26783"/>
    <w:rsid w:val="00B26FBD"/>
    <w:rsid w:val="00B27CC4"/>
    <w:rsid w:val="00B3218B"/>
    <w:rsid w:val="00B33A4C"/>
    <w:rsid w:val="00B344C4"/>
    <w:rsid w:val="00B34F53"/>
    <w:rsid w:val="00B37BF5"/>
    <w:rsid w:val="00B4082F"/>
    <w:rsid w:val="00B422B8"/>
    <w:rsid w:val="00B42505"/>
    <w:rsid w:val="00B43A3B"/>
    <w:rsid w:val="00B46D08"/>
    <w:rsid w:val="00B51E7F"/>
    <w:rsid w:val="00B532B3"/>
    <w:rsid w:val="00B56858"/>
    <w:rsid w:val="00B603C3"/>
    <w:rsid w:val="00B6204E"/>
    <w:rsid w:val="00B623E7"/>
    <w:rsid w:val="00B657FD"/>
    <w:rsid w:val="00B67C03"/>
    <w:rsid w:val="00B708B6"/>
    <w:rsid w:val="00B738CC"/>
    <w:rsid w:val="00B73F32"/>
    <w:rsid w:val="00B773C2"/>
    <w:rsid w:val="00B80F60"/>
    <w:rsid w:val="00B81875"/>
    <w:rsid w:val="00B83DA5"/>
    <w:rsid w:val="00B85372"/>
    <w:rsid w:val="00B87EA0"/>
    <w:rsid w:val="00B96517"/>
    <w:rsid w:val="00BA02EB"/>
    <w:rsid w:val="00BA484F"/>
    <w:rsid w:val="00BA4FF6"/>
    <w:rsid w:val="00BA6D6A"/>
    <w:rsid w:val="00BB0070"/>
    <w:rsid w:val="00BB2738"/>
    <w:rsid w:val="00BB36D8"/>
    <w:rsid w:val="00BB6FC7"/>
    <w:rsid w:val="00BB71D1"/>
    <w:rsid w:val="00BC4EDC"/>
    <w:rsid w:val="00BD25A4"/>
    <w:rsid w:val="00BD379F"/>
    <w:rsid w:val="00BD3DB5"/>
    <w:rsid w:val="00BD41DC"/>
    <w:rsid w:val="00BD56B1"/>
    <w:rsid w:val="00BD7868"/>
    <w:rsid w:val="00BE05FA"/>
    <w:rsid w:val="00BE0704"/>
    <w:rsid w:val="00BE1093"/>
    <w:rsid w:val="00BE17CD"/>
    <w:rsid w:val="00BF1E1A"/>
    <w:rsid w:val="00BF3054"/>
    <w:rsid w:val="00BF318A"/>
    <w:rsid w:val="00C05A54"/>
    <w:rsid w:val="00C10424"/>
    <w:rsid w:val="00C1077B"/>
    <w:rsid w:val="00C11DB2"/>
    <w:rsid w:val="00C16239"/>
    <w:rsid w:val="00C20149"/>
    <w:rsid w:val="00C23B6E"/>
    <w:rsid w:val="00C24113"/>
    <w:rsid w:val="00C318DB"/>
    <w:rsid w:val="00C31C28"/>
    <w:rsid w:val="00C33CE0"/>
    <w:rsid w:val="00C35058"/>
    <w:rsid w:val="00C35800"/>
    <w:rsid w:val="00C36671"/>
    <w:rsid w:val="00C367B2"/>
    <w:rsid w:val="00C36DAE"/>
    <w:rsid w:val="00C41257"/>
    <w:rsid w:val="00C42278"/>
    <w:rsid w:val="00C44662"/>
    <w:rsid w:val="00C44E9E"/>
    <w:rsid w:val="00C44F38"/>
    <w:rsid w:val="00C4576E"/>
    <w:rsid w:val="00C46AFC"/>
    <w:rsid w:val="00C5241B"/>
    <w:rsid w:val="00C527E0"/>
    <w:rsid w:val="00C536FB"/>
    <w:rsid w:val="00C5751F"/>
    <w:rsid w:val="00C64788"/>
    <w:rsid w:val="00C65ECC"/>
    <w:rsid w:val="00C67C6F"/>
    <w:rsid w:val="00C67F79"/>
    <w:rsid w:val="00C70B1B"/>
    <w:rsid w:val="00C72484"/>
    <w:rsid w:val="00C762A8"/>
    <w:rsid w:val="00C817D5"/>
    <w:rsid w:val="00C82DCC"/>
    <w:rsid w:val="00C82E18"/>
    <w:rsid w:val="00C84C2D"/>
    <w:rsid w:val="00C86183"/>
    <w:rsid w:val="00C8626B"/>
    <w:rsid w:val="00C915B7"/>
    <w:rsid w:val="00C92637"/>
    <w:rsid w:val="00C92A83"/>
    <w:rsid w:val="00C92BD8"/>
    <w:rsid w:val="00C92F70"/>
    <w:rsid w:val="00C948FB"/>
    <w:rsid w:val="00C9648A"/>
    <w:rsid w:val="00CA06D9"/>
    <w:rsid w:val="00CA1492"/>
    <w:rsid w:val="00CA3E5C"/>
    <w:rsid w:val="00CA4152"/>
    <w:rsid w:val="00CA5AC1"/>
    <w:rsid w:val="00CB021A"/>
    <w:rsid w:val="00CB1F6F"/>
    <w:rsid w:val="00CB2B81"/>
    <w:rsid w:val="00CB3538"/>
    <w:rsid w:val="00CB44DB"/>
    <w:rsid w:val="00CB5E71"/>
    <w:rsid w:val="00CB60D8"/>
    <w:rsid w:val="00CB66AE"/>
    <w:rsid w:val="00CB74CC"/>
    <w:rsid w:val="00CC1CCF"/>
    <w:rsid w:val="00CC21B5"/>
    <w:rsid w:val="00CC21D8"/>
    <w:rsid w:val="00CC29A1"/>
    <w:rsid w:val="00CC77E9"/>
    <w:rsid w:val="00CC7DBC"/>
    <w:rsid w:val="00CD090F"/>
    <w:rsid w:val="00CD39B1"/>
    <w:rsid w:val="00CD4026"/>
    <w:rsid w:val="00CD41A0"/>
    <w:rsid w:val="00CD5663"/>
    <w:rsid w:val="00CD5751"/>
    <w:rsid w:val="00CD5F79"/>
    <w:rsid w:val="00CE2E0C"/>
    <w:rsid w:val="00CE444A"/>
    <w:rsid w:val="00CE4FBE"/>
    <w:rsid w:val="00CE57F0"/>
    <w:rsid w:val="00CE5F4A"/>
    <w:rsid w:val="00CE6A2C"/>
    <w:rsid w:val="00CF16F8"/>
    <w:rsid w:val="00CF1C23"/>
    <w:rsid w:val="00CF4014"/>
    <w:rsid w:val="00D0101D"/>
    <w:rsid w:val="00D01B19"/>
    <w:rsid w:val="00D01D8D"/>
    <w:rsid w:val="00D042B6"/>
    <w:rsid w:val="00D05FBD"/>
    <w:rsid w:val="00D11294"/>
    <w:rsid w:val="00D128B5"/>
    <w:rsid w:val="00D12A54"/>
    <w:rsid w:val="00D12DCF"/>
    <w:rsid w:val="00D17F3D"/>
    <w:rsid w:val="00D17FC0"/>
    <w:rsid w:val="00D204AF"/>
    <w:rsid w:val="00D240EF"/>
    <w:rsid w:val="00D244C2"/>
    <w:rsid w:val="00D308FA"/>
    <w:rsid w:val="00D31975"/>
    <w:rsid w:val="00D32303"/>
    <w:rsid w:val="00D34F65"/>
    <w:rsid w:val="00D368BB"/>
    <w:rsid w:val="00D41510"/>
    <w:rsid w:val="00D41BFE"/>
    <w:rsid w:val="00D41DF6"/>
    <w:rsid w:val="00D46CA2"/>
    <w:rsid w:val="00D50C3B"/>
    <w:rsid w:val="00D521A4"/>
    <w:rsid w:val="00D538EF"/>
    <w:rsid w:val="00D56703"/>
    <w:rsid w:val="00D56FEA"/>
    <w:rsid w:val="00D60C68"/>
    <w:rsid w:val="00D62A25"/>
    <w:rsid w:val="00D66032"/>
    <w:rsid w:val="00D679CA"/>
    <w:rsid w:val="00D745C4"/>
    <w:rsid w:val="00D74A7D"/>
    <w:rsid w:val="00D74BC6"/>
    <w:rsid w:val="00D764DA"/>
    <w:rsid w:val="00D76F4E"/>
    <w:rsid w:val="00D81E1E"/>
    <w:rsid w:val="00D83FE1"/>
    <w:rsid w:val="00D87757"/>
    <w:rsid w:val="00D90112"/>
    <w:rsid w:val="00D90E73"/>
    <w:rsid w:val="00D91BF3"/>
    <w:rsid w:val="00D93249"/>
    <w:rsid w:val="00D9565A"/>
    <w:rsid w:val="00D95E44"/>
    <w:rsid w:val="00D96028"/>
    <w:rsid w:val="00D96290"/>
    <w:rsid w:val="00DA375B"/>
    <w:rsid w:val="00DA5D5B"/>
    <w:rsid w:val="00DA746F"/>
    <w:rsid w:val="00DB3DB8"/>
    <w:rsid w:val="00DB6BD9"/>
    <w:rsid w:val="00DB75B6"/>
    <w:rsid w:val="00DC01A8"/>
    <w:rsid w:val="00DC0381"/>
    <w:rsid w:val="00DC60FC"/>
    <w:rsid w:val="00DD23E2"/>
    <w:rsid w:val="00DD6920"/>
    <w:rsid w:val="00DD6B1C"/>
    <w:rsid w:val="00DE7172"/>
    <w:rsid w:val="00DE74DF"/>
    <w:rsid w:val="00DF3018"/>
    <w:rsid w:val="00DF4CB2"/>
    <w:rsid w:val="00DF4DB5"/>
    <w:rsid w:val="00DF58DD"/>
    <w:rsid w:val="00DF6ED2"/>
    <w:rsid w:val="00DF701D"/>
    <w:rsid w:val="00E01A8B"/>
    <w:rsid w:val="00E04756"/>
    <w:rsid w:val="00E05531"/>
    <w:rsid w:val="00E063F4"/>
    <w:rsid w:val="00E07871"/>
    <w:rsid w:val="00E1265F"/>
    <w:rsid w:val="00E13C9C"/>
    <w:rsid w:val="00E14D0F"/>
    <w:rsid w:val="00E15BF6"/>
    <w:rsid w:val="00E15C0E"/>
    <w:rsid w:val="00E206F3"/>
    <w:rsid w:val="00E21984"/>
    <w:rsid w:val="00E22601"/>
    <w:rsid w:val="00E2292D"/>
    <w:rsid w:val="00E2480E"/>
    <w:rsid w:val="00E25139"/>
    <w:rsid w:val="00E32BE7"/>
    <w:rsid w:val="00E338E3"/>
    <w:rsid w:val="00E4460C"/>
    <w:rsid w:val="00E45B0F"/>
    <w:rsid w:val="00E46BD3"/>
    <w:rsid w:val="00E503D5"/>
    <w:rsid w:val="00E52112"/>
    <w:rsid w:val="00E5398A"/>
    <w:rsid w:val="00E60B9B"/>
    <w:rsid w:val="00E60E46"/>
    <w:rsid w:val="00E60FE6"/>
    <w:rsid w:val="00E61756"/>
    <w:rsid w:val="00E655CF"/>
    <w:rsid w:val="00E677E6"/>
    <w:rsid w:val="00E70009"/>
    <w:rsid w:val="00E71451"/>
    <w:rsid w:val="00E71465"/>
    <w:rsid w:val="00E73132"/>
    <w:rsid w:val="00E74702"/>
    <w:rsid w:val="00E752BB"/>
    <w:rsid w:val="00E75B89"/>
    <w:rsid w:val="00E768C5"/>
    <w:rsid w:val="00E82325"/>
    <w:rsid w:val="00E82B07"/>
    <w:rsid w:val="00E8795F"/>
    <w:rsid w:val="00E91DFE"/>
    <w:rsid w:val="00E921B5"/>
    <w:rsid w:val="00E96758"/>
    <w:rsid w:val="00E9699B"/>
    <w:rsid w:val="00EA0459"/>
    <w:rsid w:val="00EA0BE2"/>
    <w:rsid w:val="00EA2CD3"/>
    <w:rsid w:val="00EA3C96"/>
    <w:rsid w:val="00EA5F01"/>
    <w:rsid w:val="00EA7307"/>
    <w:rsid w:val="00EB0C20"/>
    <w:rsid w:val="00EB0E45"/>
    <w:rsid w:val="00EB2617"/>
    <w:rsid w:val="00EB2B09"/>
    <w:rsid w:val="00EB3A6E"/>
    <w:rsid w:val="00EB5019"/>
    <w:rsid w:val="00EB5569"/>
    <w:rsid w:val="00EB5F6C"/>
    <w:rsid w:val="00EB6101"/>
    <w:rsid w:val="00EB6136"/>
    <w:rsid w:val="00EB67A3"/>
    <w:rsid w:val="00ED2A5D"/>
    <w:rsid w:val="00ED36C0"/>
    <w:rsid w:val="00ED4A1E"/>
    <w:rsid w:val="00ED5479"/>
    <w:rsid w:val="00ED5920"/>
    <w:rsid w:val="00EE578E"/>
    <w:rsid w:val="00EF04E1"/>
    <w:rsid w:val="00EF0967"/>
    <w:rsid w:val="00EF2442"/>
    <w:rsid w:val="00EF31B3"/>
    <w:rsid w:val="00EF33F6"/>
    <w:rsid w:val="00EF4BAA"/>
    <w:rsid w:val="00EF5EA4"/>
    <w:rsid w:val="00F00A6B"/>
    <w:rsid w:val="00F00D35"/>
    <w:rsid w:val="00F01C22"/>
    <w:rsid w:val="00F04E78"/>
    <w:rsid w:val="00F072B7"/>
    <w:rsid w:val="00F07384"/>
    <w:rsid w:val="00F074E8"/>
    <w:rsid w:val="00F1251C"/>
    <w:rsid w:val="00F1351E"/>
    <w:rsid w:val="00F13A23"/>
    <w:rsid w:val="00F15F1A"/>
    <w:rsid w:val="00F22574"/>
    <w:rsid w:val="00F235A5"/>
    <w:rsid w:val="00F25A35"/>
    <w:rsid w:val="00F30D26"/>
    <w:rsid w:val="00F3115A"/>
    <w:rsid w:val="00F32392"/>
    <w:rsid w:val="00F34143"/>
    <w:rsid w:val="00F36ED7"/>
    <w:rsid w:val="00F40275"/>
    <w:rsid w:val="00F41724"/>
    <w:rsid w:val="00F42660"/>
    <w:rsid w:val="00F45036"/>
    <w:rsid w:val="00F46265"/>
    <w:rsid w:val="00F47510"/>
    <w:rsid w:val="00F500E5"/>
    <w:rsid w:val="00F5120E"/>
    <w:rsid w:val="00F57A8E"/>
    <w:rsid w:val="00F6248E"/>
    <w:rsid w:val="00F62E48"/>
    <w:rsid w:val="00F6545E"/>
    <w:rsid w:val="00F66473"/>
    <w:rsid w:val="00F674E7"/>
    <w:rsid w:val="00F70CC1"/>
    <w:rsid w:val="00F7252E"/>
    <w:rsid w:val="00F7263E"/>
    <w:rsid w:val="00F82989"/>
    <w:rsid w:val="00F83D8D"/>
    <w:rsid w:val="00F853D4"/>
    <w:rsid w:val="00F92796"/>
    <w:rsid w:val="00F95452"/>
    <w:rsid w:val="00F957FA"/>
    <w:rsid w:val="00FA246A"/>
    <w:rsid w:val="00FA33A0"/>
    <w:rsid w:val="00FA33BF"/>
    <w:rsid w:val="00FA34FA"/>
    <w:rsid w:val="00FA3E94"/>
    <w:rsid w:val="00FA7E37"/>
    <w:rsid w:val="00FB1685"/>
    <w:rsid w:val="00FB1929"/>
    <w:rsid w:val="00FB48E3"/>
    <w:rsid w:val="00FC0DE3"/>
    <w:rsid w:val="00FC21A4"/>
    <w:rsid w:val="00FC45A6"/>
    <w:rsid w:val="00FC467A"/>
    <w:rsid w:val="00FC7022"/>
    <w:rsid w:val="00FD218E"/>
    <w:rsid w:val="00FD250A"/>
    <w:rsid w:val="00FD3007"/>
    <w:rsid w:val="00FD48E8"/>
    <w:rsid w:val="00FD5323"/>
    <w:rsid w:val="00FD64A5"/>
    <w:rsid w:val="00FD6AA5"/>
    <w:rsid w:val="00FE4A89"/>
    <w:rsid w:val="00FE4B75"/>
    <w:rsid w:val="00FE59F4"/>
    <w:rsid w:val="00FE5BC1"/>
    <w:rsid w:val="00FF1380"/>
    <w:rsid w:val="00FF3136"/>
    <w:rsid w:val="00FF44D1"/>
    <w:rsid w:val="00FF4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69364"/>
  <w15:docId w15:val="{25552474-0B38-42E2-A683-DBB51F7F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7C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6D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D49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C0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21237"/>
    <w:pPr>
      <w:ind w:left="720"/>
      <w:contextualSpacing/>
    </w:pPr>
  </w:style>
  <w:style w:type="character" w:customStyle="1" w:styleId="Heading2Char">
    <w:name w:val="Heading 2 Char"/>
    <w:basedOn w:val="DefaultParagraphFont"/>
    <w:link w:val="Heading2"/>
    <w:uiPriority w:val="9"/>
    <w:rsid w:val="00C36DAE"/>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C16C4"/>
    <w:rPr>
      <w:sz w:val="16"/>
      <w:szCs w:val="16"/>
    </w:rPr>
  </w:style>
  <w:style w:type="paragraph" w:styleId="CommentText">
    <w:name w:val="annotation text"/>
    <w:basedOn w:val="Normal"/>
    <w:link w:val="CommentTextChar"/>
    <w:uiPriority w:val="99"/>
    <w:unhideWhenUsed/>
    <w:rsid w:val="002C16C4"/>
    <w:pPr>
      <w:spacing w:line="240" w:lineRule="auto"/>
    </w:pPr>
    <w:rPr>
      <w:sz w:val="20"/>
      <w:szCs w:val="20"/>
    </w:rPr>
  </w:style>
  <w:style w:type="character" w:customStyle="1" w:styleId="CommentTextChar">
    <w:name w:val="Comment Text Char"/>
    <w:basedOn w:val="DefaultParagraphFont"/>
    <w:link w:val="CommentText"/>
    <w:uiPriority w:val="99"/>
    <w:rsid w:val="002C16C4"/>
    <w:rPr>
      <w:sz w:val="20"/>
      <w:szCs w:val="20"/>
    </w:rPr>
  </w:style>
  <w:style w:type="paragraph" w:styleId="BalloonText">
    <w:name w:val="Balloon Text"/>
    <w:basedOn w:val="Normal"/>
    <w:link w:val="BalloonTextChar"/>
    <w:uiPriority w:val="99"/>
    <w:semiHidden/>
    <w:unhideWhenUsed/>
    <w:rsid w:val="002C1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6C4"/>
    <w:rPr>
      <w:rFonts w:ascii="Segoe UI" w:hAnsi="Segoe UI" w:cs="Segoe UI"/>
      <w:sz w:val="18"/>
      <w:szCs w:val="18"/>
    </w:rPr>
  </w:style>
  <w:style w:type="character" w:styleId="Hyperlink">
    <w:name w:val="Hyperlink"/>
    <w:basedOn w:val="DefaultParagraphFont"/>
    <w:uiPriority w:val="99"/>
    <w:unhideWhenUsed/>
    <w:rsid w:val="00385E32"/>
    <w:rPr>
      <w:color w:val="0563C1" w:themeColor="hyperlink"/>
      <w:u w:val="single"/>
    </w:rPr>
  </w:style>
  <w:style w:type="character" w:styleId="FollowedHyperlink">
    <w:name w:val="FollowedHyperlink"/>
    <w:basedOn w:val="DefaultParagraphFont"/>
    <w:uiPriority w:val="99"/>
    <w:semiHidden/>
    <w:unhideWhenUsed/>
    <w:rsid w:val="00EF5EA4"/>
    <w:rPr>
      <w:color w:val="954F72" w:themeColor="followedHyperlink"/>
      <w:u w:val="single"/>
    </w:rPr>
  </w:style>
  <w:style w:type="character" w:styleId="PlaceholderText">
    <w:name w:val="Placeholder Text"/>
    <w:basedOn w:val="DefaultParagraphFont"/>
    <w:uiPriority w:val="99"/>
    <w:semiHidden/>
    <w:rsid w:val="00A64B33"/>
    <w:rPr>
      <w:color w:val="808080"/>
    </w:rPr>
  </w:style>
  <w:style w:type="paragraph" w:styleId="CommentSubject">
    <w:name w:val="annotation subject"/>
    <w:basedOn w:val="CommentText"/>
    <w:next w:val="CommentText"/>
    <w:link w:val="CommentSubjectChar"/>
    <w:uiPriority w:val="99"/>
    <w:semiHidden/>
    <w:unhideWhenUsed/>
    <w:rsid w:val="006C5A6C"/>
    <w:rPr>
      <w:b/>
      <w:bCs/>
    </w:rPr>
  </w:style>
  <w:style w:type="character" w:customStyle="1" w:styleId="CommentSubjectChar">
    <w:name w:val="Comment Subject Char"/>
    <w:basedOn w:val="CommentTextChar"/>
    <w:link w:val="CommentSubject"/>
    <w:uiPriority w:val="99"/>
    <w:semiHidden/>
    <w:rsid w:val="006C5A6C"/>
    <w:rPr>
      <w:b/>
      <w:bCs/>
      <w:sz w:val="20"/>
      <w:szCs w:val="20"/>
    </w:rPr>
  </w:style>
  <w:style w:type="paragraph" w:styleId="NoSpacing">
    <w:name w:val="No Spacing"/>
    <w:uiPriority w:val="1"/>
    <w:qFormat/>
    <w:rsid w:val="00512ABE"/>
    <w:pPr>
      <w:spacing w:after="0" w:line="240" w:lineRule="auto"/>
    </w:pPr>
  </w:style>
  <w:style w:type="paragraph" w:styleId="Revision">
    <w:name w:val="Revision"/>
    <w:hidden/>
    <w:uiPriority w:val="99"/>
    <w:semiHidden/>
    <w:rsid w:val="006A2E53"/>
    <w:pPr>
      <w:spacing w:after="0" w:line="240" w:lineRule="auto"/>
    </w:pPr>
  </w:style>
  <w:style w:type="paragraph" w:styleId="Header">
    <w:name w:val="header"/>
    <w:basedOn w:val="Normal"/>
    <w:link w:val="HeaderChar"/>
    <w:uiPriority w:val="99"/>
    <w:unhideWhenUsed/>
    <w:rsid w:val="00B37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F5"/>
  </w:style>
  <w:style w:type="paragraph" w:styleId="Footer">
    <w:name w:val="footer"/>
    <w:basedOn w:val="Normal"/>
    <w:link w:val="FooterChar"/>
    <w:uiPriority w:val="99"/>
    <w:unhideWhenUsed/>
    <w:rsid w:val="00B37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F5"/>
  </w:style>
  <w:style w:type="character" w:customStyle="1" w:styleId="Heading3Char">
    <w:name w:val="Heading 3 Char"/>
    <w:basedOn w:val="DefaultParagraphFont"/>
    <w:link w:val="Heading3"/>
    <w:uiPriority w:val="9"/>
    <w:rsid w:val="006D494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5116">
      <w:bodyDiv w:val="1"/>
      <w:marLeft w:val="0"/>
      <w:marRight w:val="0"/>
      <w:marTop w:val="0"/>
      <w:marBottom w:val="0"/>
      <w:divBdr>
        <w:top w:val="none" w:sz="0" w:space="0" w:color="auto"/>
        <w:left w:val="none" w:sz="0" w:space="0" w:color="auto"/>
        <w:bottom w:val="none" w:sz="0" w:space="0" w:color="auto"/>
        <w:right w:val="none" w:sz="0" w:space="0" w:color="auto"/>
      </w:divBdr>
      <w:divsChild>
        <w:div w:id="751777921">
          <w:marLeft w:val="0"/>
          <w:marRight w:val="0"/>
          <w:marTop w:val="120"/>
          <w:marBottom w:val="360"/>
          <w:divBdr>
            <w:top w:val="none" w:sz="0" w:space="0" w:color="auto"/>
            <w:left w:val="none" w:sz="0" w:space="0" w:color="auto"/>
            <w:bottom w:val="none" w:sz="0" w:space="0" w:color="auto"/>
            <w:right w:val="none" w:sz="0" w:space="0" w:color="auto"/>
          </w:divBdr>
          <w:divsChild>
            <w:div w:id="1984695722">
              <w:marLeft w:val="420"/>
              <w:marRight w:val="0"/>
              <w:marTop w:val="0"/>
              <w:marBottom w:val="0"/>
              <w:divBdr>
                <w:top w:val="none" w:sz="0" w:space="0" w:color="auto"/>
                <w:left w:val="none" w:sz="0" w:space="0" w:color="auto"/>
                <w:bottom w:val="none" w:sz="0" w:space="0" w:color="auto"/>
                <w:right w:val="none" w:sz="0" w:space="0" w:color="auto"/>
              </w:divBdr>
              <w:divsChild>
                <w:div w:id="692144747">
                  <w:marLeft w:val="0"/>
                  <w:marRight w:val="0"/>
                  <w:marTop w:val="0"/>
                  <w:marBottom w:val="0"/>
                  <w:divBdr>
                    <w:top w:val="none" w:sz="0" w:space="0" w:color="auto"/>
                    <w:left w:val="none" w:sz="0" w:space="0" w:color="auto"/>
                    <w:bottom w:val="none" w:sz="0" w:space="0" w:color="auto"/>
                    <w:right w:val="none" w:sz="0" w:space="0" w:color="auto"/>
                  </w:divBdr>
                </w:div>
                <w:div w:id="1127819221">
                  <w:marLeft w:val="0"/>
                  <w:marRight w:val="0"/>
                  <w:marTop w:val="34"/>
                  <w:marBottom w:val="34"/>
                  <w:divBdr>
                    <w:top w:val="none" w:sz="0" w:space="0" w:color="auto"/>
                    <w:left w:val="none" w:sz="0" w:space="0" w:color="auto"/>
                    <w:bottom w:val="none" w:sz="0" w:space="0" w:color="auto"/>
                    <w:right w:val="none" w:sz="0" w:space="0" w:color="auto"/>
                  </w:divBdr>
                  <w:divsChild>
                    <w:div w:id="126969606">
                      <w:marLeft w:val="0"/>
                      <w:marRight w:val="0"/>
                      <w:marTop w:val="0"/>
                      <w:marBottom w:val="0"/>
                      <w:divBdr>
                        <w:top w:val="none" w:sz="0" w:space="0" w:color="auto"/>
                        <w:left w:val="none" w:sz="0" w:space="0" w:color="auto"/>
                        <w:bottom w:val="none" w:sz="0" w:space="0" w:color="auto"/>
                        <w:right w:val="none" w:sz="0" w:space="0" w:color="auto"/>
                      </w:divBdr>
                    </w:div>
                    <w:div w:id="2015570989">
                      <w:marLeft w:val="0"/>
                      <w:marRight w:val="0"/>
                      <w:marTop w:val="0"/>
                      <w:marBottom w:val="0"/>
                      <w:divBdr>
                        <w:top w:val="none" w:sz="0" w:space="0" w:color="auto"/>
                        <w:left w:val="none" w:sz="0" w:space="0" w:color="auto"/>
                        <w:bottom w:val="none" w:sz="0" w:space="0" w:color="auto"/>
                        <w:right w:val="none" w:sz="0" w:space="0" w:color="auto"/>
                      </w:divBdr>
                    </w:div>
                  </w:divsChild>
                </w:div>
                <w:div w:id="729696482">
                  <w:marLeft w:val="0"/>
                  <w:marRight w:val="0"/>
                  <w:marTop w:val="0"/>
                  <w:marBottom w:val="0"/>
                  <w:divBdr>
                    <w:top w:val="none" w:sz="0" w:space="0" w:color="auto"/>
                    <w:left w:val="none" w:sz="0" w:space="0" w:color="auto"/>
                    <w:bottom w:val="none" w:sz="0" w:space="0" w:color="auto"/>
                    <w:right w:val="none" w:sz="0" w:space="0" w:color="auto"/>
                  </w:divBdr>
                  <w:divsChild>
                    <w:div w:id="656231107">
                      <w:marLeft w:val="0"/>
                      <w:marRight w:val="0"/>
                      <w:marTop w:val="0"/>
                      <w:marBottom w:val="0"/>
                      <w:divBdr>
                        <w:top w:val="none" w:sz="0" w:space="0" w:color="auto"/>
                        <w:left w:val="none" w:sz="0" w:space="0" w:color="auto"/>
                        <w:bottom w:val="none" w:sz="0" w:space="0" w:color="auto"/>
                        <w:right w:val="none" w:sz="0" w:space="0" w:color="auto"/>
                      </w:divBdr>
                    </w:div>
                  </w:divsChild>
                </w:div>
                <w:div w:id="170032256">
                  <w:marLeft w:val="0"/>
                  <w:marRight w:val="0"/>
                  <w:marTop w:val="0"/>
                  <w:marBottom w:val="0"/>
                  <w:divBdr>
                    <w:top w:val="none" w:sz="0" w:space="0" w:color="auto"/>
                    <w:left w:val="none" w:sz="0" w:space="0" w:color="auto"/>
                    <w:bottom w:val="none" w:sz="0" w:space="0" w:color="auto"/>
                    <w:right w:val="none" w:sz="0" w:space="0" w:color="auto"/>
                  </w:divBdr>
                  <w:divsChild>
                    <w:div w:id="3535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62806">
          <w:marLeft w:val="0"/>
          <w:marRight w:val="0"/>
          <w:marTop w:val="120"/>
          <w:marBottom w:val="360"/>
          <w:divBdr>
            <w:top w:val="none" w:sz="0" w:space="0" w:color="auto"/>
            <w:left w:val="none" w:sz="0" w:space="0" w:color="auto"/>
            <w:bottom w:val="none" w:sz="0" w:space="0" w:color="auto"/>
            <w:right w:val="none" w:sz="0" w:space="0" w:color="auto"/>
          </w:divBdr>
          <w:divsChild>
            <w:div w:id="1399596266">
              <w:marLeft w:val="0"/>
              <w:marRight w:val="0"/>
              <w:marTop w:val="0"/>
              <w:marBottom w:val="0"/>
              <w:divBdr>
                <w:top w:val="none" w:sz="0" w:space="0" w:color="auto"/>
                <w:left w:val="none" w:sz="0" w:space="0" w:color="auto"/>
                <w:bottom w:val="none" w:sz="0" w:space="0" w:color="auto"/>
                <w:right w:val="none" w:sz="0" w:space="0" w:color="auto"/>
              </w:divBdr>
            </w:div>
            <w:div w:id="2065248396">
              <w:marLeft w:val="420"/>
              <w:marRight w:val="0"/>
              <w:marTop w:val="0"/>
              <w:marBottom w:val="0"/>
              <w:divBdr>
                <w:top w:val="none" w:sz="0" w:space="0" w:color="auto"/>
                <w:left w:val="none" w:sz="0" w:space="0" w:color="auto"/>
                <w:bottom w:val="none" w:sz="0" w:space="0" w:color="auto"/>
                <w:right w:val="none" w:sz="0" w:space="0" w:color="auto"/>
              </w:divBdr>
              <w:divsChild>
                <w:div w:id="1079717336">
                  <w:marLeft w:val="0"/>
                  <w:marRight w:val="0"/>
                  <w:marTop w:val="0"/>
                  <w:marBottom w:val="0"/>
                  <w:divBdr>
                    <w:top w:val="none" w:sz="0" w:space="0" w:color="auto"/>
                    <w:left w:val="none" w:sz="0" w:space="0" w:color="auto"/>
                    <w:bottom w:val="none" w:sz="0" w:space="0" w:color="auto"/>
                    <w:right w:val="none" w:sz="0" w:space="0" w:color="auto"/>
                  </w:divBdr>
                </w:div>
                <w:div w:id="1707289336">
                  <w:marLeft w:val="0"/>
                  <w:marRight w:val="0"/>
                  <w:marTop w:val="34"/>
                  <w:marBottom w:val="34"/>
                  <w:divBdr>
                    <w:top w:val="none" w:sz="0" w:space="0" w:color="auto"/>
                    <w:left w:val="none" w:sz="0" w:space="0" w:color="auto"/>
                    <w:bottom w:val="none" w:sz="0" w:space="0" w:color="auto"/>
                    <w:right w:val="none" w:sz="0" w:space="0" w:color="auto"/>
                  </w:divBdr>
                  <w:divsChild>
                    <w:div w:id="1088187069">
                      <w:marLeft w:val="0"/>
                      <w:marRight w:val="0"/>
                      <w:marTop w:val="0"/>
                      <w:marBottom w:val="0"/>
                      <w:divBdr>
                        <w:top w:val="none" w:sz="0" w:space="0" w:color="auto"/>
                        <w:left w:val="none" w:sz="0" w:space="0" w:color="auto"/>
                        <w:bottom w:val="none" w:sz="0" w:space="0" w:color="auto"/>
                        <w:right w:val="none" w:sz="0" w:space="0" w:color="auto"/>
                      </w:divBdr>
                    </w:div>
                    <w:div w:id="976956432">
                      <w:marLeft w:val="0"/>
                      <w:marRight w:val="0"/>
                      <w:marTop w:val="0"/>
                      <w:marBottom w:val="0"/>
                      <w:divBdr>
                        <w:top w:val="none" w:sz="0" w:space="0" w:color="auto"/>
                        <w:left w:val="none" w:sz="0" w:space="0" w:color="auto"/>
                        <w:bottom w:val="none" w:sz="0" w:space="0" w:color="auto"/>
                        <w:right w:val="none" w:sz="0" w:space="0" w:color="auto"/>
                      </w:divBdr>
                      <w:divsChild>
                        <w:div w:id="2211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9634">
      <w:bodyDiv w:val="1"/>
      <w:marLeft w:val="0"/>
      <w:marRight w:val="0"/>
      <w:marTop w:val="0"/>
      <w:marBottom w:val="0"/>
      <w:divBdr>
        <w:top w:val="none" w:sz="0" w:space="0" w:color="auto"/>
        <w:left w:val="none" w:sz="0" w:space="0" w:color="auto"/>
        <w:bottom w:val="none" w:sz="0" w:space="0" w:color="auto"/>
        <w:right w:val="none" w:sz="0" w:space="0" w:color="auto"/>
      </w:divBdr>
    </w:div>
    <w:div w:id="179899878">
      <w:bodyDiv w:val="1"/>
      <w:marLeft w:val="0"/>
      <w:marRight w:val="0"/>
      <w:marTop w:val="0"/>
      <w:marBottom w:val="0"/>
      <w:divBdr>
        <w:top w:val="none" w:sz="0" w:space="0" w:color="auto"/>
        <w:left w:val="none" w:sz="0" w:space="0" w:color="auto"/>
        <w:bottom w:val="none" w:sz="0" w:space="0" w:color="auto"/>
        <w:right w:val="none" w:sz="0" w:space="0" w:color="auto"/>
      </w:divBdr>
    </w:div>
    <w:div w:id="227613360">
      <w:bodyDiv w:val="1"/>
      <w:marLeft w:val="0"/>
      <w:marRight w:val="0"/>
      <w:marTop w:val="0"/>
      <w:marBottom w:val="0"/>
      <w:divBdr>
        <w:top w:val="none" w:sz="0" w:space="0" w:color="auto"/>
        <w:left w:val="none" w:sz="0" w:space="0" w:color="auto"/>
        <w:bottom w:val="none" w:sz="0" w:space="0" w:color="auto"/>
        <w:right w:val="none" w:sz="0" w:space="0" w:color="auto"/>
      </w:divBdr>
    </w:div>
    <w:div w:id="248581584">
      <w:bodyDiv w:val="1"/>
      <w:marLeft w:val="0"/>
      <w:marRight w:val="0"/>
      <w:marTop w:val="0"/>
      <w:marBottom w:val="0"/>
      <w:divBdr>
        <w:top w:val="none" w:sz="0" w:space="0" w:color="auto"/>
        <w:left w:val="none" w:sz="0" w:space="0" w:color="auto"/>
        <w:bottom w:val="none" w:sz="0" w:space="0" w:color="auto"/>
        <w:right w:val="none" w:sz="0" w:space="0" w:color="auto"/>
      </w:divBdr>
    </w:div>
    <w:div w:id="249311816">
      <w:bodyDiv w:val="1"/>
      <w:marLeft w:val="0"/>
      <w:marRight w:val="0"/>
      <w:marTop w:val="0"/>
      <w:marBottom w:val="0"/>
      <w:divBdr>
        <w:top w:val="none" w:sz="0" w:space="0" w:color="auto"/>
        <w:left w:val="none" w:sz="0" w:space="0" w:color="auto"/>
        <w:bottom w:val="none" w:sz="0" w:space="0" w:color="auto"/>
        <w:right w:val="none" w:sz="0" w:space="0" w:color="auto"/>
      </w:divBdr>
    </w:div>
    <w:div w:id="381943869">
      <w:bodyDiv w:val="1"/>
      <w:marLeft w:val="0"/>
      <w:marRight w:val="0"/>
      <w:marTop w:val="0"/>
      <w:marBottom w:val="0"/>
      <w:divBdr>
        <w:top w:val="none" w:sz="0" w:space="0" w:color="auto"/>
        <w:left w:val="none" w:sz="0" w:space="0" w:color="auto"/>
        <w:bottom w:val="none" w:sz="0" w:space="0" w:color="auto"/>
        <w:right w:val="none" w:sz="0" w:space="0" w:color="auto"/>
      </w:divBdr>
    </w:div>
    <w:div w:id="435910565">
      <w:bodyDiv w:val="1"/>
      <w:marLeft w:val="0"/>
      <w:marRight w:val="0"/>
      <w:marTop w:val="0"/>
      <w:marBottom w:val="0"/>
      <w:divBdr>
        <w:top w:val="none" w:sz="0" w:space="0" w:color="auto"/>
        <w:left w:val="none" w:sz="0" w:space="0" w:color="auto"/>
        <w:bottom w:val="none" w:sz="0" w:space="0" w:color="auto"/>
        <w:right w:val="none" w:sz="0" w:space="0" w:color="auto"/>
      </w:divBdr>
    </w:div>
    <w:div w:id="462772051">
      <w:bodyDiv w:val="1"/>
      <w:marLeft w:val="0"/>
      <w:marRight w:val="0"/>
      <w:marTop w:val="0"/>
      <w:marBottom w:val="0"/>
      <w:divBdr>
        <w:top w:val="none" w:sz="0" w:space="0" w:color="auto"/>
        <w:left w:val="none" w:sz="0" w:space="0" w:color="auto"/>
        <w:bottom w:val="none" w:sz="0" w:space="0" w:color="auto"/>
        <w:right w:val="none" w:sz="0" w:space="0" w:color="auto"/>
      </w:divBdr>
    </w:div>
    <w:div w:id="488443683">
      <w:bodyDiv w:val="1"/>
      <w:marLeft w:val="0"/>
      <w:marRight w:val="0"/>
      <w:marTop w:val="0"/>
      <w:marBottom w:val="0"/>
      <w:divBdr>
        <w:top w:val="none" w:sz="0" w:space="0" w:color="auto"/>
        <w:left w:val="none" w:sz="0" w:space="0" w:color="auto"/>
        <w:bottom w:val="none" w:sz="0" w:space="0" w:color="auto"/>
        <w:right w:val="none" w:sz="0" w:space="0" w:color="auto"/>
      </w:divBdr>
    </w:div>
    <w:div w:id="500773460">
      <w:bodyDiv w:val="1"/>
      <w:marLeft w:val="0"/>
      <w:marRight w:val="0"/>
      <w:marTop w:val="0"/>
      <w:marBottom w:val="0"/>
      <w:divBdr>
        <w:top w:val="none" w:sz="0" w:space="0" w:color="auto"/>
        <w:left w:val="none" w:sz="0" w:space="0" w:color="auto"/>
        <w:bottom w:val="none" w:sz="0" w:space="0" w:color="auto"/>
        <w:right w:val="none" w:sz="0" w:space="0" w:color="auto"/>
      </w:divBdr>
    </w:div>
    <w:div w:id="558983627">
      <w:bodyDiv w:val="1"/>
      <w:marLeft w:val="0"/>
      <w:marRight w:val="0"/>
      <w:marTop w:val="0"/>
      <w:marBottom w:val="0"/>
      <w:divBdr>
        <w:top w:val="none" w:sz="0" w:space="0" w:color="auto"/>
        <w:left w:val="none" w:sz="0" w:space="0" w:color="auto"/>
        <w:bottom w:val="none" w:sz="0" w:space="0" w:color="auto"/>
        <w:right w:val="none" w:sz="0" w:space="0" w:color="auto"/>
      </w:divBdr>
    </w:div>
    <w:div w:id="648748613">
      <w:bodyDiv w:val="1"/>
      <w:marLeft w:val="0"/>
      <w:marRight w:val="0"/>
      <w:marTop w:val="0"/>
      <w:marBottom w:val="0"/>
      <w:divBdr>
        <w:top w:val="none" w:sz="0" w:space="0" w:color="auto"/>
        <w:left w:val="none" w:sz="0" w:space="0" w:color="auto"/>
        <w:bottom w:val="none" w:sz="0" w:space="0" w:color="auto"/>
        <w:right w:val="none" w:sz="0" w:space="0" w:color="auto"/>
      </w:divBdr>
    </w:div>
    <w:div w:id="673801262">
      <w:bodyDiv w:val="1"/>
      <w:marLeft w:val="0"/>
      <w:marRight w:val="0"/>
      <w:marTop w:val="0"/>
      <w:marBottom w:val="0"/>
      <w:divBdr>
        <w:top w:val="none" w:sz="0" w:space="0" w:color="auto"/>
        <w:left w:val="none" w:sz="0" w:space="0" w:color="auto"/>
        <w:bottom w:val="none" w:sz="0" w:space="0" w:color="auto"/>
        <w:right w:val="none" w:sz="0" w:space="0" w:color="auto"/>
      </w:divBdr>
      <w:divsChild>
        <w:div w:id="2045399392">
          <w:marLeft w:val="0"/>
          <w:marRight w:val="0"/>
          <w:marTop w:val="0"/>
          <w:marBottom w:val="0"/>
          <w:divBdr>
            <w:top w:val="none" w:sz="0" w:space="0" w:color="auto"/>
            <w:left w:val="none" w:sz="0" w:space="0" w:color="auto"/>
            <w:bottom w:val="none" w:sz="0" w:space="0" w:color="auto"/>
            <w:right w:val="none" w:sz="0" w:space="0" w:color="auto"/>
          </w:divBdr>
          <w:divsChild>
            <w:div w:id="1086001343">
              <w:marLeft w:val="0"/>
              <w:marRight w:val="0"/>
              <w:marTop w:val="0"/>
              <w:marBottom w:val="0"/>
              <w:divBdr>
                <w:top w:val="none" w:sz="0" w:space="0" w:color="auto"/>
                <w:left w:val="none" w:sz="0" w:space="0" w:color="auto"/>
                <w:bottom w:val="none" w:sz="0" w:space="0" w:color="auto"/>
                <w:right w:val="none" w:sz="0" w:space="0" w:color="auto"/>
              </w:divBdr>
              <w:divsChild>
                <w:div w:id="1428623343">
                  <w:marLeft w:val="0"/>
                  <w:marRight w:val="0"/>
                  <w:marTop w:val="0"/>
                  <w:marBottom w:val="0"/>
                  <w:divBdr>
                    <w:top w:val="none" w:sz="0" w:space="0" w:color="auto"/>
                    <w:left w:val="none" w:sz="0" w:space="0" w:color="auto"/>
                    <w:bottom w:val="none" w:sz="0" w:space="0" w:color="auto"/>
                    <w:right w:val="none" w:sz="0" w:space="0" w:color="auto"/>
                  </w:divBdr>
                </w:div>
                <w:div w:id="1636174977">
                  <w:marLeft w:val="0"/>
                  <w:marRight w:val="0"/>
                  <w:marTop w:val="0"/>
                  <w:marBottom w:val="0"/>
                  <w:divBdr>
                    <w:top w:val="none" w:sz="0" w:space="0" w:color="auto"/>
                    <w:left w:val="none" w:sz="0" w:space="0" w:color="auto"/>
                    <w:bottom w:val="none" w:sz="0" w:space="0" w:color="auto"/>
                    <w:right w:val="none" w:sz="0" w:space="0" w:color="auto"/>
                  </w:divBdr>
                </w:div>
              </w:divsChild>
            </w:div>
            <w:div w:id="1066148452">
              <w:marLeft w:val="0"/>
              <w:marRight w:val="0"/>
              <w:marTop w:val="0"/>
              <w:marBottom w:val="0"/>
              <w:divBdr>
                <w:top w:val="none" w:sz="0" w:space="0" w:color="auto"/>
                <w:left w:val="none" w:sz="0" w:space="0" w:color="auto"/>
                <w:bottom w:val="none" w:sz="0" w:space="0" w:color="auto"/>
                <w:right w:val="none" w:sz="0" w:space="0" w:color="auto"/>
              </w:divBdr>
              <w:divsChild>
                <w:div w:id="1993413359">
                  <w:marLeft w:val="0"/>
                  <w:marRight w:val="0"/>
                  <w:marTop w:val="0"/>
                  <w:marBottom w:val="0"/>
                  <w:divBdr>
                    <w:top w:val="none" w:sz="0" w:space="0" w:color="auto"/>
                    <w:left w:val="none" w:sz="0" w:space="0" w:color="auto"/>
                    <w:bottom w:val="none" w:sz="0" w:space="0" w:color="auto"/>
                    <w:right w:val="none" w:sz="0" w:space="0" w:color="auto"/>
                  </w:divBdr>
                </w:div>
                <w:div w:id="15270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0154">
          <w:marLeft w:val="0"/>
          <w:marRight w:val="0"/>
          <w:marTop w:val="0"/>
          <w:marBottom w:val="0"/>
          <w:divBdr>
            <w:top w:val="none" w:sz="0" w:space="0" w:color="auto"/>
            <w:left w:val="none" w:sz="0" w:space="0" w:color="auto"/>
            <w:bottom w:val="none" w:sz="0" w:space="0" w:color="auto"/>
            <w:right w:val="none" w:sz="0" w:space="0" w:color="auto"/>
          </w:divBdr>
        </w:div>
        <w:div w:id="1378776477">
          <w:marLeft w:val="0"/>
          <w:marRight w:val="0"/>
          <w:marTop w:val="0"/>
          <w:marBottom w:val="0"/>
          <w:divBdr>
            <w:top w:val="none" w:sz="0" w:space="0" w:color="auto"/>
            <w:left w:val="none" w:sz="0" w:space="0" w:color="auto"/>
            <w:bottom w:val="none" w:sz="0" w:space="0" w:color="auto"/>
            <w:right w:val="none" w:sz="0" w:space="0" w:color="auto"/>
          </w:divBdr>
        </w:div>
      </w:divsChild>
    </w:div>
    <w:div w:id="688216754">
      <w:bodyDiv w:val="1"/>
      <w:marLeft w:val="0"/>
      <w:marRight w:val="0"/>
      <w:marTop w:val="0"/>
      <w:marBottom w:val="0"/>
      <w:divBdr>
        <w:top w:val="none" w:sz="0" w:space="0" w:color="auto"/>
        <w:left w:val="none" w:sz="0" w:space="0" w:color="auto"/>
        <w:bottom w:val="none" w:sz="0" w:space="0" w:color="auto"/>
        <w:right w:val="none" w:sz="0" w:space="0" w:color="auto"/>
      </w:divBdr>
    </w:div>
    <w:div w:id="756828803">
      <w:bodyDiv w:val="1"/>
      <w:marLeft w:val="0"/>
      <w:marRight w:val="0"/>
      <w:marTop w:val="0"/>
      <w:marBottom w:val="0"/>
      <w:divBdr>
        <w:top w:val="none" w:sz="0" w:space="0" w:color="auto"/>
        <w:left w:val="none" w:sz="0" w:space="0" w:color="auto"/>
        <w:bottom w:val="none" w:sz="0" w:space="0" w:color="auto"/>
        <w:right w:val="none" w:sz="0" w:space="0" w:color="auto"/>
      </w:divBdr>
    </w:div>
    <w:div w:id="809906338">
      <w:bodyDiv w:val="1"/>
      <w:marLeft w:val="0"/>
      <w:marRight w:val="0"/>
      <w:marTop w:val="0"/>
      <w:marBottom w:val="0"/>
      <w:divBdr>
        <w:top w:val="none" w:sz="0" w:space="0" w:color="auto"/>
        <w:left w:val="none" w:sz="0" w:space="0" w:color="auto"/>
        <w:bottom w:val="none" w:sz="0" w:space="0" w:color="auto"/>
        <w:right w:val="none" w:sz="0" w:space="0" w:color="auto"/>
      </w:divBdr>
    </w:div>
    <w:div w:id="827474293">
      <w:bodyDiv w:val="1"/>
      <w:marLeft w:val="0"/>
      <w:marRight w:val="0"/>
      <w:marTop w:val="0"/>
      <w:marBottom w:val="0"/>
      <w:divBdr>
        <w:top w:val="none" w:sz="0" w:space="0" w:color="auto"/>
        <w:left w:val="none" w:sz="0" w:space="0" w:color="auto"/>
        <w:bottom w:val="none" w:sz="0" w:space="0" w:color="auto"/>
        <w:right w:val="none" w:sz="0" w:space="0" w:color="auto"/>
      </w:divBdr>
    </w:div>
    <w:div w:id="866332544">
      <w:bodyDiv w:val="1"/>
      <w:marLeft w:val="0"/>
      <w:marRight w:val="0"/>
      <w:marTop w:val="0"/>
      <w:marBottom w:val="0"/>
      <w:divBdr>
        <w:top w:val="none" w:sz="0" w:space="0" w:color="auto"/>
        <w:left w:val="none" w:sz="0" w:space="0" w:color="auto"/>
        <w:bottom w:val="none" w:sz="0" w:space="0" w:color="auto"/>
        <w:right w:val="none" w:sz="0" w:space="0" w:color="auto"/>
      </w:divBdr>
    </w:div>
    <w:div w:id="892887670">
      <w:bodyDiv w:val="1"/>
      <w:marLeft w:val="0"/>
      <w:marRight w:val="0"/>
      <w:marTop w:val="0"/>
      <w:marBottom w:val="0"/>
      <w:divBdr>
        <w:top w:val="none" w:sz="0" w:space="0" w:color="auto"/>
        <w:left w:val="none" w:sz="0" w:space="0" w:color="auto"/>
        <w:bottom w:val="none" w:sz="0" w:space="0" w:color="auto"/>
        <w:right w:val="none" w:sz="0" w:space="0" w:color="auto"/>
      </w:divBdr>
    </w:div>
    <w:div w:id="911700834">
      <w:bodyDiv w:val="1"/>
      <w:marLeft w:val="0"/>
      <w:marRight w:val="0"/>
      <w:marTop w:val="0"/>
      <w:marBottom w:val="0"/>
      <w:divBdr>
        <w:top w:val="none" w:sz="0" w:space="0" w:color="auto"/>
        <w:left w:val="none" w:sz="0" w:space="0" w:color="auto"/>
        <w:bottom w:val="none" w:sz="0" w:space="0" w:color="auto"/>
        <w:right w:val="none" w:sz="0" w:space="0" w:color="auto"/>
      </w:divBdr>
    </w:div>
    <w:div w:id="930311178">
      <w:bodyDiv w:val="1"/>
      <w:marLeft w:val="0"/>
      <w:marRight w:val="0"/>
      <w:marTop w:val="0"/>
      <w:marBottom w:val="0"/>
      <w:divBdr>
        <w:top w:val="none" w:sz="0" w:space="0" w:color="auto"/>
        <w:left w:val="none" w:sz="0" w:space="0" w:color="auto"/>
        <w:bottom w:val="none" w:sz="0" w:space="0" w:color="auto"/>
        <w:right w:val="none" w:sz="0" w:space="0" w:color="auto"/>
      </w:divBdr>
    </w:div>
    <w:div w:id="1051928783">
      <w:bodyDiv w:val="1"/>
      <w:marLeft w:val="0"/>
      <w:marRight w:val="0"/>
      <w:marTop w:val="0"/>
      <w:marBottom w:val="0"/>
      <w:divBdr>
        <w:top w:val="none" w:sz="0" w:space="0" w:color="auto"/>
        <w:left w:val="none" w:sz="0" w:space="0" w:color="auto"/>
        <w:bottom w:val="none" w:sz="0" w:space="0" w:color="auto"/>
        <w:right w:val="none" w:sz="0" w:space="0" w:color="auto"/>
      </w:divBdr>
    </w:div>
    <w:div w:id="1058674184">
      <w:bodyDiv w:val="1"/>
      <w:marLeft w:val="0"/>
      <w:marRight w:val="0"/>
      <w:marTop w:val="0"/>
      <w:marBottom w:val="0"/>
      <w:divBdr>
        <w:top w:val="none" w:sz="0" w:space="0" w:color="auto"/>
        <w:left w:val="none" w:sz="0" w:space="0" w:color="auto"/>
        <w:bottom w:val="none" w:sz="0" w:space="0" w:color="auto"/>
        <w:right w:val="none" w:sz="0" w:space="0" w:color="auto"/>
      </w:divBdr>
    </w:div>
    <w:div w:id="1067802879">
      <w:bodyDiv w:val="1"/>
      <w:marLeft w:val="0"/>
      <w:marRight w:val="0"/>
      <w:marTop w:val="0"/>
      <w:marBottom w:val="0"/>
      <w:divBdr>
        <w:top w:val="none" w:sz="0" w:space="0" w:color="auto"/>
        <w:left w:val="none" w:sz="0" w:space="0" w:color="auto"/>
        <w:bottom w:val="none" w:sz="0" w:space="0" w:color="auto"/>
        <w:right w:val="none" w:sz="0" w:space="0" w:color="auto"/>
      </w:divBdr>
    </w:div>
    <w:div w:id="1084571903">
      <w:bodyDiv w:val="1"/>
      <w:marLeft w:val="0"/>
      <w:marRight w:val="0"/>
      <w:marTop w:val="0"/>
      <w:marBottom w:val="0"/>
      <w:divBdr>
        <w:top w:val="none" w:sz="0" w:space="0" w:color="auto"/>
        <w:left w:val="none" w:sz="0" w:space="0" w:color="auto"/>
        <w:bottom w:val="none" w:sz="0" w:space="0" w:color="auto"/>
        <w:right w:val="none" w:sz="0" w:space="0" w:color="auto"/>
      </w:divBdr>
      <w:divsChild>
        <w:div w:id="1656035221">
          <w:marLeft w:val="547"/>
          <w:marRight w:val="0"/>
          <w:marTop w:val="115"/>
          <w:marBottom w:val="0"/>
          <w:divBdr>
            <w:top w:val="none" w:sz="0" w:space="0" w:color="auto"/>
            <w:left w:val="none" w:sz="0" w:space="0" w:color="auto"/>
            <w:bottom w:val="none" w:sz="0" w:space="0" w:color="auto"/>
            <w:right w:val="none" w:sz="0" w:space="0" w:color="auto"/>
          </w:divBdr>
        </w:div>
        <w:div w:id="257493351">
          <w:marLeft w:val="1166"/>
          <w:marRight w:val="0"/>
          <w:marTop w:val="101"/>
          <w:marBottom w:val="0"/>
          <w:divBdr>
            <w:top w:val="none" w:sz="0" w:space="0" w:color="auto"/>
            <w:left w:val="none" w:sz="0" w:space="0" w:color="auto"/>
            <w:bottom w:val="none" w:sz="0" w:space="0" w:color="auto"/>
            <w:right w:val="none" w:sz="0" w:space="0" w:color="auto"/>
          </w:divBdr>
        </w:div>
      </w:divsChild>
    </w:div>
    <w:div w:id="1103187244">
      <w:bodyDiv w:val="1"/>
      <w:marLeft w:val="0"/>
      <w:marRight w:val="0"/>
      <w:marTop w:val="0"/>
      <w:marBottom w:val="0"/>
      <w:divBdr>
        <w:top w:val="none" w:sz="0" w:space="0" w:color="auto"/>
        <w:left w:val="none" w:sz="0" w:space="0" w:color="auto"/>
        <w:bottom w:val="none" w:sz="0" w:space="0" w:color="auto"/>
        <w:right w:val="none" w:sz="0" w:space="0" w:color="auto"/>
      </w:divBdr>
    </w:div>
    <w:div w:id="1108160598">
      <w:bodyDiv w:val="1"/>
      <w:marLeft w:val="0"/>
      <w:marRight w:val="0"/>
      <w:marTop w:val="0"/>
      <w:marBottom w:val="0"/>
      <w:divBdr>
        <w:top w:val="none" w:sz="0" w:space="0" w:color="auto"/>
        <w:left w:val="none" w:sz="0" w:space="0" w:color="auto"/>
        <w:bottom w:val="none" w:sz="0" w:space="0" w:color="auto"/>
        <w:right w:val="none" w:sz="0" w:space="0" w:color="auto"/>
      </w:divBdr>
    </w:div>
    <w:div w:id="1127431688">
      <w:bodyDiv w:val="1"/>
      <w:marLeft w:val="0"/>
      <w:marRight w:val="0"/>
      <w:marTop w:val="0"/>
      <w:marBottom w:val="0"/>
      <w:divBdr>
        <w:top w:val="none" w:sz="0" w:space="0" w:color="auto"/>
        <w:left w:val="none" w:sz="0" w:space="0" w:color="auto"/>
        <w:bottom w:val="none" w:sz="0" w:space="0" w:color="auto"/>
        <w:right w:val="none" w:sz="0" w:space="0" w:color="auto"/>
      </w:divBdr>
      <w:divsChild>
        <w:div w:id="237444419">
          <w:marLeft w:val="1166"/>
          <w:marRight w:val="0"/>
          <w:marTop w:val="110"/>
          <w:marBottom w:val="0"/>
          <w:divBdr>
            <w:top w:val="none" w:sz="0" w:space="0" w:color="auto"/>
            <w:left w:val="none" w:sz="0" w:space="0" w:color="auto"/>
            <w:bottom w:val="none" w:sz="0" w:space="0" w:color="auto"/>
            <w:right w:val="none" w:sz="0" w:space="0" w:color="auto"/>
          </w:divBdr>
        </w:div>
        <w:div w:id="611477092">
          <w:marLeft w:val="1166"/>
          <w:marRight w:val="0"/>
          <w:marTop w:val="110"/>
          <w:marBottom w:val="0"/>
          <w:divBdr>
            <w:top w:val="none" w:sz="0" w:space="0" w:color="auto"/>
            <w:left w:val="none" w:sz="0" w:space="0" w:color="auto"/>
            <w:bottom w:val="none" w:sz="0" w:space="0" w:color="auto"/>
            <w:right w:val="none" w:sz="0" w:space="0" w:color="auto"/>
          </w:divBdr>
        </w:div>
        <w:div w:id="1928079973">
          <w:marLeft w:val="1166"/>
          <w:marRight w:val="0"/>
          <w:marTop w:val="110"/>
          <w:marBottom w:val="0"/>
          <w:divBdr>
            <w:top w:val="none" w:sz="0" w:space="0" w:color="auto"/>
            <w:left w:val="none" w:sz="0" w:space="0" w:color="auto"/>
            <w:bottom w:val="none" w:sz="0" w:space="0" w:color="auto"/>
            <w:right w:val="none" w:sz="0" w:space="0" w:color="auto"/>
          </w:divBdr>
        </w:div>
        <w:div w:id="1483808168">
          <w:marLeft w:val="1166"/>
          <w:marRight w:val="0"/>
          <w:marTop w:val="110"/>
          <w:marBottom w:val="0"/>
          <w:divBdr>
            <w:top w:val="none" w:sz="0" w:space="0" w:color="auto"/>
            <w:left w:val="none" w:sz="0" w:space="0" w:color="auto"/>
            <w:bottom w:val="none" w:sz="0" w:space="0" w:color="auto"/>
            <w:right w:val="none" w:sz="0" w:space="0" w:color="auto"/>
          </w:divBdr>
        </w:div>
        <w:div w:id="51274711">
          <w:marLeft w:val="547"/>
          <w:marRight w:val="0"/>
          <w:marTop w:val="125"/>
          <w:marBottom w:val="0"/>
          <w:divBdr>
            <w:top w:val="none" w:sz="0" w:space="0" w:color="auto"/>
            <w:left w:val="none" w:sz="0" w:space="0" w:color="auto"/>
            <w:bottom w:val="none" w:sz="0" w:space="0" w:color="auto"/>
            <w:right w:val="none" w:sz="0" w:space="0" w:color="auto"/>
          </w:divBdr>
        </w:div>
        <w:div w:id="192575360">
          <w:marLeft w:val="1166"/>
          <w:marRight w:val="0"/>
          <w:marTop w:val="110"/>
          <w:marBottom w:val="0"/>
          <w:divBdr>
            <w:top w:val="none" w:sz="0" w:space="0" w:color="auto"/>
            <w:left w:val="none" w:sz="0" w:space="0" w:color="auto"/>
            <w:bottom w:val="none" w:sz="0" w:space="0" w:color="auto"/>
            <w:right w:val="none" w:sz="0" w:space="0" w:color="auto"/>
          </w:divBdr>
        </w:div>
        <w:div w:id="16086946">
          <w:marLeft w:val="1166"/>
          <w:marRight w:val="0"/>
          <w:marTop w:val="110"/>
          <w:marBottom w:val="0"/>
          <w:divBdr>
            <w:top w:val="none" w:sz="0" w:space="0" w:color="auto"/>
            <w:left w:val="none" w:sz="0" w:space="0" w:color="auto"/>
            <w:bottom w:val="none" w:sz="0" w:space="0" w:color="auto"/>
            <w:right w:val="none" w:sz="0" w:space="0" w:color="auto"/>
          </w:divBdr>
        </w:div>
        <w:div w:id="292517137">
          <w:marLeft w:val="1166"/>
          <w:marRight w:val="0"/>
          <w:marTop w:val="110"/>
          <w:marBottom w:val="0"/>
          <w:divBdr>
            <w:top w:val="none" w:sz="0" w:space="0" w:color="auto"/>
            <w:left w:val="none" w:sz="0" w:space="0" w:color="auto"/>
            <w:bottom w:val="none" w:sz="0" w:space="0" w:color="auto"/>
            <w:right w:val="none" w:sz="0" w:space="0" w:color="auto"/>
          </w:divBdr>
        </w:div>
      </w:divsChild>
    </w:div>
    <w:div w:id="1143620289">
      <w:bodyDiv w:val="1"/>
      <w:marLeft w:val="0"/>
      <w:marRight w:val="0"/>
      <w:marTop w:val="0"/>
      <w:marBottom w:val="0"/>
      <w:divBdr>
        <w:top w:val="none" w:sz="0" w:space="0" w:color="auto"/>
        <w:left w:val="none" w:sz="0" w:space="0" w:color="auto"/>
        <w:bottom w:val="none" w:sz="0" w:space="0" w:color="auto"/>
        <w:right w:val="none" w:sz="0" w:space="0" w:color="auto"/>
      </w:divBdr>
    </w:div>
    <w:div w:id="1189373681">
      <w:bodyDiv w:val="1"/>
      <w:marLeft w:val="0"/>
      <w:marRight w:val="0"/>
      <w:marTop w:val="0"/>
      <w:marBottom w:val="0"/>
      <w:divBdr>
        <w:top w:val="none" w:sz="0" w:space="0" w:color="auto"/>
        <w:left w:val="none" w:sz="0" w:space="0" w:color="auto"/>
        <w:bottom w:val="none" w:sz="0" w:space="0" w:color="auto"/>
        <w:right w:val="none" w:sz="0" w:space="0" w:color="auto"/>
      </w:divBdr>
    </w:div>
    <w:div w:id="1192720368">
      <w:bodyDiv w:val="1"/>
      <w:marLeft w:val="0"/>
      <w:marRight w:val="0"/>
      <w:marTop w:val="0"/>
      <w:marBottom w:val="0"/>
      <w:divBdr>
        <w:top w:val="none" w:sz="0" w:space="0" w:color="auto"/>
        <w:left w:val="none" w:sz="0" w:space="0" w:color="auto"/>
        <w:bottom w:val="none" w:sz="0" w:space="0" w:color="auto"/>
        <w:right w:val="none" w:sz="0" w:space="0" w:color="auto"/>
      </w:divBdr>
    </w:div>
    <w:div w:id="1205944366">
      <w:bodyDiv w:val="1"/>
      <w:marLeft w:val="0"/>
      <w:marRight w:val="0"/>
      <w:marTop w:val="0"/>
      <w:marBottom w:val="0"/>
      <w:divBdr>
        <w:top w:val="none" w:sz="0" w:space="0" w:color="auto"/>
        <w:left w:val="none" w:sz="0" w:space="0" w:color="auto"/>
        <w:bottom w:val="none" w:sz="0" w:space="0" w:color="auto"/>
        <w:right w:val="none" w:sz="0" w:space="0" w:color="auto"/>
      </w:divBdr>
    </w:div>
    <w:div w:id="1208879333">
      <w:bodyDiv w:val="1"/>
      <w:marLeft w:val="0"/>
      <w:marRight w:val="0"/>
      <w:marTop w:val="0"/>
      <w:marBottom w:val="0"/>
      <w:divBdr>
        <w:top w:val="none" w:sz="0" w:space="0" w:color="auto"/>
        <w:left w:val="none" w:sz="0" w:space="0" w:color="auto"/>
        <w:bottom w:val="none" w:sz="0" w:space="0" w:color="auto"/>
        <w:right w:val="none" w:sz="0" w:space="0" w:color="auto"/>
      </w:divBdr>
    </w:div>
    <w:div w:id="1221404316">
      <w:bodyDiv w:val="1"/>
      <w:marLeft w:val="0"/>
      <w:marRight w:val="0"/>
      <w:marTop w:val="0"/>
      <w:marBottom w:val="0"/>
      <w:divBdr>
        <w:top w:val="none" w:sz="0" w:space="0" w:color="auto"/>
        <w:left w:val="none" w:sz="0" w:space="0" w:color="auto"/>
        <w:bottom w:val="none" w:sz="0" w:space="0" w:color="auto"/>
        <w:right w:val="none" w:sz="0" w:space="0" w:color="auto"/>
      </w:divBdr>
    </w:div>
    <w:div w:id="1351447075">
      <w:bodyDiv w:val="1"/>
      <w:marLeft w:val="0"/>
      <w:marRight w:val="0"/>
      <w:marTop w:val="0"/>
      <w:marBottom w:val="0"/>
      <w:divBdr>
        <w:top w:val="none" w:sz="0" w:space="0" w:color="auto"/>
        <w:left w:val="none" w:sz="0" w:space="0" w:color="auto"/>
        <w:bottom w:val="none" w:sz="0" w:space="0" w:color="auto"/>
        <w:right w:val="none" w:sz="0" w:space="0" w:color="auto"/>
      </w:divBdr>
    </w:div>
    <w:div w:id="1507868498">
      <w:bodyDiv w:val="1"/>
      <w:marLeft w:val="0"/>
      <w:marRight w:val="0"/>
      <w:marTop w:val="0"/>
      <w:marBottom w:val="0"/>
      <w:divBdr>
        <w:top w:val="none" w:sz="0" w:space="0" w:color="auto"/>
        <w:left w:val="none" w:sz="0" w:space="0" w:color="auto"/>
        <w:bottom w:val="none" w:sz="0" w:space="0" w:color="auto"/>
        <w:right w:val="none" w:sz="0" w:space="0" w:color="auto"/>
      </w:divBdr>
    </w:div>
    <w:div w:id="1510292478">
      <w:bodyDiv w:val="1"/>
      <w:marLeft w:val="0"/>
      <w:marRight w:val="0"/>
      <w:marTop w:val="0"/>
      <w:marBottom w:val="0"/>
      <w:divBdr>
        <w:top w:val="none" w:sz="0" w:space="0" w:color="auto"/>
        <w:left w:val="none" w:sz="0" w:space="0" w:color="auto"/>
        <w:bottom w:val="none" w:sz="0" w:space="0" w:color="auto"/>
        <w:right w:val="none" w:sz="0" w:space="0" w:color="auto"/>
      </w:divBdr>
    </w:div>
    <w:div w:id="1511290505">
      <w:bodyDiv w:val="1"/>
      <w:marLeft w:val="0"/>
      <w:marRight w:val="0"/>
      <w:marTop w:val="0"/>
      <w:marBottom w:val="0"/>
      <w:divBdr>
        <w:top w:val="none" w:sz="0" w:space="0" w:color="auto"/>
        <w:left w:val="none" w:sz="0" w:space="0" w:color="auto"/>
        <w:bottom w:val="none" w:sz="0" w:space="0" w:color="auto"/>
        <w:right w:val="none" w:sz="0" w:space="0" w:color="auto"/>
      </w:divBdr>
    </w:div>
    <w:div w:id="1534269121">
      <w:bodyDiv w:val="1"/>
      <w:marLeft w:val="0"/>
      <w:marRight w:val="0"/>
      <w:marTop w:val="0"/>
      <w:marBottom w:val="0"/>
      <w:divBdr>
        <w:top w:val="none" w:sz="0" w:space="0" w:color="auto"/>
        <w:left w:val="none" w:sz="0" w:space="0" w:color="auto"/>
        <w:bottom w:val="none" w:sz="0" w:space="0" w:color="auto"/>
        <w:right w:val="none" w:sz="0" w:space="0" w:color="auto"/>
      </w:divBdr>
    </w:div>
    <w:div w:id="1616718368">
      <w:bodyDiv w:val="1"/>
      <w:marLeft w:val="0"/>
      <w:marRight w:val="0"/>
      <w:marTop w:val="0"/>
      <w:marBottom w:val="0"/>
      <w:divBdr>
        <w:top w:val="none" w:sz="0" w:space="0" w:color="auto"/>
        <w:left w:val="none" w:sz="0" w:space="0" w:color="auto"/>
        <w:bottom w:val="none" w:sz="0" w:space="0" w:color="auto"/>
        <w:right w:val="none" w:sz="0" w:space="0" w:color="auto"/>
      </w:divBdr>
    </w:div>
    <w:div w:id="1756516878">
      <w:bodyDiv w:val="1"/>
      <w:marLeft w:val="0"/>
      <w:marRight w:val="0"/>
      <w:marTop w:val="0"/>
      <w:marBottom w:val="0"/>
      <w:divBdr>
        <w:top w:val="none" w:sz="0" w:space="0" w:color="auto"/>
        <w:left w:val="none" w:sz="0" w:space="0" w:color="auto"/>
        <w:bottom w:val="none" w:sz="0" w:space="0" w:color="auto"/>
        <w:right w:val="none" w:sz="0" w:space="0" w:color="auto"/>
      </w:divBdr>
    </w:div>
    <w:div w:id="1769957637">
      <w:bodyDiv w:val="1"/>
      <w:marLeft w:val="0"/>
      <w:marRight w:val="0"/>
      <w:marTop w:val="0"/>
      <w:marBottom w:val="0"/>
      <w:divBdr>
        <w:top w:val="none" w:sz="0" w:space="0" w:color="auto"/>
        <w:left w:val="none" w:sz="0" w:space="0" w:color="auto"/>
        <w:bottom w:val="none" w:sz="0" w:space="0" w:color="auto"/>
        <w:right w:val="none" w:sz="0" w:space="0" w:color="auto"/>
      </w:divBdr>
    </w:div>
    <w:div w:id="1804423283">
      <w:bodyDiv w:val="1"/>
      <w:marLeft w:val="0"/>
      <w:marRight w:val="0"/>
      <w:marTop w:val="0"/>
      <w:marBottom w:val="0"/>
      <w:divBdr>
        <w:top w:val="none" w:sz="0" w:space="0" w:color="auto"/>
        <w:left w:val="none" w:sz="0" w:space="0" w:color="auto"/>
        <w:bottom w:val="none" w:sz="0" w:space="0" w:color="auto"/>
        <w:right w:val="none" w:sz="0" w:space="0" w:color="auto"/>
      </w:divBdr>
    </w:div>
    <w:div w:id="1852377776">
      <w:bodyDiv w:val="1"/>
      <w:marLeft w:val="0"/>
      <w:marRight w:val="0"/>
      <w:marTop w:val="0"/>
      <w:marBottom w:val="0"/>
      <w:divBdr>
        <w:top w:val="none" w:sz="0" w:space="0" w:color="auto"/>
        <w:left w:val="none" w:sz="0" w:space="0" w:color="auto"/>
        <w:bottom w:val="none" w:sz="0" w:space="0" w:color="auto"/>
        <w:right w:val="none" w:sz="0" w:space="0" w:color="auto"/>
      </w:divBdr>
    </w:div>
    <w:div w:id="1876961546">
      <w:bodyDiv w:val="1"/>
      <w:marLeft w:val="0"/>
      <w:marRight w:val="0"/>
      <w:marTop w:val="0"/>
      <w:marBottom w:val="0"/>
      <w:divBdr>
        <w:top w:val="none" w:sz="0" w:space="0" w:color="auto"/>
        <w:left w:val="none" w:sz="0" w:space="0" w:color="auto"/>
        <w:bottom w:val="none" w:sz="0" w:space="0" w:color="auto"/>
        <w:right w:val="none" w:sz="0" w:space="0" w:color="auto"/>
      </w:divBdr>
    </w:div>
    <w:div w:id="1891531128">
      <w:bodyDiv w:val="1"/>
      <w:marLeft w:val="0"/>
      <w:marRight w:val="0"/>
      <w:marTop w:val="0"/>
      <w:marBottom w:val="0"/>
      <w:divBdr>
        <w:top w:val="none" w:sz="0" w:space="0" w:color="auto"/>
        <w:left w:val="none" w:sz="0" w:space="0" w:color="auto"/>
        <w:bottom w:val="none" w:sz="0" w:space="0" w:color="auto"/>
        <w:right w:val="none" w:sz="0" w:space="0" w:color="auto"/>
      </w:divBdr>
    </w:div>
    <w:div w:id="1986663158">
      <w:bodyDiv w:val="1"/>
      <w:marLeft w:val="0"/>
      <w:marRight w:val="0"/>
      <w:marTop w:val="0"/>
      <w:marBottom w:val="0"/>
      <w:divBdr>
        <w:top w:val="none" w:sz="0" w:space="0" w:color="auto"/>
        <w:left w:val="none" w:sz="0" w:space="0" w:color="auto"/>
        <w:bottom w:val="none" w:sz="0" w:space="0" w:color="auto"/>
        <w:right w:val="none" w:sz="0" w:space="0" w:color="auto"/>
      </w:divBdr>
    </w:div>
    <w:div w:id="21136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7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751C-6282-4E59-B4D8-F9C30BE9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Arbor Research Collaborative for Health</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Karaboyas</dc:creator>
  <cp:keywords/>
  <dc:description/>
  <cp:lastModifiedBy>Angelo Karaboyas</cp:lastModifiedBy>
  <cp:revision>3</cp:revision>
  <cp:lastPrinted>2019-08-26T18:25:00Z</cp:lastPrinted>
  <dcterms:created xsi:type="dcterms:W3CDTF">2020-10-15T16:40:00Z</dcterms:created>
  <dcterms:modified xsi:type="dcterms:W3CDTF">2020-10-15T17:14:00Z</dcterms:modified>
</cp:coreProperties>
</file>