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auto"/>
        <w:rPr>
          <w:rStyle w:val="6"/>
          <w:rFonts w:hint="eastAsia"/>
          <w:b/>
          <w:bCs/>
          <w:sz w:val="22"/>
          <w:szCs w:val="22"/>
          <w:lang w:val="en-US" w:eastAsia="zh-CN"/>
        </w:rPr>
      </w:pPr>
      <w:r>
        <w:rPr>
          <w:rStyle w:val="6"/>
          <w:rFonts w:hint="eastAsia"/>
          <w:b/>
          <w:bCs/>
          <w:sz w:val="22"/>
          <w:szCs w:val="22"/>
          <w:lang w:val="en-US" w:eastAsia="zh-CN"/>
        </w:rPr>
        <w:t xml:space="preserve">                          </w:t>
      </w:r>
      <w:r>
        <w:rPr>
          <w:rStyle w:val="6"/>
          <w:rFonts w:hint="eastAsia"/>
          <w:b/>
          <w:bCs/>
          <w:sz w:val="22"/>
          <w:szCs w:val="22"/>
          <w:lang w:val="en-US" w:eastAsia="zh-CN"/>
        </w:rPr>
        <w:drawing>
          <wp:inline distT="0" distB="0" distL="114300" distR="114300">
            <wp:extent cx="2107565" cy="3473450"/>
            <wp:effectExtent l="0" t="0" r="10795" b="1270"/>
            <wp:docPr id="5" name="图片 5" descr="FIGS1-1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IGS1-111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07565" cy="347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Style w:val="6"/>
          <w:b/>
          <w:bCs/>
          <w:sz w:val="24"/>
          <w:szCs w:val="24"/>
        </w:rPr>
      </w:pPr>
    </w:p>
    <w:p>
      <w:pPr>
        <w:spacing w:line="480" w:lineRule="auto"/>
        <w:rPr>
          <w:rFonts w:hint="default"/>
          <w:bCs/>
          <w:sz w:val="24"/>
          <w:szCs w:val="24"/>
          <w:lang w:val="en-US"/>
        </w:rPr>
      </w:pPr>
      <w:r>
        <w:rPr>
          <w:rStyle w:val="6"/>
          <w:b/>
          <w:bCs/>
          <w:sz w:val="24"/>
          <w:szCs w:val="24"/>
        </w:rPr>
        <w:t>Fig. S</w:t>
      </w:r>
      <w:r>
        <w:rPr>
          <w:rStyle w:val="6"/>
          <w:rFonts w:hint="eastAsia"/>
          <w:b/>
          <w:bCs/>
          <w:sz w:val="24"/>
          <w:szCs w:val="24"/>
          <w:lang w:val="en-US" w:eastAsia="zh-CN"/>
        </w:rPr>
        <w:t>1</w:t>
      </w:r>
      <w:r>
        <w:rPr>
          <w:rStyle w:val="6"/>
          <w:b/>
          <w:bCs/>
          <w:sz w:val="24"/>
          <w:szCs w:val="24"/>
        </w:rPr>
        <w:t>.</w:t>
      </w:r>
      <w:r>
        <w:rPr>
          <w:rStyle w:val="6"/>
          <w:b/>
          <w:sz w:val="24"/>
          <w:szCs w:val="24"/>
        </w:rPr>
        <w:t xml:space="preserve"> </w:t>
      </w:r>
      <w:r>
        <w:rPr>
          <w:rStyle w:val="6"/>
          <w:b/>
          <w:sz w:val="24"/>
          <w:szCs w:val="24"/>
          <w:lang w:val="en-US" w:eastAsia="zh-CN"/>
        </w:rPr>
        <w:t>The effect of hydrogen peroxide (H</w:t>
      </w:r>
      <w:r>
        <w:rPr>
          <w:rStyle w:val="6"/>
          <w:rFonts w:hint="default"/>
          <w:b/>
          <w:sz w:val="24"/>
          <w:szCs w:val="24"/>
          <w:vertAlign w:val="subscript"/>
          <w:lang w:val="en-US" w:eastAsia="zh-CN"/>
        </w:rPr>
        <w:t>2</w:t>
      </w:r>
      <w:r>
        <w:rPr>
          <w:rStyle w:val="6"/>
          <w:rFonts w:hint="default"/>
          <w:b/>
          <w:sz w:val="24"/>
          <w:szCs w:val="24"/>
          <w:lang w:val="en-US" w:eastAsia="zh-CN"/>
        </w:rPr>
        <w:t>O</w:t>
      </w:r>
      <w:r>
        <w:rPr>
          <w:rStyle w:val="6"/>
          <w:rFonts w:hint="default"/>
          <w:b/>
          <w:sz w:val="24"/>
          <w:szCs w:val="24"/>
          <w:vertAlign w:val="subscript"/>
          <w:lang w:val="en-US" w:eastAsia="zh-CN"/>
        </w:rPr>
        <w:t>2</w:t>
      </w:r>
      <w:r>
        <w:rPr>
          <w:rStyle w:val="6"/>
          <w:rFonts w:hint="default"/>
          <w:b/>
          <w:sz w:val="24"/>
          <w:szCs w:val="24"/>
          <w:lang w:val="en-US" w:eastAsia="zh-CN"/>
        </w:rPr>
        <w:t xml:space="preserve">) in killing </w:t>
      </w:r>
      <w:r>
        <w:rPr>
          <w:rStyle w:val="6"/>
          <w:b/>
          <w:sz w:val="24"/>
          <w:szCs w:val="24"/>
        </w:rPr>
        <w:t>RE88-pVLT33-OVA</w:t>
      </w:r>
      <w:r>
        <w:rPr>
          <w:rFonts w:hint="default"/>
          <w:bCs/>
          <w:sz w:val="24"/>
          <w:szCs w:val="24"/>
          <w:lang w:val="en-US" w:eastAsia="zh-CN"/>
        </w:rPr>
        <w:t>. RE88 were treated with 3% H</w:t>
      </w:r>
      <w:r>
        <w:rPr>
          <w:rFonts w:hint="default"/>
          <w:bCs/>
          <w:sz w:val="24"/>
          <w:szCs w:val="24"/>
          <w:vertAlign w:val="subscript"/>
          <w:lang w:val="en-US" w:eastAsia="zh-CN"/>
        </w:rPr>
        <w:t>2</w:t>
      </w:r>
      <w:r>
        <w:rPr>
          <w:rFonts w:hint="default"/>
          <w:bCs/>
          <w:sz w:val="24"/>
          <w:szCs w:val="24"/>
          <w:lang w:val="en-US" w:eastAsia="zh-CN"/>
        </w:rPr>
        <w:t>O</w:t>
      </w:r>
      <w:r>
        <w:rPr>
          <w:rFonts w:hint="default"/>
          <w:bCs/>
          <w:sz w:val="24"/>
          <w:szCs w:val="24"/>
          <w:vertAlign w:val="subscript"/>
          <w:lang w:val="en-US" w:eastAsia="zh-CN"/>
        </w:rPr>
        <w:t>2</w:t>
      </w:r>
      <w:r>
        <w:rPr>
          <w:rFonts w:hint="default"/>
          <w:bCs/>
          <w:sz w:val="24"/>
          <w:szCs w:val="24"/>
          <w:lang w:val="en-US" w:eastAsia="zh-CN"/>
        </w:rPr>
        <w:t xml:space="preserve"> at 37 °C after </w:t>
      </w:r>
      <w:r>
        <w:rPr>
          <w:rFonts w:hint="eastAsia"/>
          <w:bCs/>
          <w:sz w:val="24"/>
          <w:szCs w:val="24"/>
          <w:lang w:val="en-US" w:eastAsia="zh-CN"/>
        </w:rPr>
        <w:t>1</w:t>
      </w:r>
      <w:r>
        <w:rPr>
          <w:rFonts w:hint="default"/>
          <w:bCs/>
          <w:sz w:val="24"/>
          <w:szCs w:val="24"/>
          <w:lang w:val="en-US" w:eastAsia="zh-CN"/>
        </w:rPr>
        <w:t xml:space="preserve"> h and then cultured on LB plates to allow bacterial growth was observed</w:t>
      </w:r>
      <w:r>
        <w:rPr>
          <w:rFonts w:hint="eastAsia"/>
          <w:bCs/>
          <w:sz w:val="24"/>
          <w:szCs w:val="24"/>
          <w:lang w:val="en-US" w:eastAsia="zh-CN"/>
        </w:rPr>
        <w:t>.</w:t>
      </w:r>
    </w:p>
    <w:p>
      <w:pPr>
        <w:spacing w:line="480" w:lineRule="auto"/>
        <w:rPr>
          <w:rStyle w:val="6"/>
          <w:sz w:val="24"/>
          <w:szCs w:val="24"/>
        </w:rPr>
      </w:pPr>
    </w:p>
    <w:p>
      <w:pPr>
        <w:spacing w:line="480" w:lineRule="auto"/>
        <w:rPr>
          <w:rStyle w:val="6"/>
          <w:rFonts w:hint="eastAsia"/>
          <w:b/>
          <w:bCs/>
          <w:sz w:val="22"/>
          <w:szCs w:val="22"/>
          <w:lang w:val="en-US" w:eastAsia="zh-CN"/>
        </w:rPr>
      </w:pPr>
    </w:p>
    <w:p>
      <w:pPr>
        <w:spacing w:line="480" w:lineRule="auto"/>
        <w:rPr>
          <w:rStyle w:val="6"/>
          <w:rFonts w:hint="eastAsia"/>
          <w:b/>
          <w:bCs/>
          <w:sz w:val="22"/>
          <w:szCs w:val="22"/>
          <w:lang w:val="en-US" w:eastAsia="zh-CN"/>
        </w:rPr>
      </w:pPr>
    </w:p>
    <w:p>
      <w:pPr>
        <w:spacing w:line="480" w:lineRule="auto"/>
        <w:rPr>
          <w:rStyle w:val="6"/>
          <w:rFonts w:hint="eastAsia" w:eastAsia="宋体"/>
          <w:b/>
          <w:bCs/>
          <w:sz w:val="22"/>
          <w:szCs w:val="22"/>
          <w:lang w:eastAsia="zh-CN"/>
        </w:rPr>
      </w:pPr>
      <w:r>
        <w:rPr>
          <w:rStyle w:val="6"/>
          <w:rFonts w:hint="eastAsia"/>
          <w:b/>
          <w:bCs/>
          <w:sz w:val="22"/>
          <w:szCs w:val="22"/>
          <w:lang w:val="en-US" w:eastAsia="zh-CN"/>
        </w:rPr>
        <w:t xml:space="preserve">        </w:t>
      </w:r>
      <w:r>
        <w:rPr>
          <w:rStyle w:val="6"/>
          <w:rFonts w:hint="eastAsia" w:eastAsia="宋体"/>
          <w:b/>
          <w:bCs/>
          <w:sz w:val="22"/>
          <w:szCs w:val="22"/>
          <w:lang w:eastAsia="zh-CN"/>
        </w:rPr>
        <w:drawing>
          <wp:inline distT="0" distB="0" distL="114300" distR="114300">
            <wp:extent cx="4242435" cy="2682240"/>
            <wp:effectExtent l="0" t="0" r="0" b="0"/>
            <wp:docPr id="1" name="图片 1" descr="Data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ata S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42435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Style w:val="6"/>
          <w:b/>
          <w:bCs/>
          <w:sz w:val="24"/>
          <w:szCs w:val="24"/>
        </w:rPr>
      </w:pPr>
    </w:p>
    <w:p>
      <w:pPr>
        <w:spacing w:line="480" w:lineRule="auto"/>
        <w:rPr>
          <w:rStyle w:val="6"/>
          <w:sz w:val="24"/>
          <w:szCs w:val="24"/>
        </w:rPr>
      </w:pPr>
      <w:r>
        <w:rPr>
          <w:rStyle w:val="6"/>
          <w:b/>
          <w:bCs/>
          <w:sz w:val="24"/>
          <w:szCs w:val="24"/>
        </w:rPr>
        <w:t>Fig. S</w:t>
      </w:r>
      <w:r>
        <w:rPr>
          <w:rStyle w:val="6"/>
          <w:rFonts w:hint="eastAsia"/>
          <w:b/>
          <w:bCs/>
          <w:sz w:val="24"/>
          <w:szCs w:val="24"/>
          <w:lang w:val="en-US" w:eastAsia="zh-CN"/>
        </w:rPr>
        <w:t>2</w:t>
      </w:r>
      <w:r>
        <w:rPr>
          <w:rStyle w:val="6"/>
          <w:b/>
          <w:bCs/>
          <w:sz w:val="24"/>
          <w:szCs w:val="24"/>
        </w:rPr>
        <w:t>.</w:t>
      </w:r>
      <w:r>
        <w:rPr>
          <w:rStyle w:val="6"/>
          <w:b/>
          <w:sz w:val="24"/>
          <w:szCs w:val="24"/>
        </w:rPr>
        <w:t xml:space="preserve"> The inducible expression of OVA by RE88-pVLT33-OVA. </w:t>
      </w:r>
      <w:r>
        <w:rPr>
          <w:bCs/>
          <w:sz w:val="24"/>
          <w:szCs w:val="24"/>
        </w:rPr>
        <w:t>OVA was engineered into a bacterial expression plasmid (pVLT33), and RE88 cells</w:t>
      </w:r>
      <w:r>
        <w:rPr>
          <w:bCs/>
          <w:iCs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bearing recombinant pVLT33-OVA were induced to express OVA by IPTG. </w:t>
      </w:r>
      <w:r>
        <w:rPr>
          <w:rStyle w:val="6"/>
          <w:sz w:val="24"/>
          <w:szCs w:val="24"/>
        </w:rPr>
        <w:t xml:space="preserve">The RE88 cells were treated with 1 mM IPTG for 0, 1, 3, 5, 7, 9 or 13 hours, and OVA expression in the bacterial lysate was measured by </w:t>
      </w:r>
      <w:r>
        <w:rPr>
          <w:rStyle w:val="6"/>
          <w:rFonts w:hint="eastAsia"/>
          <w:sz w:val="24"/>
          <w:szCs w:val="24"/>
          <w:lang w:val="en-US" w:eastAsia="zh-CN"/>
        </w:rPr>
        <w:t>ELISA</w:t>
      </w:r>
      <w:r>
        <w:rPr>
          <w:rStyle w:val="6"/>
          <w:sz w:val="24"/>
          <w:szCs w:val="24"/>
        </w:rPr>
        <w:t>.</w:t>
      </w:r>
    </w:p>
    <w:p>
      <w:pPr>
        <w:spacing w:line="480" w:lineRule="auto"/>
        <w:rPr>
          <w:rStyle w:val="6"/>
          <w:sz w:val="22"/>
          <w:szCs w:val="22"/>
        </w:rPr>
      </w:pPr>
    </w:p>
    <w:p>
      <w:pPr>
        <w:spacing w:line="480" w:lineRule="auto"/>
        <w:rPr>
          <w:rStyle w:val="6"/>
          <w:sz w:val="22"/>
          <w:szCs w:val="22"/>
        </w:rPr>
      </w:pPr>
    </w:p>
    <w:p>
      <w:pPr>
        <w:spacing w:line="480" w:lineRule="auto"/>
        <w:rPr>
          <w:rStyle w:val="6"/>
          <w:sz w:val="22"/>
          <w:szCs w:val="22"/>
        </w:rPr>
      </w:pPr>
      <w:r>
        <w:rPr>
          <w:rStyle w:val="6"/>
          <w:rFonts w:hint="eastAsia"/>
          <w:sz w:val="22"/>
          <w:szCs w:val="22"/>
          <w:lang w:val="en-US" w:eastAsia="zh-CN"/>
        </w:rPr>
        <w:t xml:space="preserve">             </w:t>
      </w:r>
      <w:r>
        <w:rPr>
          <w:rStyle w:val="6"/>
          <w:rFonts w:hint="eastAsia" w:eastAsia="宋体"/>
          <w:sz w:val="22"/>
          <w:szCs w:val="22"/>
          <w:lang w:eastAsia="zh-CN"/>
        </w:rPr>
        <w:drawing>
          <wp:inline distT="0" distB="0" distL="114300" distR="114300">
            <wp:extent cx="3500120" cy="2771140"/>
            <wp:effectExtent l="0" t="0" r="0" b="0"/>
            <wp:docPr id="2" name="图片 2" descr="Data 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ata S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00120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Style w:val="6"/>
          <w:b/>
          <w:bCs/>
          <w:sz w:val="24"/>
          <w:szCs w:val="24"/>
        </w:rPr>
      </w:pPr>
    </w:p>
    <w:p>
      <w:pPr>
        <w:spacing w:line="480" w:lineRule="auto"/>
        <w:rPr>
          <w:sz w:val="24"/>
          <w:szCs w:val="24"/>
        </w:rPr>
      </w:pPr>
      <w:r>
        <w:rPr>
          <w:rStyle w:val="6"/>
          <w:b/>
          <w:bCs/>
          <w:sz w:val="24"/>
          <w:szCs w:val="24"/>
        </w:rPr>
        <w:t>Fig. S</w:t>
      </w:r>
      <w:r>
        <w:rPr>
          <w:rStyle w:val="6"/>
          <w:rFonts w:hint="eastAsia"/>
          <w:b/>
          <w:bCs/>
          <w:sz w:val="24"/>
          <w:szCs w:val="24"/>
          <w:lang w:val="en-US" w:eastAsia="zh-CN"/>
        </w:rPr>
        <w:t>3</w:t>
      </w:r>
      <w:r>
        <w:rPr>
          <w:rStyle w:val="6"/>
          <w:b/>
          <w:bCs/>
          <w:sz w:val="24"/>
          <w:szCs w:val="24"/>
        </w:rPr>
        <w:t>.</w:t>
      </w:r>
      <w:r>
        <w:rPr>
          <w:rStyle w:val="6"/>
          <w:b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Evaluation of anti-OVA IgG subtypes after subcutaneous vaccination with non-inactivated or </w:t>
      </w:r>
      <w:r>
        <w:rPr>
          <w:rStyle w:val="6"/>
          <w:b/>
          <w:bCs/>
          <w:sz w:val="24"/>
          <w:szCs w:val="24"/>
        </w:rPr>
        <w:t>H</w:t>
      </w:r>
      <w:r>
        <w:rPr>
          <w:rStyle w:val="6"/>
          <w:b/>
          <w:bCs/>
          <w:sz w:val="24"/>
          <w:szCs w:val="24"/>
          <w:vertAlign w:val="subscript"/>
        </w:rPr>
        <w:t>2</w:t>
      </w:r>
      <w:r>
        <w:rPr>
          <w:rStyle w:val="6"/>
          <w:b/>
          <w:bCs/>
          <w:sz w:val="24"/>
          <w:szCs w:val="24"/>
        </w:rPr>
        <w:t>O</w:t>
      </w:r>
      <w:r>
        <w:rPr>
          <w:rStyle w:val="6"/>
          <w:b/>
          <w:bCs/>
          <w:sz w:val="24"/>
          <w:szCs w:val="24"/>
          <w:vertAlign w:val="subscript"/>
        </w:rPr>
        <w:t>2</w:t>
      </w:r>
      <w:r>
        <w:rPr>
          <w:rStyle w:val="6"/>
          <w:b/>
          <w:bCs/>
          <w:sz w:val="24"/>
          <w:szCs w:val="24"/>
        </w:rPr>
        <w:t xml:space="preserve">-inactivated </w:t>
      </w:r>
      <w:r>
        <w:rPr>
          <w:rStyle w:val="6"/>
          <w:b/>
          <w:sz w:val="24"/>
          <w:szCs w:val="24"/>
        </w:rPr>
        <w:t>RE88-pVLT33-OVA</w:t>
      </w:r>
      <w:r>
        <w:rPr>
          <w:b/>
          <w:bCs/>
          <w:sz w:val="24"/>
          <w:szCs w:val="24"/>
        </w:rPr>
        <w:t>.</w:t>
      </w:r>
      <w:r>
        <w:rPr>
          <w:rStyle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Anti-OVA IgG subtypes in mouse serum were measured at 42 days after the first immunization (6 </w:t>
      </w:r>
      <w:r>
        <w:rPr>
          <w:rStyle w:val="6"/>
          <w:sz w:val="24"/>
          <w:szCs w:val="24"/>
        </w:rPr>
        <w:t>independent experiments).</w:t>
      </w:r>
      <w:r>
        <w:rPr>
          <w:sz w:val="24"/>
          <w:szCs w:val="24"/>
        </w:rPr>
        <w:t xml:space="preserve"> SC: subcutaneous vaccination with non-inactivated RE88-pVLT33-OVA; H-SC: subcutaneous vaccination with H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O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-inactivated RE88-pVLT33-OVA.</w:t>
      </w:r>
    </w:p>
    <w:p>
      <w:pPr>
        <w:spacing w:line="480" w:lineRule="auto"/>
        <w:rPr>
          <w:sz w:val="22"/>
          <w:szCs w:val="22"/>
        </w:rPr>
      </w:pPr>
    </w:p>
    <w:p>
      <w:pPr>
        <w:spacing w:line="480" w:lineRule="auto"/>
        <w:ind w:left="-1" w:leftChars="-95" w:hanging="198" w:hangingChars="90"/>
        <w:rPr>
          <w:rStyle w:val="6"/>
          <w:sz w:val="22"/>
          <w:szCs w:val="22"/>
        </w:rPr>
      </w:pPr>
      <w:r>
        <w:rPr>
          <w:rStyle w:val="6"/>
          <w:rFonts w:hint="eastAsia" w:eastAsia="宋体"/>
          <w:sz w:val="22"/>
          <w:szCs w:val="22"/>
          <w:lang w:eastAsia="zh-CN"/>
        </w:rPr>
        <w:drawing>
          <wp:inline distT="0" distB="0" distL="114300" distR="114300">
            <wp:extent cx="5766435" cy="3237230"/>
            <wp:effectExtent l="0" t="0" r="9525" b="8890"/>
            <wp:docPr id="3" name="图片 3" descr="FIG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IGS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6435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Style w:val="6"/>
          <w:b/>
          <w:bCs/>
          <w:sz w:val="24"/>
          <w:szCs w:val="24"/>
        </w:rPr>
      </w:pPr>
    </w:p>
    <w:p>
      <w:pPr>
        <w:spacing w:line="480" w:lineRule="auto"/>
        <w:rPr>
          <w:sz w:val="24"/>
          <w:szCs w:val="24"/>
        </w:rPr>
      </w:pPr>
      <w:r>
        <w:rPr>
          <w:rStyle w:val="6"/>
          <w:b/>
          <w:bCs/>
          <w:sz w:val="24"/>
          <w:szCs w:val="24"/>
        </w:rPr>
        <w:t>Fig. S</w:t>
      </w:r>
      <w:r>
        <w:rPr>
          <w:rStyle w:val="6"/>
          <w:rFonts w:hint="eastAsia"/>
          <w:b/>
          <w:bCs/>
          <w:sz w:val="24"/>
          <w:szCs w:val="24"/>
          <w:lang w:val="en-US" w:eastAsia="zh-CN"/>
        </w:rPr>
        <w:t>4</w:t>
      </w:r>
      <w:r>
        <w:rPr>
          <w:rStyle w:val="6"/>
          <w:b/>
          <w:bCs/>
          <w:sz w:val="24"/>
          <w:szCs w:val="24"/>
        </w:rPr>
        <w:t>.</w:t>
      </w:r>
      <w:r>
        <w:rPr>
          <w:b/>
          <w:bCs/>
          <w:sz w:val="24"/>
          <w:szCs w:val="24"/>
        </w:rPr>
        <w:t xml:space="preserve"> Ability of the neutralizing antibody in mouse serum to bind to the target tumor cells.</w: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  <w:r>
        <w:rPr>
          <w:sz w:val="24"/>
          <w:szCs w:val="24"/>
        </w:rPr>
        <w:t>The mice had been vaccinated intragastrically (H-IG) or subcutaneously (H-SC) with H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O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-inactivated RE88-pVLT33-OVA. Serum dilution: 1:400.</w:t>
      </w:r>
    </w:p>
    <w:p>
      <w:pPr>
        <w:spacing w:line="480" w:lineRule="auto"/>
        <w:rPr>
          <w:rStyle w:val="6"/>
          <w:sz w:val="24"/>
          <w:szCs w:val="24"/>
        </w:rPr>
      </w:pPr>
    </w:p>
    <w:p>
      <w:pPr>
        <w:spacing w:line="480" w:lineRule="auto"/>
        <w:rPr>
          <w:rStyle w:val="6"/>
          <w:sz w:val="22"/>
          <w:szCs w:val="22"/>
        </w:rPr>
      </w:pPr>
    </w:p>
    <w:p>
      <w:pPr>
        <w:spacing w:line="480" w:lineRule="auto"/>
        <w:rPr>
          <w:rStyle w:val="6"/>
          <w:sz w:val="22"/>
          <w:szCs w:val="22"/>
        </w:rPr>
      </w:pPr>
    </w:p>
    <w:p>
      <w:pPr>
        <w:spacing w:line="480" w:lineRule="auto"/>
        <w:rPr>
          <w:rStyle w:val="6"/>
          <w:sz w:val="22"/>
          <w:szCs w:val="22"/>
        </w:rPr>
      </w:pPr>
    </w:p>
    <w:p>
      <w:pPr>
        <w:spacing w:line="480" w:lineRule="auto"/>
        <w:ind w:left="-5" w:leftChars="-200" w:hanging="415" w:hangingChars="189"/>
        <w:rPr>
          <w:rStyle w:val="6"/>
          <w:rFonts w:hint="eastAsia" w:eastAsia="宋体"/>
          <w:sz w:val="22"/>
          <w:szCs w:val="22"/>
          <w:lang w:eastAsia="zh-CN"/>
        </w:rPr>
      </w:pPr>
      <w:r>
        <w:rPr>
          <w:rStyle w:val="6"/>
          <w:rFonts w:hint="eastAsia" w:eastAsia="宋体"/>
          <w:sz w:val="22"/>
          <w:szCs w:val="22"/>
          <w:lang w:eastAsia="zh-CN"/>
        </w:rPr>
        <w:drawing>
          <wp:inline distT="0" distB="0" distL="114300" distR="114300">
            <wp:extent cx="6433185" cy="3498850"/>
            <wp:effectExtent l="0" t="0" r="13335" b="6350"/>
            <wp:docPr id="4" name="图片 4" descr="fig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igS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33185" cy="349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Style w:val="6"/>
          <w:b/>
          <w:bCs/>
          <w:sz w:val="22"/>
          <w:szCs w:val="22"/>
        </w:rPr>
      </w:pPr>
    </w:p>
    <w:p>
      <w:pPr>
        <w:spacing w:line="480" w:lineRule="auto"/>
        <w:rPr>
          <w:rStyle w:val="6"/>
          <w:sz w:val="24"/>
          <w:szCs w:val="24"/>
        </w:rPr>
      </w:pPr>
      <w:r>
        <w:rPr>
          <w:rStyle w:val="6"/>
          <w:b/>
          <w:bCs/>
          <w:sz w:val="24"/>
          <w:szCs w:val="24"/>
        </w:rPr>
        <w:t>Fig. S</w:t>
      </w:r>
      <w:r>
        <w:rPr>
          <w:rStyle w:val="6"/>
          <w:rFonts w:hint="eastAsia"/>
          <w:b/>
          <w:bCs/>
          <w:sz w:val="24"/>
          <w:szCs w:val="24"/>
          <w:lang w:val="en-US" w:eastAsia="zh-CN"/>
        </w:rPr>
        <w:t>5</w:t>
      </w:r>
      <w:r>
        <w:rPr>
          <w:rStyle w:val="6"/>
          <w:b/>
          <w:bCs/>
          <w:sz w:val="24"/>
          <w:szCs w:val="24"/>
        </w:rPr>
        <w:t>. Effects of prophylactic subcutaneous vaccination with H</w:t>
      </w:r>
      <w:r>
        <w:rPr>
          <w:rStyle w:val="6"/>
          <w:b/>
          <w:bCs/>
          <w:sz w:val="24"/>
          <w:szCs w:val="24"/>
          <w:vertAlign w:val="subscript"/>
        </w:rPr>
        <w:t>2</w:t>
      </w:r>
      <w:r>
        <w:rPr>
          <w:rStyle w:val="6"/>
          <w:b/>
          <w:bCs/>
          <w:sz w:val="24"/>
          <w:szCs w:val="24"/>
        </w:rPr>
        <w:t>O</w:t>
      </w:r>
      <w:r>
        <w:rPr>
          <w:rStyle w:val="6"/>
          <w:b/>
          <w:bCs/>
          <w:sz w:val="24"/>
          <w:szCs w:val="24"/>
          <w:vertAlign w:val="subscript"/>
        </w:rPr>
        <w:t>2</w:t>
      </w:r>
      <w:r>
        <w:rPr>
          <w:rStyle w:val="6"/>
          <w:b/>
          <w:bCs/>
          <w:sz w:val="24"/>
          <w:szCs w:val="24"/>
        </w:rPr>
        <w:t>-inactivated RE88-pVLT33-OVA on tumor growth in mice.</w:t>
      </w:r>
      <w:r>
        <w:rPr>
          <w:rStyle w:val="6"/>
          <w:sz w:val="24"/>
          <w:szCs w:val="24"/>
        </w:rPr>
        <w:t xml:space="preserve"> The length and width of the subcutaneous tumor (if detectable) was measured every 3 days following challenge with the tumor, and</w:t>
      </w:r>
      <w:r>
        <w:rPr>
          <w:rStyle w:val="7"/>
          <w:rFonts w:cs="Times New Roman"/>
          <w:sz w:val="24"/>
          <w:szCs w:val="24"/>
        </w:rPr>
        <w:t xml:space="preserve"> tumor volume was calculated as: tumor volume = 0.5 × length (mm) × [width (mm)]</w:t>
      </w:r>
      <w:r>
        <w:rPr>
          <w:rStyle w:val="7"/>
          <w:rFonts w:cs="Times New Roman"/>
          <w:sz w:val="24"/>
          <w:szCs w:val="24"/>
          <w:vertAlign w:val="superscript"/>
        </w:rPr>
        <w:t>2</w:t>
      </w:r>
      <w:r>
        <w:rPr>
          <w:rStyle w:val="6"/>
          <w:sz w:val="24"/>
          <w:szCs w:val="24"/>
        </w:rPr>
        <w:t>. CFU: colony-forming units;</w:t>
      </w:r>
      <w:r>
        <w:rPr>
          <w:rStyle w:val="6"/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NS: normal saline (negative control); RE88: unmodified strain</w:t>
      </w:r>
      <w:bookmarkStart w:id="0" w:name="_GoBack"/>
      <w:bookmarkEnd w:id="0"/>
      <w:r>
        <w:rPr>
          <w:sz w:val="24"/>
          <w:szCs w:val="24"/>
        </w:rPr>
        <w:t>; RE88OVA:</w:t>
      </w:r>
      <w:r>
        <w:rPr>
          <w:rStyle w:val="6"/>
          <w:sz w:val="24"/>
          <w:szCs w:val="24"/>
        </w:rPr>
        <w:t xml:space="preserve"> H</w:t>
      </w:r>
      <w:r>
        <w:rPr>
          <w:rStyle w:val="6"/>
          <w:sz w:val="24"/>
          <w:szCs w:val="24"/>
          <w:vertAlign w:val="subscript"/>
        </w:rPr>
        <w:t>2</w:t>
      </w:r>
      <w:r>
        <w:rPr>
          <w:rStyle w:val="6"/>
          <w:sz w:val="24"/>
          <w:szCs w:val="24"/>
        </w:rPr>
        <w:t>O</w:t>
      </w:r>
      <w:r>
        <w:rPr>
          <w:rStyle w:val="6"/>
          <w:sz w:val="24"/>
          <w:szCs w:val="24"/>
          <w:vertAlign w:val="subscript"/>
        </w:rPr>
        <w:t>2</w:t>
      </w:r>
      <w:r>
        <w:rPr>
          <w:rStyle w:val="6"/>
          <w:sz w:val="24"/>
          <w:szCs w:val="24"/>
        </w:rPr>
        <w:t>-inactivated RE88-pVLT33-OVA;</w:t>
      </w:r>
      <w:r>
        <w:rPr>
          <w:sz w:val="24"/>
          <w:szCs w:val="24"/>
        </w:rPr>
        <w:t xml:space="preserve"> OVA-10 µg (positive control).</w:t>
      </w:r>
    </w:p>
    <w:p/>
    <w:sectPr>
      <w:footerReference r:id="rId3" w:type="default"/>
      <w:pgSz w:w="11906" w:h="16838"/>
      <w:pgMar w:top="1418" w:right="1418" w:bottom="1418" w:left="1418" w:header="851" w:footer="992" w:gutter="0"/>
      <w:lnNumType w:countBy="1" w:restart="continuous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619383022"/>
      <w:docPartObj>
        <w:docPartGallery w:val="autotext"/>
      </w:docPartObj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22265EB"/>
    <w:rsid w:val="182C046B"/>
    <w:rsid w:val="25D2751D"/>
    <w:rsid w:val="2A990AD3"/>
    <w:rsid w:val="4EDA6B66"/>
    <w:rsid w:val="615661FC"/>
    <w:rsid w:val="65ED5A5C"/>
    <w:rsid w:val="68B92CBE"/>
    <w:rsid w:val="6B1C6C80"/>
    <w:rsid w:val="70283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</w:pPr>
    <w:rPr>
      <w:rFonts w:ascii="Times New Roman" w:hAnsi="Times New Roman" w:eastAsia="宋体" w:cs="Times New Roman"/>
      <w:sz w:val="21"/>
      <w:szCs w:val="21"/>
      <w:lang w:val="en-US" w:eastAsia="zh-CN" w:bidi="ar-SA"/>
    </w:rPr>
  </w:style>
  <w:style w:type="paragraph" w:styleId="2">
    <w:name w:val="heading 4"/>
    <w:basedOn w:val="1"/>
    <w:next w:val="1"/>
    <w:link w:val="7"/>
    <w:unhideWhenUsed/>
    <w:qFormat/>
    <w:uiPriority w:val="9"/>
    <w:pPr>
      <w:keepNext/>
      <w:keepLines/>
      <w:widowControl w:val="0"/>
      <w:spacing w:before="280" w:after="290" w:line="400" w:lineRule="exact"/>
      <w:outlineLvl w:val="3"/>
    </w:pPr>
    <w:rPr>
      <w:rFonts w:eastAsia="楷体" w:cstheme="majorBidi"/>
      <w:bCs/>
      <w:kern w:val="2"/>
      <w:sz w:val="24"/>
      <w:szCs w:val="28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nhideWhenUsed/>
    <w:qFormat/>
    <w:uiPriority w:val="99"/>
    <w:pPr>
      <w:widowControl w:val="0"/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6">
    <w:name w:val="translated-span"/>
    <w:basedOn w:val="5"/>
    <w:qFormat/>
    <w:uiPriority w:val="0"/>
  </w:style>
  <w:style w:type="character" w:customStyle="1" w:styleId="7">
    <w:name w:val="标题 4 Char"/>
    <w:basedOn w:val="5"/>
    <w:link w:val="2"/>
    <w:qFormat/>
    <w:uiPriority w:val="9"/>
    <w:rPr>
      <w:rFonts w:eastAsia="楷体" w:cstheme="majorBidi"/>
      <w:bCs/>
      <w:kern w:val="2"/>
      <w:sz w:val="24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tiff"/><Relationship Id="rId8" Type="http://schemas.openxmlformats.org/officeDocument/2006/relationships/image" Target="media/image3.tiff"/><Relationship Id="rId7" Type="http://schemas.openxmlformats.org/officeDocument/2006/relationships/image" Target="media/image2.tiff"/><Relationship Id="rId6" Type="http://schemas.openxmlformats.org/officeDocument/2006/relationships/image" Target="media/image1.tiff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2020-10-18T05:35:00Z</dcterms:created>
  <dc:creator>Nancy</dc:creator>
  <cp:lastModifiedBy>Nancy</cp:lastModifiedBy>
  <dcterms:modified xsi:type="dcterms:W3CDTF">2020-11-19T15:50:10Z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