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B515" w14:textId="77777777" w:rsidR="007C729B" w:rsidRDefault="007C729B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</w:p>
    <w:p w14:paraId="620CC7CF" w14:textId="77777777" w:rsidR="007C729B" w:rsidRDefault="0010098B">
      <w:pPr>
        <w:adjustRightInd w:val="0"/>
        <w:snapToGrid w:val="0"/>
        <w:rPr>
          <w:rFonts w:ascii="Arial" w:eastAsia="SimSun" w:hAnsi="Arial" w:cs="Arial"/>
          <w:kern w:val="0"/>
          <w:sz w:val="21"/>
          <w:lang w:eastAsia="en-US"/>
        </w:rPr>
      </w:pPr>
      <w:r>
        <w:rPr>
          <w:rFonts w:ascii="Arial" w:eastAsia="SimSun" w:hAnsi="Arial" w:cs="Arial"/>
          <w:b/>
          <w:bCs/>
          <w:kern w:val="0"/>
          <w:sz w:val="21"/>
          <w:lang w:eastAsia="en-US"/>
        </w:rPr>
        <w:t>Supplementary Figure S1</w:t>
      </w:r>
      <w:r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  <w:t xml:space="preserve"> </w:t>
      </w:r>
      <w:r>
        <w:rPr>
          <w:rFonts w:ascii="Arial" w:eastAsia="SimSun" w:hAnsi="Arial" w:cs="Arial"/>
          <w:kern w:val="0"/>
          <w:sz w:val="21"/>
          <w:lang w:eastAsia="en-US"/>
        </w:rPr>
        <w:t>Decrease in DAS28-ESR in MTX+HCQ and MTX+LEF after propensity score matching over 24 months.</w:t>
      </w:r>
    </w:p>
    <w:p w14:paraId="1F5A4098" w14:textId="77777777" w:rsidR="007C729B" w:rsidRDefault="007C729B">
      <w:pPr>
        <w:adjustRightInd w:val="0"/>
        <w:snapToGrid w:val="0"/>
        <w:jc w:val="center"/>
      </w:pPr>
    </w:p>
    <w:p w14:paraId="646CCC60" w14:textId="5633712A" w:rsidR="007C729B" w:rsidRDefault="0010098B">
      <w:pPr>
        <w:adjustRightInd w:val="0"/>
        <w:snapToGrid w:val="0"/>
        <w:jc w:val="center"/>
      </w:pPr>
      <w:r>
        <w:rPr>
          <w:noProof/>
        </w:rPr>
        <w:drawing>
          <wp:inline distT="0" distB="0" distL="114300" distR="114300" wp14:anchorId="0E894D4D" wp14:editId="22289157">
            <wp:extent cx="5270500" cy="352382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71D1" w14:textId="77777777" w:rsidR="007C729B" w:rsidRDefault="007C729B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</w:p>
    <w:p w14:paraId="47233BE5" w14:textId="77777777" w:rsidR="0010098B" w:rsidRPr="0010098B" w:rsidRDefault="0010098B" w:rsidP="0010098B">
      <w:pPr>
        <w:widowControl/>
        <w:jc w:val="left"/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</w:pPr>
      <w:r w:rsidRPr="0010098B"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  <w:t>The solid line represents MTX+HCQ, and dashed line represents MTX+LEF. MTX+HCQ therapy was superior to MTX+LEF therapy (F=4.103, P=0.044).</w:t>
      </w:r>
    </w:p>
    <w:p w14:paraId="57BCE31A" w14:textId="2DBDA0A0" w:rsidR="007C729B" w:rsidRDefault="0010098B" w:rsidP="0010098B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  <w:r w:rsidRPr="0010098B"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  <w:t>DAS28-ESR, disease activity score in 28 joints using erythrocyte sedimentation rate; MTX, methotrexate; HCQ, hydroxychloroquine; LEF, leflunomide</w:t>
      </w:r>
      <w:r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  <w:br w:type="page"/>
      </w:r>
    </w:p>
    <w:p w14:paraId="046131B8" w14:textId="77777777" w:rsidR="007C729B" w:rsidRDefault="0010098B">
      <w:pPr>
        <w:adjustRightInd w:val="0"/>
        <w:snapToGrid w:val="0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  <w:r>
        <w:rPr>
          <w:rFonts w:ascii="Arial" w:eastAsia="SimSun" w:hAnsi="Arial" w:cs="Arial"/>
          <w:b/>
          <w:bCs/>
          <w:kern w:val="0"/>
          <w:sz w:val="21"/>
          <w:lang w:eastAsia="en-US"/>
        </w:rPr>
        <w:lastRenderedPageBreak/>
        <w:t>Supplementary Figure S</w:t>
      </w:r>
      <w:proofErr w:type="gramStart"/>
      <w:r>
        <w:rPr>
          <w:rFonts w:ascii="Arial" w:eastAsia="SimSun" w:hAnsi="Arial" w:cs="Arial"/>
          <w:b/>
          <w:bCs/>
          <w:kern w:val="0"/>
          <w:sz w:val="21"/>
          <w:lang w:eastAsia="en-US"/>
        </w:rPr>
        <w:t>2</w:t>
      </w:r>
      <w:r>
        <w:rPr>
          <w:rFonts w:ascii="Arial" w:eastAsia="SimSun" w:hAnsi="Arial" w:cs="Arial" w:hint="eastAsia"/>
          <w:b/>
          <w:bCs/>
          <w:kern w:val="0"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kern w:val="0"/>
          <w:sz w:val="16"/>
          <w:szCs w:val="16"/>
          <w:lang w:eastAsia="en-US" w:bidi="en-US"/>
        </w:rPr>
        <w:t xml:space="preserve"> </w:t>
      </w:r>
      <w:r>
        <w:rPr>
          <w:rFonts w:ascii="Arial" w:eastAsia="SimSun" w:hAnsi="Arial" w:cs="Arial"/>
          <w:kern w:val="0"/>
          <w:sz w:val="21"/>
          <w:lang w:eastAsia="en-US"/>
        </w:rPr>
        <w:t>Cost</w:t>
      </w:r>
      <w:proofErr w:type="gramEnd"/>
      <w:r>
        <w:rPr>
          <w:rFonts w:ascii="Arial" w:eastAsia="SimSun" w:hAnsi="Arial" w:cs="Arial"/>
          <w:kern w:val="0"/>
          <w:sz w:val="21"/>
          <w:lang w:eastAsia="en-US"/>
        </w:rPr>
        <w:t xml:space="preserve">-effectiveness acceptability curves of 2 </w:t>
      </w:r>
      <w:r>
        <w:rPr>
          <w:rFonts w:ascii="Arial" w:eastAsia="SimSun" w:hAnsi="Arial" w:cs="Arial"/>
          <w:kern w:val="0"/>
          <w:sz w:val="21"/>
          <w:lang w:eastAsia="en-US"/>
        </w:rPr>
        <w:t>strategies.</w:t>
      </w:r>
    </w:p>
    <w:p w14:paraId="1FBD138C" w14:textId="77777777" w:rsidR="007C729B" w:rsidRDefault="007C729B">
      <w:pPr>
        <w:adjustRightInd w:val="0"/>
        <w:snapToGrid w:val="0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</w:p>
    <w:p w14:paraId="33A3A213" w14:textId="77777777" w:rsidR="007C729B" w:rsidRDefault="0010098B">
      <w:pPr>
        <w:adjustRightInd w:val="0"/>
        <w:snapToGrid w:val="0"/>
        <w:rPr>
          <w:rFonts w:ascii="Times New Roman" w:hAnsi="Times New Roman" w:cs="Times New Roman"/>
          <w:color w:val="000000" w:themeColor="text1"/>
          <w:kern w:val="0"/>
          <w:sz w:val="21"/>
          <w:szCs w:val="21"/>
        </w:rPr>
      </w:pPr>
      <w:r>
        <w:rPr>
          <w:noProof/>
        </w:rPr>
        <w:drawing>
          <wp:inline distT="0" distB="0" distL="114300" distR="114300" wp14:anchorId="0110D816" wp14:editId="7E3E75AB">
            <wp:extent cx="5266690" cy="3394710"/>
            <wp:effectExtent l="0" t="0" r="63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7FEE" w14:textId="77777777" w:rsidR="007C729B" w:rsidRDefault="0010098B">
      <w:pPr>
        <w:adjustRightInd w:val="0"/>
        <w:snapToGrid w:val="0"/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</w:pPr>
      <w:r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  <w:t>The small squares connected by the line represents the MTX+HCQ group, and the small triangles connected by the line represents the MTX+LEF group.</w:t>
      </w:r>
    </w:p>
    <w:p w14:paraId="7A719CCF" w14:textId="77777777" w:rsidR="007C729B" w:rsidRDefault="0010098B">
      <w:pPr>
        <w:adjustRightInd w:val="0"/>
        <w:snapToGrid w:val="0"/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</w:pPr>
      <w:r>
        <w:rPr>
          <w:rFonts w:ascii="Arial" w:eastAsia="Times New Roman" w:hAnsi="Arial" w:cs="Arial"/>
          <w:color w:val="231F20"/>
          <w:kern w:val="0"/>
          <w:sz w:val="16"/>
          <w:szCs w:val="16"/>
          <w:lang w:eastAsia="en-US" w:bidi="en-US"/>
        </w:rPr>
        <w:t>MTX, methotrexate; HCQ, hydroxychloroquine; LEF, leflunomide</w:t>
      </w:r>
    </w:p>
    <w:p w14:paraId="739998BF" w14:textId="77777777" w:rsidR="007C729B" w:rsidRDefault="007C729B">
      <w:pPr>
        <w:rPr>
          <w:sz w:val="21"/>
          <w:szCs w:val="21"/>
        </w:rPr>
      </w:pPr>
    </w:p>
    <w:p w14:paraId="6685D8C9" w14:textId="77777777" w:rsidR="007C729B" w:rsidRDefault="007C729B">
      <w:pPr>
        <w:rPr>
          <w:sz w:val="21"/>
          <w:szCs w:val="21"/>
        </w:rPr>
      </w:pPr>
    </w:p>
    <w:p w14:paraId="37DA8B89" w14:textId="77777777" w:rsidR="007C729B" w:rsidRDefault="007C729B">
      <w:pPr>
        <w:rPr>
          <w:sz w:val="21"/>
          <w:szCs w:val="21"/>
        </w:rPr>
      </w:pPr>
    </w:p>
    <w:sectPr w:rsidR="007C72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EE"/>
    <w:rsid w:val="00043DF5"/>
    <w:rsid w:val="000A2D74"/>
    <w:rsid w:val="0010098B"/>
    <w:rsid w:val="001461A5"/>
    <w:rsid w:val="001913F2"/>
    <w:rsid w:val="001D2A4F"/>
    <w:rsid w:val="001D3BC2"/>
    <w:rsid w:val="001D470F"/>
    <w:rsid w:val="002012D3"/>
    <w:rsid w:val="002102F7"/>
    <w:rsid w:val="00215E29"/>
    <w:rsid w:val="00280199"/>
    <w:rsid w:val="002C59D8"/>
    <w:rsid w:val="002D5007"/>
    <w:rsid w:val="00392BDD"/>
    <w:rsid w:val="0041262E"/>
    <w:rsid w:val="00473D7F"/>
    <w:rsid w:val="004D3ECB"/>
    <w:rsid w:val="00502A85"/>
    <w:rsid w:val="00582DAB"/>
    <w:rsid w:val="005F4E1E"/>
    <w:rsid w:val="00617683"/>
    <w:rsid w:val="00631986"/>
    <w:rsid w:val="0063218A"/>
    <w:rsid w:val="00633E42"/>
    <w:rsid w:val="006B6ED3"/>
    <w:rsid w:val="006F1A76"/>
    <w:rsid w:val="00767E4A"/>
    <w:rsid w:val="007B4E83"/>
    <w:rsid w:val="007C729B"/>
    <w:rsid w:val="00845D40"/>
    <w:rsid w:val="00857D00"/>
    <w:rsid w:val="008E4F18"/>
    <w:rsid w:val="008E55DE"/>
    <w:rsid w:val="00900610"/>
    <w:rsid w:val="00903D26"/>
    <w:rsid w:val="009718F4"/>
    <w:rsid w:val="009A2878"/>
    <w:rsid w:val="009B384A"/>
    <w:rsid w:val="00A5194B"/>
    <w:rsid w:val="00AA5501"/>
    <w:rsid w:val="00AF26BB"/>
    <w:rsid w:val="00B25578"/>
    <w:rsid w:val="00B63D6F"/>
    <w:rsid w:val="00BE10DD"/>
    <w:rsid w:val="00C04EAC"/>
    <w:rsid w:val="00C17995"/>
    <w:rsid w:val="00CD0BD3"/>
    <w:rsid w:val="00CF13EE"/>
    <w:rsid w:val="00D170FD"/>
    <w:rsid w:val="00D23068"/>
    <w:rsid w:val="00D30923"/>
    <w:rsid w:val="00E13FBB"/>
    <w:rsid w:val="00E62E15"/>
    <w:rsid w:val="00EA04AF"/>
    <w:rsid w:val="00EB271F"/>
    <w:rsid w:val="00F056C9"/>
    <w:rsid w:val="00F15F19"/>
    <w:rsid w:val="00F76BD4"/>
    <w:rsid w:val="00F97809"/>
    <w:rsid w:val="00FB1115"/>
    <w:rsid w:val="02E32B90"/>
    <w:rsid w:val="29C83636"/>
    <w:rsid w:val="754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1042"/>
  <w15:docId w15:val="{E98F8CAA-0A46-4F30-8CFE-BD2CC70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imSun"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/>
      <w:sz w:val="18"/>
      <w:szCs w:val="18"/>
    </w:rPr>
  </w:style>
  <w:style w:type="table" w:customStyle="1" w:styleId="3">
    <w:name w:val="网格型3"/>
    <w:basedOn w:val="TableNormal"/>
    <w:uiPriority w:val="39"/>
    <w:qFormat/>
    <w:rPr>
      <w:rFonts w:ascii="DengXian" w:eastAsia="DengXian" w:hAnsi="DengXi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85"/>
      <w:jc w:val="left"/>
    </w:pPr>
    <w:rPr>
      <w:rFonts w:ascii="Century Gothic" w:eastAsia="Century Gothic" w:hAnsi="Century Gothic" w:cs="Century Gothic"/>
      <w:kern w:val="0"/>
      <w:sz w:val="22"/>
      <w:szCs w:val="22"/>
      <w:lang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6A9CBB-5478-7A45-B005-EA9CD69B866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Boon Lee</cp:lastModifiedBy>
  <cp:revision>2</cp:revision>
  <dcterms:created xsi:type="dcterms:W3CDTF">2020-12-13T23:56:00Z</dcterms:created>
  <dcterms:modified xsi:type="dcterms:W3CDTF">2020-12-13T23:56:00Z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