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983" w:rsidRDefault="00791983" w:rsidP="007919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Supplementary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Table 1: Description of simplified pharmacogenomics phenotypes used in the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8"/>
        <w:gridCol w:w="1695"/>
        <w:gridCol w:w="1583"/>
      </w:tblGrid>
      <w:tr w:rsidR="00791983" w:rsidTr="00FF070D">
        <w:trPr>
          <w:trHeight w:val="771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Simplified categories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Overall cohort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(N=10078)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CYP3A5 Phenotype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Intermediate metabolizer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1318 (13.1%)</w:t>
            </w:r>
          </w:p>
        </w:tc>
      </w:tr>
      <w:tr w:rsidR="00791983" w:rsidTr="00FF070D">
        <w:trPr>
          <w:trHeight w:val="161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Intermediate to normal (extensive) metabolizer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(0.0%)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Normal (extensive) metabolizer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(0.7%)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Poor to intermediate metabolizer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(0.1%)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Poor metabolizer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Slow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8628 (86.0%)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CYP2D6 Phenotype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Intermediate metabolizer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3232 (32.2%)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Normal (extensive) metabolizer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3082 (30.7%)</w:t>
            </w:r>
          </w:p>
        </w:tc>
      </w:tr>
      <w:tr w:rsidR="00791983" w:rsidTr="00FF070D">
        <w:trPr>
          <w:trHeight w:val="296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Intermediate to normal (extensive) metabolizer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 (19.6%)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Intermediate to rapid metabolizer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Fast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(0.0%)</w:t>
            </w:r>
          </w:p>
        </w:tc>
      </w:tr>
      <w:tr w:rsidR="00791983" w:rsidTr="00FF070D">
        <w:trPr>
          <w:trHeight w:val="269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Intermediate to </w:t>
            </w:r>
            <w:proofErr w:type="spellStart"/>
            <w:r>
              <w:rPr>
                <w:rFonts w:ascii="Times New Roman" w:hAnsi="Times New Roman" w:cs="Times New Roman"/>
              </w:rPr>
              <w:t>ultrarapid</w:t>
            </w:r>
            <w:proofErr w:type="spellEnd"/>
            <w:r>
              <w:rPr>
                <w:rFonts w:ascii="Times New Roman" w:hAnsi="Times New Roman" w:cs="Times New Roman"/>
              </w:rPr>
              <w:t xml:space="preserve"> metabolizer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Fast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(0.0%)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Rapid metabolizer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Fast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 (1.3%)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Ultrarapid</w:t>
            </w:r>
            <w:proofErr w:type="spellEnd"/>
            <w:r>
              <w:rPr>
                <w:rFonts w:ascii="Times New Roman" w:hAnsi="Times New Roman" w:cs="Times New Roman"/>
              </w:rPr>
              <w:t xml:space="preserve"> metabolizer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Fast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 (0.8%)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Poor metabolizer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Slow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 (6.9%)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Poor to intermediate metabolizer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Slow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 (8.0%)</w:t>
            </w:r>
          </w:p>
        </w:tc>
      </w:tr>
      <w:tr w:rsidR="00791983" w:rsidTr="00FF070D">
        <w:trPr>
          <w:trHeight w:val="179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Poor to normal (extensive) metabolizer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Slow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(0.4%)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HLA-B 5701 Phenotype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791983" w:rsidTr="00FF070D">
        <w:trPr>
          <w:trHeight w:val="278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No increased risk of </w:t>
            </w:r>
            <w:proofErr w:type="spellStart"/>
            <w:r>
              <w:rPr>
                <w:rFonts w:ascii="Times New Roman" w:hAnsi="Times New Roman" w:cs="Times New Roman"/>
              </w:rPr>
              <w:t>abacavir</w:t>
            </w:r>
            <w:proofErr w:type="spellEnd"/>
            <w:r>
              <w:rPr>
                <w:rFonts w:ascii="Times New Roman" w:hAnsi="Times New Roman" w:cs="Times New Roman"/>
              </w:rPr>
              <w:t xml:space="preserve"> hypersensitivity reaction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9406 (93.8%)</w:t>
            </w:r>
          </w:p>
        </w:tc>
      </w:tr>
      <w:tr w:rsidR="00791983" w:rsidTr="00FF070D">
        <w:trPr>
          <w:trHeight w:val="269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Significant risk of </w:t>
            </w:r>
            <w:proofErr w:type="spellStart"/>
            <w:r>
              <w:rPr>
                <w:rFonts w:ascii="Times New Roman" w:hAnsi="Times New Roman" w:cs="Times New Roman"/>
              </w:rPr>
              <w:t>abacavir</w:t>
            </w:r>
            <w:proofErr w:type="spellEnd"/>
            <w:r>
              <w:rPr>
                <w:rFonts w:ascii="Times New Roman" w:hAnsi="Times New Roman" w:cs="Times New Roman"/>
              </w:rPr>
              <w:t xml:space="preserve"> hypersensitivity reactions 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Slow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 (6.2%)</w:t>
            </w:r>
          </w:p>
        </w:tc>
      </w:tr>
      <w:tr w:rsidR="00791983" w:rsidTr="00FF070D">
        <w:trPr>
          <w:trHeight w:val="260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HLA-B 1502 HLA-A 3101 Phenotype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791983" w:rsidTr="00FF070D">
        <w:trPr>
          <w:trHeight w:val="260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No increased risk for a hypersensitivity reaction to carbamazepine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9436 (94.1%)</w:t>
            </w:r>
          </w:p>
        </w:tc>
      </w:tr>
      <w:tr w:rsidR="00791983" w:rsidTr="00FF070D">
        <w:trPr>
          <w:trHeight w:val="260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Significant risk for a hypersensitivity reaction to carbamazepine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Slow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 (5.9%)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SLCO1B1 Phenotype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Normal function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6283 (62.6%)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Decreased function (1/21)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Slow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 (6.1%)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Decreased function (1/5 or 1/15)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Slow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2279 (22.7%)</w:t>
            </w:r>
          </w:p>
        </w:tc>
      </w:tr>
      <w:tr w:rsidR="00791983" w:rsidTr="00FF070D">
        <w:trPr>
          <w:trHeight w:val="188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Decreased to poor function (1/17, 5/21, or 15/21)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Slow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 (4.2%)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Poor function (17/17)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Slow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(0.1%)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Poor function (17/21)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Slow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(0.2%)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Poor function (21/21)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Slow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(0.2%)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Poor function (5/17 or 15/17)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Slow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(0.7%)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Poor function (5/5 or 15/15)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Slow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 (1.8%)</w:t>
            </w:r>
          </w:p>
        </w:tc>
      </w:tr>
      <w:tr w:rsidR="00791983" w:rsidTr="00FF070D">
        <w:trPr>
          <w:trHeight w:val="21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Possible increased risk of simvastatin myopathy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Fast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 (1.0%)</w:t>
            </w:r>
          </w:p>
        </w:tc>
      </w:tr>
      <w:tr w:rsidR="00791983" w:rsidTr="00FF070D">
        <w:trPr>
          <w:trHeight w:val="233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Increased risk of simvastatin myopathy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Fast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(0.4%)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CYP2C9 Phenotype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Intermediate metabolizer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1277 (12.7%)</w:t>
            </w:r>
          </w:p>
        </w:tc>
      </w:tr>
      <w:tr w:rsidR="00791983" w:rsidTr="00FF070D">
        <w:trPr>
          <w:trHeight w:val="242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Intermediate to normal (extensive) metabolizer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2084 (20.8%)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Normal (extensive) metabolizer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6415 (64.0%)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Poor metabolizer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Slow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(0.4%)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Poor to intermediate metabolizer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Slow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 (1.9%)</w:t>
            </w:r>
          </w:p>
        </w:tc>
      </w:tr>
      <w:tr w:rsidR="00791983" w:rsidTr="00FF070D">
        <w:trPr>
          <w:trHeight w:val="188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Poor to normal (extensive) metabolizer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Slow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(0.2%)</w:t>
            </w:r>
          </w:p>
        </w:tc>
      </w:tr>
      <w:tr w:rsidR="00791983" w:rsidTr="00FF070D">
        <w:trPr>
          <w:trHeight w:val="80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Variable. Range: Intermediate metabolizer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Slow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(0.0%)</w:t>
            </w:r>
          </w:p>
        </w:tc>
      </w:tr>
      <w:tr w:rsidR="00791983" w:rsidTr="00FF070D">
        <w:trPr>
          <w:trHeight w:val="260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Variable. Range: Intermediate to normal (extensive) metabolizer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Slow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(0.1%)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CYP2C19 Phenotype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Intermediate metabolizer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1922 (19.2%)</w:t>
            </w:r>
          </w:p>
        </w:tc>
      </w:tr>
      <w:tr w:rsidR="00791983" w:rsidTr="00FF070D">
        <w:trPr>
          <w:trHeight w:val="89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Intermediate to normal (extensive) metabolizer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 (6.7%)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Intermediate to rapid metabolizer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(0.3%)</w:t>
            </w:r>
          </w:p>
        </w:tc>
      </w:tr>
      <w:tr w:rsidR="00791983" w:rsidTr="00FF070D">
        <w:trPr>
          <w:trHeight w:val="278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Intermediate to </w:t>
            </w:r>
            <w:proofErr w:type="spellStart"/>
            <w:r>
              <w:rPr>
                <w:rFonts w:ascii="Times New Roman" w:hAnsi="Times New Roman" w:cs="Times New Roman"/>
              </w:rPr>
              <w:t>ultrarapid</w:t>
            </w:r>
            <w:proofErr w:type="spellEnd"/>
            <w:r>
              <w:rPr>
                <w:rFonts w:ascii="Times New Roman" w:hAnsi="Times New Roman" w:cs="Times New Roman"/>
              </w:rPr>
              <w:t xml:space="preserve"> metabolizer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(0.0%)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Normal (extensive) metabolizer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3950 (39.4%)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Poor metabolizer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Slow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 (2.2%)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Poor to intermediate metabolizer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Slow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(0.3%)</w:t>
            </w:r>
          </w:p>
        </w:tc>
      </w:tr>
      <w:tr w:rsidR="00791983" w:rsidTr="00FF070D">
        <w:trPr>
          <w:trHeight w:val="197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Poor to normal (extensive) metabolizer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Slow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(0.1%)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Rapid metabolizer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Fast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2711 (27.0%)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Ultrarapid</w:t>
            </w:r>
            <w:proofErr w:type="spellEnd"/>
            <w:r>
              <w:rPr>
                <w:rFonts w:ascii="Times New Roman" w:hAnsi="Times New Roman" w:cs="Times New Roman"/>
              </w:rPr>
              <w:t xml:space="preserve"> metabolizer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Fast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 (4.8%)</w:t>
            </w:r>
          </w:p>
        </w:tc>
      </w:tr>
      <w:tr w:rsidR="00791983" w:rsidTr="00FF070D">
        <w:trPr>
          <w:trHeight w:val="116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DPYD </w:t>
            </w:r>
            <w:r w:rsidRPr="00586E6B">
              <w:rPr>
                <w:rFonts w:ascii="Times New Roman" w:hAnsi="Times New Roman" w:cs="Times New Roman"/>
                <w:b/>
                <w:bCs/>
              </w:rPr>
              <w:t xml:space="preserve">CPIC </w:t>
            </w:r>
            <w:proofErr w:type="gramStart"/>
            <w:r w:rsidRPr="00586E6B">
              <w:rPr>
                <w:rFonts w:ascii="Times New Roman" w:hAnsi="Times New Roman" w:cs="Times New Roman"/>
                <w:b/>
                <w:bCs/>
              </w:rPr>
              <w:t>categorization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 xml:space="preserve"> N (%)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9410 (93.4%)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1.5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 (5.5%)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695" w:type="dxa"/>
          </w:tcPr>
          <w:p w:rsidR="00791983" w:rsidDel="00586E6B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3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 (1.1%)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0.5</w:t>
            </w:r>
          </w:p>
        </w:tc>
        <w:tc>
          <w:tcPr>
            <w:tcW w:w="1695" w:type="dxa"/>
          </w:tcPr>
          <w:p w:rsidR="00791983" w:rsidDel="00586E6B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Poor</w:t>
            </w:r>
          </w:p>
        </w:tc>
        <w:tc>
          <w:tcPr>
            <w:tcW w:w="1583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(0.0%)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0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Poor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(6.6%)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HLA-B 5801 Phenotype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791983" w:rsidTr="00FF070D">
        <w:trPr>
          <w:trHeight w:val="260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No increased risk of allopurinol hypersensitivity reaction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9892 (98.6%)</w:t>
            </w:r>
          </w:p>
        </w:tc>
      </w:tr>
      <w:tr w:rsidR="00791983" w:rsidTr="00FF070D">
        <w:trPr>
          <w:trHeight w:val="251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Significant risk of allopurinol hypersensitivity syndrome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 (1.4%)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TPMT Phenotype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Intermediate metabolizer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 (9.3%)</w:t>
            </w:r>
          </w:p>
        </w:tc>
      </w:tr>
      <w:tr w:rsidR="00791983" w:rsidTr="00FF070D">
        <w:trPr>
          <w:trHeight w:val="188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Intermediate to normal metabolizer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(0.2%)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Normal metabolizer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9041 (90.1%)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Poor metabolizer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Slow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(0.3%)</w:t>
            </w:r>
          </w:p>
        </w:tc>
      </w:tr>
      <w:tr w:rsidR="00791983" w:rsidTr="00FF070D">
        <w:trPr>
          <w:trHeight w:val="255"/>
        </w:trPr>
        <w:tc>
          <w:tcPr>
            <w:tcW w:w="6298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Poor to intermediate metabolizer</w:t>
            </w:r>
          </w:p>
        </w:tc>
        <w:tc>
          <w:tcPr>
            <w:tcW w:w="1695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Slow</w:t>
            </w:r>
          </w:p>
        </w:tc>
        <w:tc>
          <w:tcPr>
            <w:tcW w:w="1583" w:type="dxa"/>
            <w:hideMark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(0.0%)</w:t>
            </w:r>
          </w:p>
        </w:tc>
      </w:tr>
    </w:tbl>
    <w:p w:rsidR="00791983" w:rsidRDefault="00791983" w:rsidP="007919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91983" w:rsidRDefault="00791983" w:rsidP="007919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Supplementary Table 2: Association of 10 selected pharmacogenomics phenotypes with the degree of disease burden and gender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890"/>
        <w:gridCol w:w="900"/>
        <w:gridCol w:w="1710"/>
        <w:gridCol w:w="1620"/>
        <w:gridCol w:w="922"/>
      </w:tblGrid>
      <w:tr w:rsidR="00791983" w:rsidTr="00FF070D">
        <w:tc>
          <w:tcPr>
            <w:tcW w:w="2178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gridSpan w:val="2"/>
          </w:tcPr>
          <w:p w:rsidR="00791983" w:rsidRDefault="00791983" w:rsidP="00FF0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Disease burden</w:t>
            </w:r>
          </w:p>
        </w:tc>
        <w:tc>
          <w:tcPr>
            <w:tcW w:w="4252" w:type="dxa"/>
            <w:gridSpan w:val="3"/>
          </w:tcPr>
          <w:p w:rsidR="00791983" w:rsidRDefault="00791983" w:rsidP="00FF0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</w:t>
            </w:r>
          </w:p>
        </w:tc>
      </w:tr>
      <w:tr w:rsidR="00791983" w:rsidTr="00FF070D">
        <w:tc>
          <w:tcPr>
            <w:tcW w:w="2178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791983" w:rsidRDefault="00791983" w:rsidP="00FF0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Median </w:t>
            </w:r>
          </w:p>
          <w:p w:rsidR="00791983" w:rsidRDefault="00791983" w:rsidP="00FF0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</w:t>
            </w:r>
            <w:r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– 75</w:t>
            </w:r>
            <w:r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%tiles)</w:t>
            </w:r>
          </w:p>
        </w:tc>
        <w:tc>
          <w:tcPr>
            <w:tcW w:w="900" w:type="dxa"/>
          </w:tcPr>
          <w:p w:rsidR="00791983" w:rsidRDefault="00791983" w:rsidP="00FF0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P-values</w:t>
            </w:r>
          </w:p>
        </w:tc>
        <w:tc>
          <w:tcPr>
            <w:tcW w:w="1710" w:type="dxa"/>
          </w:tcPr>
          <w:p w:rsidR="00791983" w:rsidRDefault="00791983" w:rsidP="00FF0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Female, </w:t>
            </w:r>
          </w:p>
          <w:p w:rsidR="00791983" w:rsidRDefault="00791983" w:rsidP="00FF0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620" w:type="dxa"/>
          </w:tcPr>
          <w:p w:rsidR="00791983" w:rsidRDefault="00791983" w:rsidP="00FF0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Male, </w:t>
            </w:r>
          </w:p>
          <w:p w:rsidR="00791983" w:rsidRDefault="00791983" w:rsidP="00FF0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922" w:type="dxa"/>
          </w:tcPr>
          <w:p w:rsidR="00791983" w:rsidRDefault="00791983" w:rsidP="00FF0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P-values</w:t>
            </w:r>
          </w:p>
        </w:tc>
      </w:tr>
      <w:tr w:rsidR="00791983" w:rsidTr="00FF070D">
        <w:tc>
          <w:tcPr>
            <w:tcW w:w="2178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CYP2C9, N (%)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Normal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Slow</w:t>
            </w:r>
          </w:p>
        </w:tc>
        <w:tc>
          <w:tcPr>
            <w:tcW w:w="189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(3, 7)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(3, 7)</w:t>
            </w:r>
          </w:p>
        </w:tc>
        <w:tc>
          <w:tcPr>
            <w:tcW w:w="90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171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5965 (97.7%)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 (2.3%)</w:t>
            </w:r>
          </w:p>
        </w:tc>
        <w:tc>
          <w:tcPr>
            <w:tcW w:w="162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3811 (97.1%)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 (2.9%)</w:t>
            </w:r>
          </w:p>
        </w:tc>
        <w:tc>
          <w:tcPr>
            <w:tcW w:w="922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</w:t>
            </w:r>
          </w:p>
        </w:tc>
      </w:tr>
      <w:tr w:rsidR="00791983" w:rsidTr="00FF070D">
        <w:tc>
          <w:tcPr>
            <w:tcW w:w="2178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CYP2C19, N (%)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Normal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Fast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Slow</w:t>
            </w:r>
          </w:p>
        </w:tc>
        <w:tc>
          <w:tcPr>
            <w:tcW w:w="189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(3, 7)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(3, 7)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(3, 7)</w:t>
            </w:r>
          </w:p>
        </w:tc>
        <w:tc>
          <w:tcPr>
            <w:tcW w:w="90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</w:t>
            </w:r>
          </w:p>
        </w:tc>
        <w:tc>
          <w:tcPr>
            <w:tcW w:w="171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3997 (65.5%)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 (31.9%)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 (2.6%)</w:t>
            </w:r>
          </w:p>
        </w:tc>
        <w:tc>
          <w:tcPr>
            <w:tcW w:w="162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2556 (65.1%)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1270 (32.4%)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 (2.5%)</w:t>
            </w:r>
          </w:p>
        </w:tc>
        <w:tc>
          <w:tcPr>
            <w:tcW w:w="922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0.87</w:t>
            </w:r>
          </w:p>
        </w:tc>
      </w:tr>
      <w:tr w:rsidR="00791983" w:rsidTr="00FF070D">
        <w:tc>
          <w:tcPr>
            <w:tcW w:w="2178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CYP2D6, N (%)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Normal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Fast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Slow</w:t>
            </w:r>
          </w:p>
        </w:tc>
        <w:tc>
          <w:tcPr>
            <w:tcW w:w="189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(3, 7)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(3, 7)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(3, 7)</w:t>
            </w:r>
          </w:p>
        </w:tc>
        <w:tc>
          <w:tcPr>
            <w:tcW w:w="90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0.72</w:t>
            </w:r>
          </w:p>
        </w:tc>
        <w:tc>
          <w:tcPr>
            <w:tcW w:w="171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5076 (83.1%)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 (2.1%)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 (14.8%)</w:t>
            </w:r>
          </w:p>
        </w:tc>
        <w:tc>
          <w:tcPr>
            <w:tcW w:w="162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3208 (81.8%)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(2.1%)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 (16.1%)</w:t>
            </w:r>
          </w:p>
        </w:tc>
        <w:tc>
          <w:tcPr>
            <w:tcW w:w="922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</w:t>
            </w:r>
          </w:p>
        </w:tc>
      </w:tr>
      <w:tr w:rsidR="00791983" w:rsidTr="00FF070D">
        <w:trPr>
          <w:trHeight w:val="107"/>
        </w:trPr>
        <w:tc>
          <w:tcPr>
            <w:tcW w:w="2178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CYP3A5, N (%)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Normal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Slow</w:t>
            </w:r>
          </w:p>
        </w:tc>
        <w:tc>
          <w:tcPr>
            <w:tcW w:w="189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(3, 7)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(3, 7)</w:t>
            </w:r>
          </w:p>
        </w:tc>
        <w:tc>
          <w:tcPr>
            <w:tcW w:w="90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171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 (14.2%)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5236 (85.8%)</w:t>
            </w:r>
          </w:p>
        </w:tc>
        <w:tc>
          <w:tcPr>
            <w:tcW w:w="162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 (13.6%)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3392 (86.4%)</w:t>
            </w:r>
          </w:p>
        </w:tc>
        <w:tc>
          <w:tcPr>
            <w:tcW w:w="922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</w:t>
            </w:r>
          </w:p>
        </w:tc>
      </w:tr>
      <w:tr w:rsidR="00791983" w:rsidTr="00FF070D">
        <w:tc>
          <w:tcPr>
            <w:tcW w:w="2178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DPYD, N (%)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Normal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Intermediate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Poor</w:t>
            </w:r>
          </w:p>
        </w:tc>
        <w:tc>
          <w:tcPr>
            <w:tcW w:w="189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(3, 7)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(3, 7)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(5, 7)</w:t>
            </w:r>
          </w:p>
        </w:tc>
        <w:tc>
          <w:tcPr>
            <w:tcW w:w="90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171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5744 (93.5%)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 (6.5%)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(0.0%)</w:t>
            </w:r>
          </w:p>
        </w:tc>
        <w:tc>
          <w:tcPr>
            <w:tcW w:w="162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3666 (93.2%)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 (6.7%)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(0.1%)</w:t>
            </w:r>
          </w:p>
        </w:tc>
        <w:tc>
          <w:tcPr>
            <w:tcW w:w="922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</w:t>
            </w:r>
          </w:p>
        </w:tc>
      </w:tr>
      <w:tr w:rsidR="00791983" w:rsidTr="00FF070D">
        <w:tc>
          <w:tcPr>
            <w:tcW w:w="2178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HLA-B-1502, N (%)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Absent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Present</w:t>
            </w:r>
          </w:p>
        </w:tc>
        <w:tc>
          <w:tcPr>
            <w:tcW w:w="189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(3, 7)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(3, 7)</w:t>
            </w:r>
          </w:p>
        </w:tc>
        <w:tc>
          <w:tcPr>
            <w:tcW w:w="90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0.57</w:t>
            </w:r>
          </w:p>
        </w:tc>
        <w:tc>
          <w:tcPr>
            <w:tcW w:w="171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5743 (94.1%)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 (5.9%)</w:t>
            </w:r>
          </w:p>
        </w:tc>
        <w:tc>
          <w:tcPr>
            <w:tcW w:w="162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3693 (94.1%)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 (5.9%)</w:t>
            </w:r>
          </w:p>
        </w:tc>
        <w:tc>
          <w:tcPr>
            <w:tcW w:w="922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</w:t>
            </w:r>
          </w:p>
        </w:tc>
      </w:tr>
      <w:tr w:rsidR="00791983" w:rsidTr="00FF070D">
        <w:tc>
          <w:tcPr>
            <w:tcW w:w="2178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HLA-B-5701, N (%)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Absent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Present</w:t>
            </w:r>
          </w:p>
        </w:tc>
        <w:tc>
          <w:tcPr>
            <w:tcW w:w="189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(3, 7)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(2, 7)</w:t>
            </w:r>
          </w:p>
        </w:tc>
        <w:tc>
          <w:tcPr>
            <w:tcW w:w="90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171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5714 (93.6%)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 (6.4%)</w:t>
            </w:r>
          </w:p>
        </w:tc>
        <w:tc>
          <w:tcPr>
            <w:tcW w:w="162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3692 (94.1%)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 (5.9%)</w:t>
            </w:r>
          </w:p>
        </w:tc>
        <w:tc>
          <w:tcPr>
            <w:tcW w:w="922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</w:t>
            </w:r>
          </w:p>
        </w:tc>
      </w:tr>
      <w:tr w:rsidR="00791983" w:rsidTr="00FF070D">
        <w:tc>
          <w:tcPr>
            <w:tcW w:w="2178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HLA-B-5801, N (%)</w:t>
            </w:r>
          </w:p>
          <w:p w:rsidR="00791983" w:rsidRDefault="00791983" w:rsidP="00FF070D">
            <w:pPr>
              <w:ind w:firstLine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Absent</w:t>
            </w:r>
          </w:p>
          <w:p w:rsidR="00791983" w:rsidRDefault="00791983" w:rsidP="00FF070D">
            <w:pPr>
              <w:ind w:firstLine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Present</w:t>
            </w:r>
          </w:p>
        </w:tc>
        <w:tc>
          <w:tcPr>
            <w:tcW w:w="189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(3, 7)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(2, 7)</w:t>
            </w:r>
          </w:p>
        </w:tc>
        <w:tc>
          <w:tcPr>
            <w:tcW w:w="90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71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6019 (98.6%)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 (1.4%)</w:t>
            </w:r>
          </w:p>
        </w:tc>
        <w:tc>
          <w:tcPr>
            <w:tcW w:w="162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3873 (98.7%)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 (1.3%)</w:t>
            </w:r>
          </w:p>
        </w:tc>
        <w:tc>
          <w:tcPr>
            <w:tcW w:w="922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0.66</w:t>
            </w:r>
          </w:p>
        </w:tc>
      </w:tr>
      <w:tr w:rsidR="00791983" w:rsidTr="00FF070D">
        <w:tc>
          <w:tcPr>
            <w:tcW w:w="2178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SLCO1B1, N (%)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Normal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Fast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Slow</w:t>
            </w:r>
          </w:p>
        </w:tc>
        <w:tc>
          <w:tcPr>
            <w:tcW w:w="189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(3, 7)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(2, 7)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(3, 7)</w:t>
            </w:r>
          </w:p>
        </w:tc>
        <w:tc>
          <w:tcPr>
            <w:tcW w:w="90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0.27</w:t>
            </w:r>
          </w:p>
        </w:tc>
        <w:tc>
          <w:tcPr>
            <w:tcW w:w="171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3839 (62.9%)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 (1.3%)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2190 (35.9%)</w:t>
            </w:r>
          </w:p>
        </w:tc>
        <w:tc>
          <w:tcPr>
            <w:tcW w:w="162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2444 (62.3%)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 (1.6%)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1418 (36.1%)</w:t>
            </w:r>
          </w:p>
        </w:tc>
        <w:tc>
          <w:tcPr>
            <w:tcW w:w="922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</w:t>
            </w:r>
          </w:p>
        </w:tc>
      </w:tr>
      <w:tr w:rsidR="00791983" w:rsidTr="00FF070D">
        <w:tc>
          <w:tcPr>
            <w:tcW w:w="2178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TPMT, N (%)</w:t>
            </w:r>
          </w:p>
          <w:p w:rsidR="00791983" w:rsidRDefault="00791983" w:rsidP="00FF070D">
            <w:pPr>
              <w:ind w:firstLine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Normal</w:t>
            </w:r>
          </w:p>
          <w:p w:rsidR="00791983" w:rsidRDefault="00791983" w:rsidP="00FF070D">
            <w:pPr>
              <w:ind w:firstLine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Slow</w:t>
            </w:r>
          </w:p>
        </w:tc>
        <w:tc>
          <w:tcPr>
            <w:tcW w:w="189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(3, 7)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(3, 7)</w:t>
            </w:r>
          </w:p>
        </w:tc>
        <w:tc>
          <w:tcPr>
            <w:tcW w:w="90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0.87</w:t>
            </w:r>
          </w:p>
        </w:tc>
        <w:tc>
          <w:tcPr>
            <w:tcW w:w="171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6081 (99.6%)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(0.4%)</w:t>
            </w:r>
          </w:p>
        </w:tc>
        <w:tc>
          <w:tcPr>
            <w:tcW w:w="1620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3917 (99.8%)</w:t>
            </w: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(0.2%)</w:t>
            </w:r>
          </w:p>
        </w:tc>
        <w:tc>
          <w:tcPr>
            <w:tcW w:w="922" w:type="dxa"/>
          </w:tcPr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</w:p>
          <w:p w:rsidR="00791983" w:rsidRDefault="00791983" w:rsidP="00FF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</w:t>
            </w:r>
          </w:p>
        </w:tc>
      </w:tr>
    </w:tbl>
    <w:p w:rsidR="00791983" w:rsidRDefault="00791983" w:rsidP="00791983">
      <w:pPr>
        <w:rPr>
          <w:rFonts w:ascii="Times New Roman" w:hAnsi="Times New Roman" w:cs="Times New Roman"/>
        </w:rPr>
      </w:pPr>
    </w:p>
    <w:p w:rsidR="00791983" w:rsidRDefault="00791983" w:rsidP="00791983">
      <w:pPr>
        <w:rPr>
          <w:rFonts w:ascii="Times New Roman" w:hAnsi="Times New Roman" w:cs="Times New Roman"/>
        </w:rPr>
      </w:pPr>
    </w:p>
    <w:p w:rsidR="00791983" w:rsidRDefault="007919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91983" w:rsidRDefault="00791983" w:rsidP="0079198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Supplemental Table 3</w:t>
      </w:r>
      <w:r w:rsidRPr="00791983">
        <w:t xml:space="preserve"> </w:t>
      </w:r>
      <w:r w:rsidRPr="00791983">
        <w:rPr>
          <w:rFonts w:ascii="Times New Roman" w:hAnsi="Times New Roman" w:cs="Times New Roman"/>
        </w:rPr>
        <w:t>Top Primary Causes of Hospitalizations.</w:t>
      </w:r>
      <w:proofErr w:type="gramEnd"/>
    </w:p>
    <w:p w:rsidR="00791983" w:rsidRDefault="00791983"/>
    <w:p w:rsidR="001D4DE0" w:rsidRDefault="00791983">
      <w:r>
        <w:rPr>
          <w:noProof/>
        </w:rPr>
        <w:drawing>
          <wp:inline distT="0" distB="0" distL="0" distR="0" wp14:anchorId="2ED3C1A8">
            <wp:extent cx="5943600" cy="713855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71393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1983" w:rsidRDefault="00791983">
      <w:r w:rsidRPr="00791983">
        <w:t xml:space="preserve">Legend:  Only diagnoses with greater than 20 codes are listed.  </w:t>
      </w:r>
    </w:p>
    <w:sectPr w:rsidR="00791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83"/>
    <w:rsid w:val="001D4DE0"/>
    <w:rsid w:val="0079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91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19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983"/>
    <w:rPr>
      <w:sz w:val="20"/>
      <w:szCs w:val="20"/>
    </w:rPr>
  </w:style>
  <w:style w:type="table" w:styleId="TableGrid">
    <w:name w:val="Table Grid"/>
    <w:basedOn w:val="TableNormal"/>
    <w:uiPriority w:val="59"/>
    <w:rsid w:val="00791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1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9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91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19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983"/>
    <w:rPr>
      <w:sz w:val="20"/>
      <w:szCs w:val="20"/>
    </w:rPr>
  </w:style>
  <w:style w:type="table" w:styleId="TableGrid">
    <w:name w:val="Table Grid"/>
    <w:basedOn w:val="TableNormal"/>
    <w:uiPriority w:val="59"/>
    <w:rsid w:val="00791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1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Takahashi, Paul Y., M.D.</dc:creator>
  <cp:lastModifiedBy>Takahashi, Paul Y., M.D.</cp:lastModifiedBy>
  <cp:revision>1</cp:revision>
  <dcterms:created xsi:type="dcterms:W3CDTF">2020-12-20T13:15:00Z</dcterms:created>
  <dcterms:modified xsi:type="dcterms:W3CDTF">2020-12-20T13:20:00Z</dcterms:modified>
</cp:coreProperties>
</file>