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Ex3.xml" ContentType="application/vnd.ms-office.chartex+xml"/>
  <Override PartName="/word/charts/style3.xml" ContentType="application/vnd.ms-office.chartstyle+xml"/>
  <Override PartName="/word/charts/colors3.xml" ContentType="application/vnd.ms-office.chartcolorstyle+xml"/>
  <Override PartName="/word/charts/chartEx4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charts/chartEx5.xml" ContentType="application/vnd.ms-office.chartex+xml"/>
  <Override PartName="/word/charts/style5.xml" ContentType="application/vnd.ms-office.chartstyle+xml"/>
  <Override PartName="/word/charts/colors5.xml" ContentType="application/vnd.ms-office.chartcolorstyle+xml"/>
  <Override PartName="/word/charts/chartEx6.xml" ContentType="application/vnd.ms-office.chartex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80119" w14:textId="77777777" w:rsidR="008A2905" w:rsidRDefault="002055B1">
      <w:r>
        <w:rPr>
          <w:noProof/>
        </w:rPr>
        <mc:AlternateContent>
          <mc:Choice Requires="cx1">
            <w:drawing>
              <wp:inline distT="0" distB="0" distL="0" distR="0" wp14:anchorId="53C49B32" wp14:editId="3882B564">
                <wp:extent cx="3076575" cy="2733675"/>
                <wp:effectExtent l="0" t="0" r="9525" b="9525"/>
                <wp:docPr id="1" name="Gra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4"/>
                  </a:graphicData>
                </a:graphic>
              </wp:inline>
            </w:drawing>
          </mc:Choice>
          <mc:Fallback>
            <w:drawing>
              <wp:inline distT="0" distB="0" distL="0" distR="0" wp14:anchorId="53C49B32" wp14:editId="3882B564">
                <wp:extent cx="3076575" cy="2733675"/>
                <wp:effectExtent l="0" t="0" r="9525" b="9525"/>
                <wp:docPr id="1" name="Gra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co 1">
                          <a:extLst>
                            <a:ext uri="{FF2B5EF4-FFF2-40B4-BE49-F238E27FC236}">
                              <a16:creationId xmlns:a16="http://schemas.microsoft.com/office/drawing/2014/main" id="{00000000-0008-0000-0200-000009000000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6575" cy="2733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</w:rPr>
        <mc:AlternateContent>
          <mc:Choice Requires="cx1">
            <w:drawing>
              <wp:inline distT="0" distB="0" distL="0" distR="0" wp14:anchorId="09758A35" wp14:editId="7D43D4AA">
                <wp:extent cx="2990850" cy="2762250"/>
                <wp:effectExtent l="0" t="0" r="0" b="0"/>
                <wp:docPr id="4" name="Grafic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B5B886-3273-4195-AE69-903E77ECE3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6"/>
                  </a:graphicData>
                </a:graphic>
              </wp:inline>
            </w:drawing>
          </mc:Choice>
          <mc:Fallback>
            <w:drawing>
              <wp:inline distT="0" distB="0" distL="0" distR="0" wp14:anchorId="09758A35" wp14:editId="7D43D4AA">
                <wp:extent cx="2990850" cy="2762250"/>
                <wp:effectExtent l="0" t="0" r="0" b="0"/>
                <wp:docPr id="4" name="Grafic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B5B886-3273-4195-AE69-903E77ECE30A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co 4">
                          <a:extLst>
                            <a:ext uri="{FF2B5EF4-FFF2-40B4-BE49-F238E27FC236}">
                              <a16:creationId xmlns:a16="http://schemas.microsoft.com/office/drawing/2014/main" id="{DCB5B886-3273-4195-AE69-903E77ECE30A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0" cy="2762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</w:rPr>
        <mc:AlternateContent>
          <mc:Choice Requires="cx1">
            <w:drawing>
              <wp:inline distT="0" distB="0" distL="0" distR="0" wp14:anchorId="2E426D8D" wp14:editId="4571945D">
                <wp:extent cx="3057525" cy="2657475"/>
                <wp:effectExtent l="0" t="0" r="9525" b="9525"/>
                <wp:docPr id="2" name="Gra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18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8"/>
                  </a:graphicData>
                </a:graphic>
              </wp:inline>
            </w:drawing>
          </mc:Choice>
          <mc:Fallback>
            <w:drawing>
              <wp:inline distT="0" distB="0" distL="0" distR="0" wp14:anchorId="2E426D8D" wp14:editId="4571945D">
                <wp:extent cx="3057525" cy="2657475"/>
                <wp:effectExtent l="0" t="0" r="9525" b="9525"/>
                <wp:docPr id="2" name="Gra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18000000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o 2">
                          <a:extLst>
                            <a:ext uri="{FF2B5EF4-FFF2-40B4-BE49-F238E27FC236}">
                              <a16:creationId xmlns:a16="http://schemas.microsoft.com/office/drawing/2014/main" id="{00000000-0008-0000-0200-000018000000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7525" cy="2657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</w:rPr>
        <mc:AlternateContent>
          <mc:Choice Requires="cx1">
            <w:drawing>
              <wp:inline distT="0" distB="0" distL="0" distR="0" wp14:anchorId="31557AF8" wp14:editId="375B4500">
                <wp:extent cx="3019425" cy="2667000"/>
                <wp:effectExtent l="0" t="0" r="9525" b="0"/>
                <wp:docPr id="5" name="Grafic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A5B003-54E0-4876-BF75-4EAA2B4907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0"/>
                  </a:graphicData>
                </a:graphic>
              </wp:inline>
            </w:drawing>
          </mc:Choice>
          <mc:Fallback>
            <w:drawing>
              <wp:inline distT="0" distB="0" distL="0" distR="0" wp14:anchorId="31557AF8" wp14:editId="375B4500">
                <wp:extent cx="3019425" cy="2667000"/>
                <wp:effectExtent l="0" t="0" r="9525" b="0"/>
                <wp:docPr id="5" name="Grafic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A5B003-54E0-4876-BF75-4EAA2B4907DA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co 5">
                          <a:extLst>
                            <a:ext uri="{FF2B5EF4-FFF2-40B4-BE49-F238E27FC236}">
                              <a16:creationId xmlns:a16="http://schemas.microsoft.com/office/drawing/2014/main" id="{74A5B003-54E0-4876-BF75-4EAA2B4907DA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66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</w:rPr>
        <mc:AlternateContent>
          <mc:Choice Requires="cx1">
            <w:drawing>
              <wp:inline distT="0" distB="0" distL="0" distR="0" wp14:anchorId="4372E0B9" wp14:editId="2923FD3D">
                <wp:extent cx="3057525" cy="2847975"/>
                <wp:effectExtent l="0" t="0" r="9525" b="9525"/>
                <wp:docPr id="3" name="Grafic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10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2"/>
                  </a:graphicData>
                </a:graphic>
              </wp:inline>
            </w:drawing>
          </mc:Choice>
          <mc:Fallback>
            <w:drawing>
              <wp:inline distT="0" distB="0" distL="0" distR="0" wp14:anchorId="4372E0B9" wp14:editId="2923FD3D">
                <wp:extent cx="3057525" cy="2847975"/>
                <wp:effectExtent l="0" t="0" r="9525" b="9525"/>
                <wp:docPr id="3" name="Grafic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10000000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co 3">
                          <a:extLst>
                            <a:ext uri="{FF2B5EF4-FFF2-40B4-BE49-F238E27FC236}">
                              <a16:creationId xmlns:a16="http://schemas.microsoft.com/office/drawing/2014/main" id="{00000000-0008-0000-0200-000010000000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7525" cy="2847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</w:rPr>
        <mc:AlternateContent>
          <mc:Choice Requires="cx1">
            <w:drawing>
              <wp:inline distT="0" distB="0" distL="0" distR="0" wp14:anchorId="64B6D371" wp14:editId="54DA7E6D">
                <wp:extent cx="3048000" cy="2857500"/>
                <wp:effectExtent l="0" t="0" r="0" b="0"/>
                <wp:docPr id="6" name="Grafic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EFC9E9-E0A5-44D1-B682-650B15C6FA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4"/>
                  </a:graphicData>
                </a:graphic>
              </wp:inline>
            </w:drawing>
          </mc:Choice>
          <mc:Fallback>
            <w:drawing>
              <wp:inline distT="0" distB="0" distL="0" distR="0" wp14:anchorId="64B6D371" wp14:editId="54DA7E6D">
                <wp:extent cx="3048000" cy="2857500"/>
                <wp:effectExtent l="0" t="0" r="0" b="0"/>
                <wp:docPr id="6" name="Grafic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EFC9E9-E0A5-44D1-B682-650B15C6FA7C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co 6">
                          <a:extLst>
                            <a:ext uri="{FF2B5EF4-FFF2-40B4-BE49-F238E27FC236}">
                              <a16:creationId xmlns:a16="http://schemas.microsoft.com/office/drawing/2014/main" id="{1DEFC9E9-E0A5-44D1-B682-650B15C6FA7C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0" cy="285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DBF0235" w14:textId="5B746A45" w:rsidR="00EE6258" w:rsidRPr="00EE6258" w:rsidRDefault="00EE6258" w:rsidP="00EE625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5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="00E030CF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DC1EE5">
        <w:rPr>
          <w:rFonts w:ascii="Times New Roman" w:hAnsi="Times New Roman" w:cs="Times New Roman"/>
          <w:b/>
          <w:sz w:val="24"/>
          <w:szCs w:val="24"/>
          <w:lang w:val="en-US"/>
        </w:rPr>
        <w:t>igure</w:t>
      </w:r>
      <w:r w:rsidRPr="00205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030C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205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1: </w:t>
      </w:r>
      <w:r w:rsidRPr="002055B1">
        <w:rPr>
          <w:rFonts w:ascii="Times New Roman" w:hAnsi="Times New Roman" w:cs="Times New Roman"/>
          <w:sz w:val="24"/>
          <w:szCs w:val="24"/>
          <w:lang w:val="en-US"/>
        </w:rPr>
        <w:t>box plot showing the distribution of the results for both the control group</w:t>
      </w:r>
      <w:r w:rsidR="009863B7" w:rsidRPr="002055B1">
        <w:rPr>
          <w:rFonts w:ascii="Times New Roman" w:hAnsi="Times New Roman" w:cs="Times New Roman"/>
          <w:sz w:val="24"/>
          <w:szCs w:val="24"/>
          <w:lang w:val="en-US"/>
        </w:rPr>
        <w:t xml:space="preserve"> (CG)</w:t>
      </w:r>
      <w:r w:rsidRPr="002055B1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="009863B7" w:rsidRPr="002055B1">
        <w:rPr>
          <w:rFonts w:ascii="Times New Roman" w:hAnsi="Times New Roman" w:cs="Times New Roman"/>
          <w:sz w:val="24"/>
          <w:szCs w:val="24"/>
          <w:lang w:val="en-US"/>
        </w:rPr>
        <w:t>Gorlin Goltz syndrome (GGS) group</w:t>
      </w:r>
      <w:r w:rsidRPr="00EE62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055B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863B7" w:rsidRPr="002055B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055B1" w:rsidRPr="002055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55B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EE6258">
        <w:rPr>
          <w:rFonts w:ascii="Times New Roman" w:hAnsi="Times New Roman" w:cs="Times New Roman"/>
          <w:sz w:val="24"/>
          <w:szCs w:val="24"/>
          <w:lang w:val="en-US"/>
        </w:rPr>
        <w:t xml:space="preserve"> represented in blue</w:t>
      </w:r>
      <w:r w:rsidR="002055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E6258">
        <w:rPr>
          <w:rFonts w:ascii="Times New Roman" w:hAnsi="Times New Roman" w:cs="Times New Roman"/>
          <w:sz w:val="24"/>
          <w:szCs w:val="24"/>
          <w:lang w:val="en-US"/>
        </w:rPr>
        <w:t>GGS group is represented in red</w:t>
      </w:r>
      <w:r w:rsidR="002055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6258">
        <w:rPr>
          <w:rFonts w:ascii="Times New Roman" w:hAnsi="Times New Roman" w:cs="Times New Roman"/>
          <w:sz w:val="24"/>
          <w:szCs w:val="24"/>
          <w:lang w:val="en-US"/>
        </w:rPr>
        <w:t>Lat: latency, ampl: amplitude. Latency is expressed in milliseconds, amplitude in microvolts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EE6258" w:rsidRPr="00EE6258" w:rsidSect="00EE625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05"/>
    <w:rsid w:val="001A310B"/>
    <w:rsid w:val="002055B1"/>
    <w:rsid w:val="002B6A92"/>
    <w:rsid w:val="00382DCF"/>
    <w:rsid w:val="00426FA3"/>
    <w:rsid w:val="006135C0"/>
    <w:rsid w:val="00623FA5"/>
    <w:rsid w:val="006575B1"/>
    <w:rsid w:val="007F08A3"/>
    <w:rsid w:val="00804D50"/>
    <w:rsid w:val="008A2905"/>
    <w:rsid w:val="009863B7"/>
    <w:rsid w:val="00A21FE4"/>
    <w:rsid w:val="00DC1EE5"/>
    <w:rsid w:val="00E030CF"/>
    <w:rsid w:val="00E97E84"/>
    <w:rsid w:val="00E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F9AE"/>
  <w15:docId w15:val="{EA24E2C2-B7DE-464A-976E-96E73886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4/relationships/chartEx" Target="charts/chartEx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14/relationships/chartEx" Target="charts/chartEx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14/relationships/chartEx" Target="charts/chartEx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microsoft.com/office/2014/relationships/chartEx" Target="charts/chartEx4.xml"/><Relationship Id="rId4" Type="http://schemas.microsoft.com/office/2014/relationships/chartEx" Target="charts/chartEx1.xml"/><Relationship Id="rId9" Type="http://schemas.openxmlformats.org/officeDocument/2006/relationships/image" Target="media/image3.png"/><Relationship Id="rId14" Type="http://schemas.microsoft.com/office/2014/relationships/chartEx" Target="charts/chartEx6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auro\Downloads\File%20gorlin%20goltz%20per%20Lore%20e%20wini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Lauro\Downloads\File%20gorlin%20goltz%20per%20Lore%20e%20wini.xlsx" TargetMode="External"/></Relationships>
</file>

<file path=word/charts/_rels/chartEx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Lauro\Downloads\File%20gorlin%20goltz%20per%20Lore%20e%20wini.xlsx" TargetMode="External"/></Relationships>
</file>

<file path=word/charts/_rels/chartEx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Lauro\Downloads\File%20gorlin%20goltz%20per%20Lore%20e%20wini.xlsx" TargetMode="External"/></Relationships>
</file>

<file path=word/charts/_rels/chartEx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Lauro\Downloads\File%20gorlin%20goltz%20per%20Lore%20e%20wini.xlsx" TargetMode="External"/></Relationships>
</file>

<file path=word/charts/_rels/chartEx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Lauro\Downloads\File%20gorlin%20goltz%20per%20Lore%20e%20wini.xlsx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'normalità e boxplot'!$A$3:$A$22</cx:f>
        <cx:lvl ptCount="20" formatCode="0,0">
          <cx:pt idx="0">93</cx:pt>
          <cx:pt idx="1">96.650000000000006</cx:pt>
          <cx:pt idx="2">97.950000000000003</cx:pt>
          <cx:pt idx="3">97.950000000000003</cx:pt>
          <cx:pt idx="4">98.700000000000003</cx:pt>
          <cx:pt idx="5">99.450000000000003</cx:pt>
          <cx:pt idx="6">101.5</cx:pt>
          <cx:pt idx="7">102.45</cx:pt>
          <cx:pt idx="8">102.5</cx:pt>
          <cx:pt idx="9">102.5</cx:pt>
          <cx:pt idx="10">102.5</cx:pt>
          <cx:pt idx="11">102.5</cx:pt>
          <cx:pt idx="12">103.5</cx:pt>
          <cx:pt idx="13">104.5</cx:pt>
          <cx:pt idx="14">104.5</cx:pt>
          <cx:pt idx="15">105.5</cx:pt>
          <cx:pt idx="16">105.5</cx:pt>
          <cx:pt idx="17">106</cx:pt>
          <cx:pt idx="18">107</cx:pt>
          <cx:pt idx="19">107</cx:pt>
        </cx:lvl>
      </cx:numDim>
    </cx:data>
    <cx:data id="1">
      <cx:numDim type="val">
        <cx:f>'normalità e boxplot'!$B$3:$B$22</cx:f>
        <cx:lvl ptCount="20" formatCode="0,00">
          <cx:pt idx="0">91.5</cx:pt>
          <cx:pt idx="1">102</cx:pt>
          <cx:pt idx="2">102.5</cx:pt>
          <cx:pt idx="3">104</cx:pt>
          <cx:pt idx="4">104.5</cx:pt>
          <cx:pt idx="5">106</cx:pt>
          <cx:pt idx="6">106.5</cx:pt>
          <cx:pt idx="7">108.5</cx:pt>
          <cx:pt idx="8">110.5</cx:pt>
          <cx:pt idx="9">114.5</cx:pt>
          <cx:pt idx="10">114.5</cx:pt>
          <cx:pt idx="11">119</cx:pt>
          <cx:pt idx="12">120</cx:pt>
          <cx:pt idx="13">120.5</cx:pt>
          <cx:pt idx="14">121</cx:pt>
          <cx:pt idx="15">124</cx:pt>
          <cx:pt idx="16">135.5</cx:pt>
          <cx:pt idx="17">148</cx:pt>
        </cx:lvl>
      </cx:numDim>
    </cx:data>
  </cx:chartData>
  <cx:chart>
    <cx:title pos="t" align="ctr" overlay="0">
      <cx:tx>
        <cx:rich>
          <a:bodyPr rot="0" spcFirstLastPara="1" vertOverflow="ellipsis" vert="horz" wrap="square" lIns="0" tIns="0" rIns="0" bIns="0" anchor="ctr" anchorCtr="1"/>
          <a:lstStyle/>
          <a:p>
            <a:pPr algn="ctr">
              <a:defRPr/>
            </a:pPr>
            <a:r>
              <a:rPr lang="en-US" sz="140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p-vep 120 lat </a:t>
            </a:r>
            <a:endParaRPr lang="it-IT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rich>
      </cx:tx>
    </cx:title>
    <cx:plotArea>
      <cx:plotAreaRegion>
        <cx:series layoutId="boxWhisker" uniqueId="{87CBF8AE-2FF9-46F7-BCEF-945A154B280A}">
          <cx:tx>
            <cx:txData>
              <cx:f>'normalità e boxplot'!$A$2</cx:f>
              <cx:v>Sani</cx:v>
            </cx:txData>
          </cx:tx>
          <cx:dataId val="0"/>
          <cx:layoutPr>
            <cx:visibility meanLine="1" meanMarker="1" nonoutliers="0" outliers="1"/>
            <cx:statistics quartileMethod="exclusive"/>
          </cx:layoutPr>
        </cx:series>
        <cx:series layoutId="boxWhisker" uniqueId="{064E9336-33F2-48C7-AFA0-675FC7A00400}">
          <cx:tx>
            <cx:txData>
              <cx:f>'normalità e boxplot'!$B$2</cx:f>
              <cx:v>Malati</cx:v>
            </cx:txData>
          </cx:tx>
          <cx:spPr>
            <a:solidFill>
              <a:srgbClr val="FF0000"/>
            </a:solidFill>
          </cx:spPr>
          <cx:dataId val="1"/>
          <cx:layoutPr>
            <cx:visibility meanLine="1" meanMarker="1" nonoutliers="0" outliers="1"/>
            <cx:statistics quartileMethod="exclusive"/>
          </cx:layoutPr>
        </cx:series>
      </cx:plotAreaRegion>
      <cx:axis id="0" hidden="1">
        <cx:catScaling gapWidth="1"/>
        <cx:tickLabels/>
      </cx:axis>
      <cx:axis id="1">
        <cx:valScaling/>
        <cx:maj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'normalità e boxplot'!$S$85:$S$104</cx:f>
        <cx:lvl ptCount="20" formatCode="0,0">
          <cx:pt idx="0">8.3499999999999996</cx:pt>
          <cx:pt idx="1">10.050000000000001</cx:pt>
          <cx:pt idx="2">10.350000000000001</cx:pt>
          <cx:pt idx="3">11.15</cx:pt>
          <cx:pt idx="4">12.15</cx:pt>
          <cx:pt idx="5">12.5</cx:pt>
          <cx:pt idx="6">12.600000000000001</cx:pt>
          <cx:pt idx="7">12.85</cx:pt>
          <cx:pt idx="8">13.850000000000001</cx:pt>
          <cx:pt idx="9">14.25</cx:pt>
          <cx:pt idx="10">16.100000000000001</cx:pt>
          <cx:pt idx="11">16.649999999999999</cx:pt>
          <cx:pt idx="12">18.600000000000001</cx:pt>
          <cx:pt idx="13">18.75</cx:pt>
          <cx:pt idx="14">19.199999999999999</cx:pt>
          <cx:pt idx="15">19.449999999999999</cx:pt>
          <cx:pt idx="16">19.700000000000003</cx:pt>
          <cx:pt idx="17">20.100000000000001</cx:pt>
          <cx:pt idx="18">20.649999999999999</cx:pt>
          <cx:pt idx="19">29.5</cx:pt>
        </cx:lvl>
      </cx:numDim>
    </cx:data>
    <cx:data id="1">
      <cx:numDim type="val">
        <cx:f>'normalità e boxplot'!$T$85:$T$104</cx:f>
        <cx:lvl ptCount="20" formatCode="Standard">
          <cx:pt idx="0">3.1499999999999999</cx:pt>
          <cx:pt idx="1">6.6500000000000004</cx:pt>
          <cx:pt idx="2">6.9000000000000004</cx:pt>
          <cx:pt idx="3">7.5</cx:pt>
          <cx:pt idx="4">9.6999999999999993</cx:pt>
          <cx:pt idx="5">9.8000000000000007</cx:pt>
          <cx:pt idx="6">9.8499999999999996</cx:pt>
          <cx:pt idx="7">10.300000000000001</cx:pt>
          <cx:pt idx="8">11.199999999999999</cx:pt>
          <cx:pt idx="9">11.449999999999999</cx:pt>
          <cx:pt idx="10">11.550000000000001</cx:pt>
          <cx:pt idx="11">11.9</cx:pt>
          <cx:pt idx="12">12.949999999999999</cx:pt>
          <cx:pt idx="13">14.550000000000001</cx:pt>
          <cx:pt idx="14">16.25</cx:pt>
          <cx:pt idx="15">17</cx:pt>
          <cx:pt idx="16">19.050000000000001</cx:pt>
          <cx:pt idx="17">19.5</cx:pt>
        </cx:lvl>
      </cx:numDim>
    </cx:data>
  </cx:chartData>
  <cx:chart>
    <cx:title pos="t" align="ctr" overlay="0">
      <cx:tx>
        <cx:txData>
          <cx:v>p-vep 120 ampl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it-IT" sz="14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p-vep 120 ampl</a:t>
          </a:r>
        </a:p>
      </cx:txPr>
    </cx:title>
    <cx:plotArea>
      <cx:plotAreaRegion>
        <cx:series layoutId="boxWhisker" uniqueId="{C774A811-CF17-49E6-9CB6-7BD7F2DA7964}">
          <cx:dataId val="0"/>
          <cx:layoutPr>
            <cx:visibility meanLine="0" meanMarker="1" nonoutliers="0" outliers="1"/>
            <cx:statistics quartileMethod="exclusive"/>
          </cx:layoutPr>
        </cx:series>
        <cx:series layoutId="boxWhisker" uniqueId="{2EBDEAD8-F96C-47C7-99C7-179B2409A80B}">
          <cx:spPr>
            <a:solidFill>
              <a:srgbClr val="FF0000"/>
            </a:solidFill>
          </cx:spPr>
          <cx:dataId val="1"/>
          <cx:layoutPr>
            <cx:visibility meanLine="0" meanMarker="1" nonoutliers="0" outliers="1"/>
            <cx:statistics quartileMethod="exclusive"/>
          </cx:layoutPr>
        </cx:series>
      </cx:plotAreaRegion>
      <cx:axis id="0" hidden="1">
        <cx:catScaling gapWidth="1"/>
        <cx:tickLabels/>
      </cx:axis>
      <cx:axis id="1">
        <cx:valScaling/>
        <cx:majorGridlines/>
        <cx:tickLabels/>
      </cx:axis>
    </cx:plotArea>
  </cx:chart>
</cx:chartSpace>
</file>

<file path=word/charts/chartEx3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'normalità e boxplot'!$C$3:$C$22</cx:f>
        <cx:lvl ptCount="20" formatCode="0,0">
          <cx:pt idx="0">94.400000000000006</cx:pt>
          <cx:pt idx="1">97.400000000000006</cx:pt>
          <cx:pt idx="2">98.700000000000003</cx:pt>
          <cx:pt idx="3">99.450000000000003</cx:pt>
          <cx:pt idx="4">101</cx:pt>
          <cx:pt idx="5">101</cx:pt>
          <cx:pt idx="6">101</cx:pt>
          <cx:pt idx="7">101.5</cx:pt>
          <cx:pt idx="8">101.95</cx:pt>
          <cx:pt idx="9">102.5</cx:pt>
          <cx:pt idx="10">103</cx:pt>
          <cx:pt idx="11">103.5</cx:pt>
          <cx:pt idx="12">103.5</cx:pt>
          <cx:pt idx="13">104</cx:pt>
          <cx:pt idx="14">104</cx:pt>
          <cx:pt idx="15">104</cx:pt>
          <cx:pt idx="16">104.5</cx:pt>
          <cx:pt idx="17">105.5</cx:pt>
          <cx:pt idx="18">107</cx:pt>
          <cx:pt idx="19">107</cx:pt>
        </cx:lvl>
      </cx:numDim>
    </cx:data>
    <cx:data id="1">
      <cx:numDim type="val">
        <cx:f>'normalità e boxplot'!$D$3:$D$22</cx:f>
        <cx:lvl ptCount="20" formatCode="Standard">
          <cx:pt idx="0">94.400000000000006</cx:pt>
          <cx:pt idx="1">102</cx:pt>
          <cx:pt idx="2">102.5</cx:pt>
          <cx:pt idx="3">103.5</cx:pt>
          <cx:pt idx="4">103.5</cx:pt>
          <cx:pt idx="5">104</cx:pt>
          <cx:pt idx="6">104.5</cx:pt>
          <cx:pt idx="7">110</cx:pt>
          <cx:pt idx="8">110.5</cx:pt>
          <cx:pt idx="9">111.5</cx:pt>
          <cx:pt idx="10">113</cx:pt>
          <cx:pt idx="11">115</cx:pt>
          <cx:pt idx="12">116</cx:pt>
          <cx:pt idx="13">118</cx:pt>
          <cx:pt idx="14">120.45</cx:pt>
          <cx:pt idx="15">120.5</cx:pt>
          <cx:pt idx="16">148.5</cx:pt>
          <cx:pt idx="17">164</cx:pt>
        </cx:lvl>
      </cx:numDim>
    </cx:data>
  </cx:chartData>
  <cx:chart>
    <cx:title pos="t" align="ctr" overlay="0">
      <cx:tx>
        <cx:rich>
          <a:bodyPr rot="0" spcFirstLastPara="1" vertOverflow="ellipsis" vert="horz" wrap="square" lIns="0" tIns="0" rIns="0" bIns="0" anchor="ctr" anchorCtr="1"/>
          <a:lstStyle/>
          <a:p>
            <a:pPr algn="ctr">
              <a:defRPr/>
            </a:pPr>
            <a:r>
              <a:rPr lang="en-US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p-vep 60 lat </a:t>
            </a:r>
            <a:endParaRPr lang="it-IT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rich>
      </cx:tx>
    </cx:title>
    <cx:plotArea>
      <cx:plotAreaRegion>
        <cx:series layoutId="boxWhisker" uniqueId="{51562EF5-2AE0-4E62-B15C-6845D64F5966}">
          <cx:dataId val="0"/>
          <cx:layoutPr>
            <cx:statistics quartileMethod="exclusive"/>
          </cx:layoutPr>
        </cx:series>
        <cx:series layoutId="boxWhisker" uniqueId="{3831AE98-B94D-49AB-9FC8-4B3C27A57FF7}">
          <cx:spPr>
            <a:solidFill>
              <a:srgbClr val="FF0000"/>
            </a:solidFill>
          </cx:spPr>
          <cx:dataId val="1"/>
          <cx:layoutPr>
            <cx:statistics quartileMethod="exclusive"/>
          </cx:layoutPr>
        </cx:series>
      </cx:plotAreaRegion>
      <cx:axis id="0" hidden="1">
        <cx:catScaling gapWidth="1"/>
        <cx:tickLabels/>
      </cx:axis>
      <cx:axis id="1">
        <cx:valScaling/>
        <cx:maj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4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'normalità e boxplot'!$U$85:$U$104</cx:f>
        <cx:lvl ptCount="20" formatCode="0,0">
          <cx:pt idx="0">10.75</cx:pt>
          <cx:pt idx="1">10.800000000000001</cx:pt>
          <cx:pt idx="2">10.850000000000001</cx:pt>
          <cx:pt idx="3">11.25</cx:pt>
          <cx:pt idx="4">11.699999999999999</cx:pt>
          <cx:pt idx="5">12.6</cx:pt>
          <cx:pt idx="6">13.15</cx:pt>
          <cx:pt idx="7">13.25</cx:pt>
          <cx:pt idx="8">13.550000000000001</cx:pt>
          <cx:pt idx="9">16.75</cx:pt>
          <cx:pt idx="10">16.850000000000001</cx:pt>
          <cx:pt idx="11">17</cx:pt>
          <cx:pt idx="12">17.200000000000003</cx:pt>
          <cx:pt idx="13">18.5</cx:pt>
          <cx:pt idx="14">18.899999999999999</cx:pt>
          <cx:pt idx="15">19.299999999999997</cx:pt>
          <cx:pt idx="16">19.699999999999999</cx:pt>
          <cx:pt idx="17">20.5</cx:pt>
          <cx:pt idx="18">23.25</cx:pt>
          <cx:pt idx="19">36.549999999999997</cx:pt>
        </cx:lvl>
      </cx:numDim>
    </cx:data>
    <cx:data id="1">
      <cx:numDim type="val">
        <cx:f>'normalità e boxplot'!$V$85:$V$104</cx:f>
        <cx:lvl ptCount="20" formatCode="Standard">
          <cx:pt idx="0">4.6500000000000004</cx:pt>
          <cx:pt idx="1">5.9500000000000002</cx:pt>
          <cx:pt idx="2">6.0999999999999996</cx:pt>
          <cx:pt idx="3">6.4000000000000004</cx:pt>
          <cx:pt idx="4">7.5</cx:pt>
          <cx:pt idx="5">9.1500000000000004</cx:pt>
          <cx:pt idx="6">10.15</cx:pt>
          <cx:pt idx="7">10.199999999999999</cx:pt>
          <cx:pt idx="8">10.350000000000001</cx:pt>
          <cx:pt idx="9">10.9</cx:pt>
          <cx:pt idx="10">11.800000000000001</cx:pt>
          <cx:pt idx="11">12.050000000000001</cx:pt>
          <cx:pt idx="12">12.6</cx:pt>
          <cx:pt idx="13">13.550000000000001</cx:pt>
          <cx:pt idx="14">14.699999999999999</cx:pt>
          <cx:pt idx="15">17.800000000000001</cx:pt>
          <cx:pt idx="16">18</cx:pt>
          <cx:pt idx="17">18.350000000000001</cx:pt>
        </cx:lvl>
      </cx:numDim>
    </cx:data>
  </cx:chartData>
  <cx:chart>
    <cx:title pos="t" align="ctr" overlay="0">
      <cx:tx>
        <cx:txData>
          <cx:v>p-vep 60 ampl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it-IT" sz="14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p-vep 60 ampl</a:t>
          </a:r>
        </a:p>
      </cx:txPr>
    </cx:title>
    <cx:plotArea>
      <cx:plotAreaRegion>
        <cx:series layoutId="boxWhisker" uniqueId="{F312E8EB-5D4A-4F44-9061-AD558076CDE3}">
          <cx:dataId val="0"/>
          <cx:layoutPr>
            <cx:statistics quartileMethod="exclusive"/>
          </cx:layoutPr>
        </cx:series>
        <cx:series layoutId="boxWhisker" uniqueId="{3676E609-0D59-471F-888C-3A744E7116CA}">
          <cx:spPr>
            <a:solidFill>
              <a:srgbClr val="FF0000"/>
            </a:solidFill>
          </cx:spPr>
          <cx:dataId val="1"/>
          <cx:layoutPr>
            <cx:statistics quartileMethod="exclusive"/>
          </cx:layoutPr>
        </cx:series>
      </cx:plotAreaRegion>
      <cx:axis id="0" hidden="1">
        <cx:catScaling gapWidth="1"/>
        <cx:tickLabels/>
      </cx:axis>
      <cx:axis id="1">
        <cx:valScaling/>
        <cx:majorGridlines/>
        <cx:tickLabels/>
      </cx:axis>
    </cx:plotArea>
  </cx:chart>
</cx:chartSpace>
</file>

<file path=word/charts/chartEx5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'normalità e boxplot'!$E$3:$E$22</cx:f>
        <cx:lvl ptCount="20" formatCode="0,0">
          <cx:pt idx="0">99.450000000000003</cx:pt>
          <cx:pt idx="1">102.5</cx:pt>
          <cx:pt idx="2">104</cx:pt>
          <cx:pt idx="3">106</cx:pt>
          <cx:pt idx="4">106.5</cx:pt>
          <cx:pt idx="5">106.5</cx:pt>
          <cx:pt idx="6">107</cx:pt>
          <cx:pt idx="7">108.5</cx:pt>
          <cx:pt idx="8">109</cx:pt>
          <cx:pt idx="9">109.5</cx:pt>
          <cx:pt idx="10">112</cx:pt>
          <cx:pt idx="11">113</cx:pt>
          <cx:pt idx="12">114.5</cx:pt>
          <cx:pt idx="13">114.5</cx:pt>
          <cx:pt idx="14">114.5</cx:pt>
          <cx:pt idx="15">115</cx:pt>
          <cx:pt idx="16">116</cx:pt>
          <cx:pt idx="17">118.5</cx:pt>
          <cx:pt idx="18">119.5</cx:pt>
          <cx:pt idx="19">128</cx:pt>
        </cx:lvl>
      </cx:numDim>
    </cx:data>
    <cx:data id="1">
      <cx:numDim type="val">
        <cx:f>'normalità e boxplot'!$F$3:$F$22</cx:f>
        <cx:lvl ptCount="20" formatCode="Standard">
          <cx:pt idx="0">108</cx:pt>
          <cx:pt idx="1">109</cx:pt>
          <cx:pt idx="2">113.5</cx:pt>
          <cx:pt idx="3">113.5</cx:pt>
          <cx:pt idx="4">115.5</cx:pt>
          <cx:pt idx="5">117.5</cx:pt>
          <cx:pt idx="6">118</cx:pt>
          <cx:pt idx="7">119</cx:pt>
          <cx:pt idx="8">121</cx:pt>
          <cx:pt idx="9">121.5</cx:pt>
          <cx:pt idx="10">122</cx:pt>
          <cx:pt idx="11">122.5</cx:pt>
          <cx:pt idx="12">129</cx:pt>
          <cx:pt idx="13">130</cx:pt>
          <cx:pt idx="14">139</cx:pt>
          <cx:pt idx="15">139.5</cx:pt>
          <cx:pt idx="16">156.5</cx:pt>
          <cx:pt idx="17">195</cx:pt>
        </cx:lvl>
      </cx:numDim>
    </cx:data>
  </cx:chartData>
  <cx:chart>
    <cx:title pos="t" align="ctr" overlay="0">
      <cx:tx>
        <cx:txData>
          <cx:v>p-vep 15 lat</cx:v>
        </cx:txData>
      </cx:tx>
      <cx:txPr>
        <a:bodyPr rot="0" spcFirstLastPara="1" vertOverflow="ellipsis" horzOverflow="overflow" vert="horz" wrap="square" lIns="0" tIns="0" rIns="0" bIns="0" anchor="ctr" anchorCtr="1"/>
        <a:lstStyle/>
        <a:p>
          <a:pPr algn="ctr" rtl="0">
            <a:defRPr/>
          </a:pPr>
          <a:r>
            <a:rPr lang="it-IT" sz="1400" b="1" i="0" u="none" strike="noStrike" kern="1200" spc="2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p-vep 15 lat</a:t>
          </a:r>
        </a:p>
      </cx:txPr>
    </cx:title>
    <cx:plotArea>
      <cx:plotAreaRegion>
        <cx:series layoutId="boxWhisker" uniqueId="{0FC04749-5FC1-444C-A6F6-C381626C3C1A}">
          <cx:dataId val="0"/>
          <cx:layoutPr>
            <cx:statistics quartileMethod="exclusive"/>
          </cx:layoutPr>
        </cx:series>
        <cx:series layoutId="boxWhisker" uniqueId="{77B5F73F-84DC-4D00-85E1-2A0F20CD56F5}">
          <cx:spPr>
            <a:solidFill>
              <a:srgbClr val="FF0000"/>
            </a:solidFill>
          </cx:spPr>
          <cx:dataId val="1"/>
          <cx:layoutPr>
            <cx:statistics quartileMethod="exclusive"/>
          </cx:layoutPr>
        </cx:series>
      </cx:plotAreaRegion>
      <cx:axis id="0" hidden="1">
        <cx:catScaling gapWidth="1"/>
        <cx:tickLabels/>
      </cx:axis>
      <cx:axis id="1">
        <cx:valScaling/>
        <cx:maj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6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'normalità e boxplot'!$W$85:$W$104</cx:f>
        <cx:lvl ptCount="20" formatCode="0,0">
          <cx:pt idx="0">7.6999999999999993</cx:pt>
          <cx:pt idx="1">9.1500000000000004</cx:pt>
          <cx:pt idx="2">13.4</cx:pt>
          <cx:pt idx="3">14.149999999999999</cx:pt>
          <cx:pt idx="4">14.9</cx:pt>
          <cx:pt idx="5">15.050000000000001</cx:pt>
          <cx:pt idx="6">18.200000000000003</cx:pt>
          <cx:pt idx="7">18.25</cx:pt>
          <cx:pt idx="8">18.25</cx:pt>
          <cx:pt idx="9">18.75</cx:pt>
          <cx:pt idx="10">19.149999999999999</cx:pt>
          <cx:pt idx="11">20.149999999999999</cx:pt>
          <cx:pt idx="12">20.399999999999999</cx:pt>
          <cx:pt idx="13">21.399999999999999</cx:pt>
          <cx:pt idx="14">21.5</cx:pt>
          <cx:pt idx="15">21.549999999999997</cx:pt>
          <cx:pt idx="16">23.450000000000003</cx:pt>
          <cx:pt idx="17">27.100000000000001</cx:pt>
          <cx:pt idx="18">27.25</cx:pt>
          <cx:pt idx="19">29.350000000000001</cx:pt>
        </cx:lvl>
      </cx:numDim>
    </cx:data>
    <cx:data id="1">
      <cx:numDim type="val">
        <cx:f>'normalità e boxplot'!$X$85:$X$104</cx:f>
        <cx:lvl ptCount="20" formatCode="Standard">
          <cx:pt idx="0">6.0499999999999998</cx:pt>
          <cx:pt idx="1">6.4000000000000004</cx:pt>
          <cx:pt idx="2">6.8499999999999996</cx:pt>
          <cx:pt idx="3">7.0999999999999996</cx:pt>
          <cx:pt idx="4">7.1500000000000004</cx:pt>
          <cx:pt idx="5">9.1999999999999993</cx:pt>
          <cx:pt idx="6">9.3999999999999986</cx:pt>
          <cx:pt idx="7">10.199999999999999</cx:pt>
          <cx:pt idx="8">10.350000000000001</cx:pt>
          <cx:pt idx="9">10.4</cx:pt>
          <cx:pt idx="10">11.4</cx:pt>
          <cx:pt idx="11">11.449999999999999</cx:pt>
          <cx:pt idx="12">13.5</cx:pt>
          <cx:pt idx="13">13.6</cx:pt>
          <cx:pt idx="14">15.199999999999999</cx:pt>
          <cx:pt idx="15">17.649999999999999</cx:pt>
          <cx:pt idx="16">17.75</cx:pt>
          <cx:pt idx="17">22.850000000000001</cx:pt>
        </cx:lvl>
      </cx:numDim>
    </cx:data>
  </cx:chartData>
  <cx:chart>
    <cx:title pos="t" align="ctr" overlay="0">
      <cx:tx>
        <cx:txData>
          <cx:v>p-vep 15 ampl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it-IT" sz="14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p-vep 15 ampl</a:t>
          </a:r>
        </a:p>
      </cx:txPr>
    </cx:title>
    <cx:plotArea>
      <cx:plotAreaRegion>
        <cx:series layoutId="boxWhisker" uniqueId="{BA7765A2-9678-45BD-B977-A246922CD0F3}">
          <cx:dataId val="0"/>
          <cx:layoutPr>
            <cx:visibility meanLine="0" meanMarker="1" nonoutliers="0" outliers="1"/>
            <cx:statistics quartileMethod="exclusive"/>
          </cx:layoutPr>
        </cx:series>
        <cx:series layoutId="boxWhisker" uniqueId="{C5ADDDF7-13CD-40AA-B0AA-3DA4404E4601}">
          <cx:spPr>
            <a:solidFill>
              <a:srgbClr val="FF0000"/>
            </a:solidFill>
          </cx:spPr>
          <cx:dataId val="1"/>
          <cx:layoutPr>
            <cx:visibility meanLine="0" meanMarker="1" nonoutliers="0" outliers="1"/>
            <cx:statistics quartileMethod="exclusive"/>
          </cx:layoutPr>
        </cx:series>
      </cx:plotAreaRegion>
      <cx:axis id="0" hidden="1">
        <cx:catScaling gapWidth="1"/>
        <cx:tickLabels/>
      </cx:axis>
      <cx:axis id="1">
        <cx:valScaling/>
        <cx:majorGridlines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7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baseline="0"/>
    <cs:bodyPr rot="-60000000" vert="horz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/>
    <cs:fillRef idx="0"/>
    <cs:effectRef idx="0"/>
    <cs:fontRef idx="minor">
      <a:schemeClr val="dk1"/>
    </cs:fontRef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lumMod val="60000"/>
        </a:schemeClr>
      </a:solidFill>
      <a:ln w="9525" cap="flat" cmpd="sng" algn="ctr">
        <a:solidFill>
          <a:schemeClr val="phClr">
            <a:lumMod val="60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25400" cap="sq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  <cs:bodyPr rot="-60000000" vert="horz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ajor">
      <a:schemeClr val="tx1">
        <a:lumMod val="50000"/>
        <a:lumOff val="50000"/>
      </a:schemeClr>
    </cs:fontRef>
    <cs:defRPr sz="1400" b="1" i="0" kern="1200" spc="20" baseline="0"/>
    <cs:bodyPr rot="0" vert="horz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  <cs:bodyPr rot="-60000000" vert="horz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7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baseline="0"/>
    <cs:bodyPr rot="-60000000" vert="horz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/>
    <cs:fillRef idx="0"/>
    <cs:effectRef idx="0"/>
    <cs:fontRef idx="minor">
      <a:schemeClr val="dk1"/>
    </cs:fontRef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lumMod val="60000"/>
        </a:schemeClr>
      </a:solidFill>
      <a:ln w="9525" cap="flat" cmpd="sng" algn="ctr">
        <a:solidFill>
          <a:schemeClr val="phClr">
            <a:lumMod val="60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25400" cap="sq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  <cs:bodyPr rot="-60000000" vert="horz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ajor">
      <a:schemeClr val="tx1">
        <a:lumMod val="50000"/>
        <a:lumOff val="50000"/>
      </a:schemeClr>
    </cs:fontRef>
    <cs:defRPr sz="1400" b="1" i="0" kern="1200" spc="20" baseline="0"/>
    <cs:bodyPr rot="0" vert="horz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  <cs:bodyPr rot="-60000000" vert="horz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7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baseline="0"/>
    <cs:bodyPr rot="-60000000" vert="horz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/>
    <cs:fillRef idx="0"/>
    <cs:effectRef idx="0"/>
    <cs:fontRef idx="minor">
      <a:schemeClr val="dk1"/>
    </cs:fontRef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lumMod val="60000"/>
        </a:schemeClr>
      </a:solidFill>
      <a:ln w="9525" cap="flat" cmpd="sng" algn="ctr">
        <a:solidFill>
          <a:schemeClr val="phClr">
            <a:lumMod val="60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25400" cap="sq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  <cs:bodyPr rot="-60000000" vert="horz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ajor">
      <a:schemeClr val="tx1">
        <a:lumMod val="50000"/>
        <a:lumOff val="50000"/>
      </a:schemeClr>
    </cs:fontRef>
    <cs:defRPr sz="1400" b="1" i="0" kern="1200" spc="20" baseline="0"/>
    <cs:bodyPr rot="0" vert="horz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  <cs:bodyPr rot="-60000000" vert="horz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Ludovico Alisi</dc:creator>
  <cp:lastModifiedBy>Mel Phimester</cp:lastModifiedBy>
  <cp:revision>3</cp:revision>
  <dcterms:created xsi:type="dcterms:W3CDTF">2021-03-12T01:52:00Z</dcterms:created>
  <dcterms:modified xsi:type="dcterms:W3CDTF">2021-03-12T01:53:00Z</dcterms:modified>
</cp:coreProperties>
</file>