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2129" w14:textId="77777777" w:rsidR="00CB3C91" w:rsidRPr="00CB3C91" w:rsidRDefault="00CB3C91" w:rsidP="00CB3C91">
      <w:pPr>
        <w:spacing w:line="360" w:lineRule="auto"/>
        <w:rPr>
          <w:b/>
          <w:bCs/>
          <w:lang w:val="en-US"/>
        </w:rPr>
      </w:pPr>
      <w:r w:rsidRPr="00CB3C91">
        <w:rPr>
          <w:rFonts w:ascii="Calibri" w:hAnsi="Calibri"/>
          <w:b/>
          <w:color w:val="000000"/>
          <w:lang w:val="en-US"/>
        </w:rPr>
        <w:t>Supplementary Table 1</w:t>
      </w:r>
      <w:r w:rsidRPr="00CB3C91">
        <w:rPr>
          <w:b/>
          <w:bCs/>
          <w:lang w:val="en-US"/>
        </w:rPr>
        <w:t xml:space="preserve">. Minimum, median and maximum values of insertion torque and resonance frequency </w:t>
      </w:r>
      <w:r w:rsidRPr="00CB3C91">
        <w:rPr>
          <w:rFonts w:ascii="Calibri" w:hAnsi="Calibri"/>
          <w:b/>
          <w:color w:val="000000"/>
          <w:lang w:val="en-US"/>
        </w:rPr>
        <w:t xml:space="preserve">for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HAnano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 xml:space="preserve">®,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SLActive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 xml:space="preserve">® and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TiUnite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>® groups</w:t>
      </w:r>
      <w:r w:rsidRPr="00CB3C91">
        <w:rPr>
          <w:b/>
          <w:bCs/>
          <w:lang w:val="en-US"/>
        </w:rPr>
        <w:t xml:space="preserve"> according to device/transducer.</w:t>
      </w:r>
    </w:p>
    <w:p w14:paraId="25901297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tbl>
      <w:tblPr>
        <w:tblStyle w:val="Tabelacomgrade"/>
        <w:tblW w:w="13887" w:type="dxa"/>
        <w:tblLayout w:type="fixed"/>
        <w:tblLook w:val="04A0" w:firstRow="1" w:lastRow="0" w:firstColumn="1" w:lastColumn="0" w:noHBand="0" w:noVBand="1"/>
      </w:tblPr>
      <w:tblGrid>
        <w:gridCol w:w="1129"/>
        <w:gridCol w:w="236"/>
        <w:gridCol w:w="1324"/>
        <w:gridCol w:w="1134"/>
        <w:gridCol w:w="1275"/>
        <w:gridCol w:w="284"/>
        <w:gridCol w:w="1276"/>
        <w:gridCol w:w="1417"/>
        <w:gridCol w:w="1276"/>
        <w:gridCol w:w="283"/>
        <w:gridCol w:w="1276"/>
        <w:gridCol w:w="1134"/>
        <w:gridCol w:w="1418"/>
        <w:gridCol w:w="425"/>
      </w:tblGrid>
      <w:tr w:rsidR="00CB3C91" w14:paraId="6C860923" w14:textId="77777777" w:rsidTr="00082CBA">
        <w:tc>
          <w:tcPr>
            <w:tcW w:w="1129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325E587" w14:textId="77777777" w:rsidR="00CB3C91" w:rsidRDefault="00CB3C91" w:rsidP="00082CBA">
            <w:pPr>
              <w:spacing w:line="36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Surfaces</w:t>
            </w:r>
            <w:proofErr w:type="spellEnd"/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E32822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733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887941E" w14:textId="77777777" w:rsidR="00CB3C91" w:rsidRPr="00C31446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C31446">
              <w:rPr>
                <w:rFonts w:ascii="Calibri" w:hAnsi="Calibri"/>
                <w:b/>
                <w:bCs/>
              </w:rPr>
              <w:t>Insertion</w:t>
            </w:r>
            <w:proofErr w:type="spellEnd"/>
            <w:r w:rsidRPr="00C31446">
              <w:rPr>
                <w:rFonts w:ascii="Calibri" w:hAnsi="Calibri"/>
                <w:b/>
                <w:bCs/>
              </w:rPr>
              <w:t xml:space="preserve"> torque</w:t>
            </w:r>
          </w:p>
        </w:tc>
        <w:tc>
          <w:tcPr>
            <w:tcW w:w="28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4A0ECE" w14:textId="77777777" w:rsidR="00CB3C91" w:rsidRPr="00C31446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7826A862" w14:textId="77777777" w:rsidR="00CB3C91" w:rsidRPr="00C31446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C31446">
              <w:rPr>
                <w:rFonts w:ascii="Calibri" w:hAnsi="Calibri"/>
                <w:b/>
                <w:bCs/>
              </w:rPr>
              <w:t>Osstell</w:t>
            </w:r>
            <w:proofErr w:type="spellEnd"/>
            <w:r>
              <w:rPr>
                <w:rFonts w:ascii="Calibri" w:hAnsi="Calibri"/>
                <w:b/>
                <w:bCs/>
              </w:rPr>
              <w:t>®</w:t>
            </w:r>
            <w:r w:rsidRPr="00C31446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C31446">
              <w:rPr>
                <w:rFonts w:ascii="Calibri" w:hAnsi="Calibri"/>
                <w:b/>
                <w:bCs/>
              </w:rPr>
              <w:t>Smart</w:t>
            </w:r>
            <w:proofErr w:type="spellEnd"/>
            <w:r w:rsidRPr="00C31446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C31446">
              <w:rPr>
                <w:rFonts w:ascii="Calibri" w:hAnsi="Calibri"/>
                <w:b/>
                <w:bCs/>
              </w:rPr>
              <w:t>Peg</w:t>
            </w:r>
            <w:proofErr w:type="spellEnd"/>
            <w:r>
              <w:rPr>
                <w:rFonts w:ascii="Calibri" w:hAnsi="Calibri"/>
                <w:b/>
                <w:bCs/>
              </w:rPr>
              <w:t>®</w:t>
            </w:r>
          </w:p>
        </w:tc>
        <w:tc>
          <w:tcPr>
            <w:tcW w:w="2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16B69A" w14:textId="77777777" w:rsidR="00CB3C91" w:rsidRPr="00C31446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828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8682DA7" w14:textId="77777777" w:rsidR="00CB3C91" w:rsidRPr="00C31446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C31446">
              <w:rPr>
                <w:rFonts w:ascii="Calibri" w:hAnsi="Calibri"/>
                <w:b/>
                <w:bCs/>
              </w:rPr>
              <w:t>Penguin</w:t>
            </w:r>
            <w:proofErr w:type="spellEnd"/>
            <w:r>
              <w:rPr>
                <w:rFonts w:ascii="Calibri" w:hAnsi="Calibri"/>
                <w:b/>
                <w:bCs/>
              </w:rPr>
              <w:t>®</w:t>
            </w:r>
            <w:r w:rsidRPr="00C31446">
              <w:rPr>
                <w:rFonts w:ascii="Calibri" w:hAnsi="Calibri"/>
                <w:b/>
                <w:bCs/>
              </w:rPr>
              <w:t>/</w:t>
            </w:r>
            <w:proofErr w:type="spellStart"/>
            <w:r w:rsidRPr="00C31446">
              <w:rPr>
                <w:rFonts w:ascii="Calibri" w:hAnsi="Calibri"/>
                <w:b/>
                <w:bCs/>
              </w:rPr>
              <w:t>Multi</w:t>
            </w:r>
            <w:proofErr w:type="spellEnd"/>
            <w:r w:rsidRPr="00C31446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C31446">
              <w:rPr>
                <w:rFonts w:ascii="Calibri" w:hAnsi="Calibri"/>
                <w:b/>
                <w:bCs/>
              </w:rPr>
              <w:t>Peg</w:t>
            </w:r>
            <w:proofErr w:type="spellEnd"/>
            <w:r>
              <w:rPr>
                <w:rFonts w:ascii="Calibri" w:hAnsi="Calibri"/>
                <w:b/>
                <w:bCs/>
              </w:rPr>
              <w:t>®</w:t>
            </w:r>
          </w:p>
        </w:tc>
        <w:tc>
          <w:tcPr>
            <w:tcW w:w="425" w:type="dxa"/>
            <w:tcBorders>
              <w:left w:val="single" w:sz="4" w:space="0" w:color="FFFFFF"/>
              <w:right w:val="single" w:sz="4" w:space="0" w:color="FFFFFF"/>
            </w:tcBorders>
          </w:tcPr>
          <w:p w14:paraId="5FAC354F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B3C91" w14:paraId="70C83F7B" w14:textId="77777777" w:rsidTr="00082CBA">
        <w:tc>
          <w:tcPr>
            <w:tcW w:w="112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198411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EC5FDD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3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26531D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Minimum</w:t>
            </w:r>
            <w:proofErr w:type="spellEnd"/>
          </w:p>
          <w:p w14:paraId="1A4F515C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(N/cm)</w:t>
            </w: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F0F762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Median</w:t>
            </w:r>
            <w:proofErr w:type="spellEnd"/>
          </w:p>
          <w:p w14:paraId="0A4F56F4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(N/cm)</w:t>
            </w:r>
          </w:p>
        </w:tc>
        <w:tc>
          <w:tcPr>
            <w:tcW w:w="12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C774EE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Maximum</w:t>
            </w:r>
            <w:proofErr w:type="spellEnd"/>
          </w:p>
          <w:p w14:paraId="1EDDA155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(N/cm)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830FAC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FD1280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Minimum</w:t>
            </w:r>
            <w:proofErr w:type="spellEnd"/>
          </w:p>
          <w:p w14:paraId="3CBB8A3F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B37340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Median</w:t>
            </w:r>
            <w:proofErr w:type="spellEnd"/>
          </w:p>
          <w:p w14:paraId="5C5901FD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AE3967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Maximum</w:t>
            </w:r>
            <w:proofErr w:type="spellEnd"/>
          </w:p>
          <w:p w14:paraId="7FDD03DF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EA91F3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EDEE92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Minimum</w:t>
            </w:r>
            <w:proofErr w:type="spellEnd"/>
          </w:p>
          <w:p w14:paraId="1BE621F8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B1F325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Median</w:t>
            </w:r>
            <w:proofErr w:type="spellEnd"/>
          </w:p>
          <w:p w14:paraId="53C9BA4B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141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FC9FA4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Maximum</w:t>
            </w:r>
            <w:proofErr w:type="spellEnd"/>
          </w:p>
          <w:p w14:paraId="028552F7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(ISQ)</w:t>
            </w:r>
          </w:p>
        </w:tc>
        <w:tc>
          <w:tcPr>
            <w:tcW w:w="4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CC6EEC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CB3C91" w14:paraId="27585DCA" w14:textId="77777777" w:rsidTr="00082CBA">
        <w:tc>
          <w:tcPr>
            <w:tcW w:w="1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84A2B" w14:textId="77777777" w:rsidR="00CB3C91" w:rsidRPr="00C31446" w:rsidRDefault="00CB3C91" w:rsidP="00082CBA">
            <w:pPr>
              <w:spacing w:line="360" w:lineRule="auto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b/>
                <w:bCs/>
              </w:rPr>
              <w:t>HAn</w:t>
            </w:r>
            <w:r w:rsidRPr="00C31446">
              <w:rPr>
                <w:b/>
                <w:bCs/>
              </w:rPr>
              <w:t>ano</w:t>
            </w:r>
            <w:proofErr w:type="spellEnd"/>
            <w:r w:rsidRPr="00C31446">
              <w:rPr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823076" w14:textId="77777777" w:rsidR="00CB3C91" w:rsidRDefault="00CB3C91" w:rsidP="00082CB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89D45E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A4E827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6AD705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78CCB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712781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055EF3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75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185703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76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CED38C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968A50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76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44DA7B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82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7E7C19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82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6B95A3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</w:p>
        </w:tc>
      </w:tr>
      <w:tr w:rsidR="00CB3C91" w14:paraId="322B1447" w14:textId="77777777" w:rsidTr="00082CBA">
        <w:tc>
          <w:tcPr>
            <w:tcW w:w="11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12E47B" w14:textId="77777777" w:rsidR="00CB3C91" w:rsidRPr="00C31446" w:rsidRDefault="00CB3C91" w:rsidP="00082CBA">
            <w:pPr>
              <w:spacing w:line="360" w:lineRule="auto"/>
              <w:rPr>
                <w:rFonts w:ascii="Calibri" w:hAnsi="Calibri"/>
                <w:b/>
                <w:bCs/>
              </w:rPr>
            </w:pPr>
            <w:proofErr w:type="spellStart"/>
            <w:r w:rsidRPr="00C31446">
              <w:rPr>
                <w:b/>
                <w:bCs/>
              </w:rPr>
              <w:t>SLActive</w:t>
            </w:r>
            <w:proofErr w:type="spellEnd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D3EAD8" w14:textId="77777777" w:rsidR="00CB3C91" w:rsidRDefault="00CB3C91" w:rsidP="00082CB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E54818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0BA294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68C3C9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2BBC74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E97E16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970AEE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77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8B0688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79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86607B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3016B0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83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E34D21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86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12DA1C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89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4625F6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</w:p>
        </w:tc>
      </w:tr>
      <w:tr w:rsidR="00CB3C91" w14:paraId="535A8217" w14:textId="77777777" w:rsidTr="00082CBA">
        <w:tc>
          <w:tcPr>
            <w:tcW w:w="112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9B5AD54" w14:textId="77777777" w:rsidR="00CB3C91" w:rsidRPr="00C31446" w:rsidRDefault="00CB3C91" w:rsidP="00082CBA">
            <w:pPr>
              <w:spacing w:line="360" w:lineRule="auto"/>
              <w:rPr>
                <w:rFonts w:ascii="Calibri" w:hAnsi="Calibri"/>
                <w:b/>
                <w:bCs/>
              </w:rPr>
            </w:pPr>
            <w:proofErr w:type="spellStart"/>
            <w:r w:rsidRPr="00C31446">
              <w:rPr>
                <w:b/>
                <w:bCs/>
              </w:rPr>
              <w:t>TiUnite</w:t>
            </w:r>
            <w:proofErr w:type="spellEnd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9C73893" w14:textId="77777777" w:rsidR="00CB3C91" w:rsidRDefault="00CB3C91" w:rsidP="00082CBA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2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AD216B3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28BDACD1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F9B94F6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EAE5C56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2192735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A01FF88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80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9B4F819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80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6E9E9BF0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5D1439E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581BE0EF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87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091172D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 w:rsidRPr="003E566C">
              <w:rPr>
                <w:rFonts w:ascii="Calibri" w:hAnsi="Calibri" w:cs="Calibri"/>
              </w:rPr>
              <w:t>88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932F7D6" w14:textId="77777777" w:rsidR="00CB3C91" w:rsidRDefault="00CB3C91" w:rsidP="00082CBA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</w:p>
        </w:tc>
      </w:tr>
    </w:tbl>
    <w:p w14:paraId="523D92C8" w14:textId="77777777" w:rsid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</w:rPr>
      </w:pPr>
    </w:p>
    <w:p w14:paraId="1F34E81D" w14:textId="77777777" w:rsidR="00CB3C91" w:rsidRPr="00CB3C91" w:rsidRDefault="00CB3C91" w:rsidP="00CB3C91">
      <w:pPr>
        <w:spacing w:line="360" w:lineRule="auto"/>
        <w:rPr>
          <w:rFonts w:ascii="Calibri" w:hAnsi="Calibri"/>
          <w:color w:val="000000"/>
          <w:lang w:val="en-US"/>
        </w:rPr>
      </w:pPr>
      <w:r w:rsidRPr="00CB3C91">
        <w:rPr>
          <w:rFonts w:ascii="Calibri" w:hAnsi="Calibri"/>
          <w:b/>
          <w:bCs/>
          <w:color w:val="000000"/>
          <w:lang w:val="en-US"/>
        </w:rPr>
        <w:t>Abbreviations</w:t>
      </w:r>
      <w:r w:rsidRPr="00CB3C91">
        <w:rPr>
          <w:rFonts w:ascii="Calibri" w:hAnsi="Calibri"/>
          <w:color w:val="000000"/>
          <w:lang w:val="en-US"/>
        </w:rPr>
        <w:t xml:space="preserve">: SD (standard deviation); ISQ (implant stability coefficient); RFA (resonance frequency analysis). </w:t>
      </w:r>
    </w:p>
    <w:p w14:paraId="4BB951C3" w14:textId="77777777" w:rsidR="00CB3C91" w:rsidRPr="00CB3C91" w:rsidRDefault="00CB3C91" w:rsidP="00CB3C91">
      <w:pPr>
        <w:spacing w:line="360" w:lineRule="auto"/>
        <w:rPr>
          <w:rFonts w:ascii="Calibri" w:hAnsi="Calibri"/>
          <w:lang w:val="en-US"/>
        </w:rPr>
      </w:pPr>
      <w:r w:rsidRPr="00CB3C91">
        <w:rPr>
          <w:rFonts w:ascii="Calibri" w:hAnsi="Calibri"/>
          <w:lang w:val="en-US"/>
        </w:rPr>
        <w:t xml:space="preserve">(*) Significant difference vs. </w:t>
      </w:r>
      <w:proofErr w:type="spellStart"/>
      <w:r w:rsidRPr="00CB3C91">
        <w:rPr>
          <w:rFonts w:ascii="Calibri" w:hAnsi="Calibri"/>
          <w:lang w:val="en-US"/>
        </w:rPr>
        <w:t>Osstell</w:t>
      </w:r>
      <w:proofErr w:type="spellEnd"/>
      <w:r w:rsidRPr="00CB3C91">
        <w:rPr>
          <w:rFonts w:ascii="Calibri" w:hAnsi="Calibri"/>
          <w:lang w:val="en-US"/>
        </w:rPr>
        <w:t>/Smart Peg</w:t>
      </w:r>
      <w:r w:rsidRPr="00CB3C91">
        <w:rPr>
          <w:rFonts w:ascii="Calibri" w:hAnsi="Calibri"/>
          <w:color w:val="000000"/>
          <w:lang w:val="en-US"/>
        </w:rPr>
        <w:t>.</w:t>
      </w:r>
    </w:p>
    <w:p w14:paraId="1F828CA5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6E5A5182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19F5D194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0675DD3B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72B4D854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1EDBFBB0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3E9EFB65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741F2A7B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6AAD93E3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</w:p>
    <w:p w14:paraId="200F5830" w14:textId="77777777" w:rsidR="00CB3C91" w:rsidRPr="00CB3C91" w:rsidRDefault="00CB3C91" w:rsidP="00CB3C9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Calibri" w:hAnsi="Calibri"/>
          <w:b/>
          <w:color w:val="000000"/>
          <w:lang w:val="en-US"/>
        </w:rPr>
      </w:pPr>
      <w:r w:rsidRPr="00CB3C91">
        <w:rPr>
          <w:rFonts w:ascii="Calibri" w:hAnsi="Calibri"/>
          <w:b/>
          <w:color w:val="000000"/>
          <w:lang w:val="en-US"/>
        </w:rPr>
        <w:t xml:space="preserve">Supplementary Table 2. Mean, standard deviation, minimum and maximum values of bone area fraction occupancy (BAFO) and bone-implant contact (BIC) for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HAnano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 xml:space="preserve">®,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SLActive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 xml:space="preserve">® and </w:t>
      </w:r>
      <w:proofErr w:type="spellStart"/>
      <w:r w:rsidRPr="00CB3C91">
        <w:rPr>
          <w:rFonts w:ascii="Calibri" w:hAnsi="Calibri"/>
          <w:b/>
          <w:color w:val="000000"/>
          <w:lang w:val="en-US"/>
        </w:rPr>
        <w:t>TiUnite</w:t>
      </w:r>
      <w:proofErr w:type="spellEnd"/>
      <w:r w:rsidRPr="00CB3C91">
        <w:rPr>
          <w:rFonts w:ascii="Calibri" w:hAnsi="Calibri"/>
          <w:b/>
          <w:color w:val="000000"/>
          <w:lang w:val="en-US"/>
        </w:rPr>
        <w:t xml:space="preserve">® groups after 21- and 28-days post-implantation. </w:t>
      </w:r>
    </w:p>
    <w:p w14:paraId="07B6F26C" w14:textId="77777777" w:rsidR="00CB3C91" w:rsidRPr="00CB3C91" w:rsidRDefault="00CB3C91" w:rsidP="00CB3C91">
      <w:pPr>
        <w:spacing w:line="360" w:lineRule="auto"/>
        <w:jc w:val="both"/>
        <w:rPr>
          <w:rFonts w:cs="Arial"/>
          <w:color w:val="000000" w:themeColor="text1"/>
          <w:szCs w:val="20"/>
          <w:lang w:val="en-US"/>
        </w:rPr>
      </w:pPr>
    </w:p>
    <w:tbl>
      <w:tblPr>
        <w:tblW w:w="13911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0"/>
        <w:gridCol w:w="1261"/>
        <w:gridCol w:w="1546"/>
        <w:gridCol w:w="453"/>
        <w:gridCol w:w="142"/>
        <w:gridCol w:w="992"/>
        <w:gridCol w:w="850"/>
        <w:gridCol w:w="736"/>
        <w:gridCol w:w="608"/>
        <w:gridCol w:w="924"/>
        <w:gridCol w:w="1135"/>
        <w:gridCol w:w="1326"/>
        <w:gridCol w:w="216"/>
        <w:gridCol w:w="270"/>
        <w:gridCol w:w="910"/>
        <w:gridCol w:w="764"/>
        <w:gridCol w:w="878"/>
      </w:tblGrid>
      <w:tr w:rsidR="00CB3C91" w:rsidRPr="00EE3C1B" w14:paraId="207595A9" w14:textId="77777777" w:rsidTr="00082CB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7EC991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3C91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Period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077938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C2465E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1242B6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9633A9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</w:t>
            </w: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489178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016F7B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1E6EB7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8A42B1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Period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2D537A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E81443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5E16DF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BIC (%)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A03C42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34823F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3C91" w:rsidRPr="00EE3C1B" w14:paraId="34625BEF" w14:textId="77777777" w:rsidTr="00082CBA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FB4803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(</w:t>
            </w: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Days</w:t>
            </w:r>
            <w:proofErr w:type="spellEnd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069035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D6F10F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Mean</w:t>
            </w:r>
            <w:proofErr w:type="spellEnd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 xml:space="preserve"> (n=5)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6EAA1F2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537E0F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817C152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601F49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C9D0BB6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D716F1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(</w:t>
            </w: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Days</w:t>
            </w:r>
            <w:proofErr w:type="spellEnd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97DC84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F379EF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Mean</w:t>
            </w:r>
            <w:proofErr w:type="spellEnd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 xml:space="preserve"> (n=5)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99B8B1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4F234F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SD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0A72B4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DF3789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Max</w:t>
            </w:r>
          </w:p>
        </w:tc>
      </w:tr>
      <w:tr w:rsidR="00CB3C91" w:rsidRPr="00EE3C1B" w14:paraId="080A7779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6DBF82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958B657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Nano HA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5818D3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47,96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BD1BBD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DDE745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5,377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DFE1217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43,12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08D5E6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57,14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028E5B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1BFC92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B539C4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Nano 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75EE0C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66,09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39EDAC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5F9283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13,12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6848551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51,43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B4ECB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77,99</w:t>
            </w:r>
          </w:p>
        </w:tc>
      </w:tr>
      <w:tr w:rsidR="00CB3C91" w:rsidRPr="00EE3C1B" w14:paraId="6ABFB0C2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961981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D5D1459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SLA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ctive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6E273CC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44,49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8812E4D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EDA2DF8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9,024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224F72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30,91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4EA5C6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56,04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3A8335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9C85FC6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0EE867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SLActive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1F6771B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66,54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442FC8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DE9F7DB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11,04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D64B20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49,3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0CD7CD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76,04</w:t>
            </w:r>
          </w:p>
        </w:tc>
      </w:tr>
      <w:tr w:rsidR="00CB3C91" w:rsidRPr="00EE3C1B" w14:paraId="1F8EFC6E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ECE1C9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89EB7A8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TiUnite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F8877D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41,5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872AFFB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2D62DC4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2,694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A67C2A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38,18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6F6276F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45,44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C538E70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C8C329B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97E4EEF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TiUnite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DA6EC82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61,34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7CC0E38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4A4FC2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7,278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FE2C861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53,26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2DF14E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69,2</w:t>
            </w:r>
          </w:p>
        </w:tc>
      </w:tr>
      <w:tr w:rsidR="00CB3C91" w:rsidRPr="00EE3C1B" w14:paraId="4736824A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76B930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AB4D3E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Nano HA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BEFF17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65,53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4CFEB4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42810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6,227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11E493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59,69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77AB16C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72,75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F543CA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368820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113B9E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Nano HA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291051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82,27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63A6E7" w14:textId="77777777" w:rsidR="00CB3C91" w:rsidRPr="00DE6BBA" w:rsidRDefault="00CB3C91" w:rsidP="00082CBA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06BD97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3,381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A4233E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76,81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E8F61D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85,2</w:t>
            </w:r>
          </w:p>
        </w:tc>
      </w:tr>
      <w:tr w:rsidR="00CB3C91" w:rsidRPr="00EE3C1B" w14:paraId="0CDEBCB2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311CDD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42D04CE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SLA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ctive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E1E275A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62,56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5D8A3B4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0CFB8B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7,898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1AE475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BB11A0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73,56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A01F03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D2818A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4C087F7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SLActive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92CD9BC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82,83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8A9D452" w14:textId="77777777" w:rsidR="00CB3C91" w:rsidRPr="00DE6BBA" w:rsidRDefault="00CB3C91" w:rsidP="00082CBA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6430B29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6,846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0FCE4E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77,7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A6A58D4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94,08</w:t>
            </w:r>
          </w:p>
        </w:tc>
      </w:tr>
      <w:tr w:rsidR="00CB3C91" w:rsidRPr="00EE3C1B" w14:paraId="46B4ABD6" w14:textId="77777777" w:rsidTr="00082CB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F9BFEB" w14:textId="77777777" w:rsidR="00CB3C91" w:rsidRPr="00EE3C1B" w:rsidRDefault="00CB3C91" w:rsidP="00082CBA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344909C" w14:textId="77777777" w:rsidR="00CB3C91" w:rsidRPr="00EE3C1B" w:rsidRDefault="00CB3C91" w:rsidP="00082CBA">
            <w:pPr>
              <w:spacing w:line="36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EE3C1B">
              <w:rPr>
                <w:rFonts w:ascii="Calibri" w:hAnsi="Calibri"/>
                <w:color w:val="000000"/>
                <w:sz w:val="22"/>
                <w:szCs w:val="22"/>
              </w:rPr>
              <w:t>TiUnite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6C7C47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55,68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4E86DD6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CA6D81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5,827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D7C1A1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48,78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2C408A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63,6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BB4BC22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A24190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BA09A7" w14:textId="77777777" w:rsidR="00CB3C91" w:rsidRPr="00DE6BBA" w:rsidRDefault="00CB3C91" w:rsidP="00082CBA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TiUnite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2112B6D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80,46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7BBD3AE" w14:textId="77777777" w:rsidR="00CB3C91" w:rsidRPr="00DE6BBA" w:rsidRDefault="00CB3C91" w:rsidP="00082CBA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BB4A74E" w14:textId="77777777" w:rsidR="00CB3C91" w:rsidRPr="00DE6BBA" w:rsidRDefault="00CB3C91" w:rsidP="00082CBA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10,04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C834728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70,59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34DB20F" w14:textId="77777777" w:rsidR="00CB3C91" w:rsidRPr="00DE6BBA" w:rsidRDefault="00CB3C91" w:rsidP="00082CBA">
            <w:pPr>
              <w:spacing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BBA">
              <w:rPr>
                <w:rFonts w:ascii="Calibri" w:hAnsi="Calibri" w:cs="Calibri"/>
                <w:sz w:val="22"/>
                <w:szCs w:val="22"/>
              </w:rPr>
              <w:t>93,11</w:t>
            </w:r>
          </w:p>
        </w:tc>
      </w:tr>
    </w:tbl>
    <w:p w14:paraId="1C310809" w14:textId="77777777" w:rsidR="00CB3C91" w:rsidRDefault="00CB3C91" w:rsidP="00CB3C91">
      <w:pPr>
        <w:spacing w:line="360" w:lineRule="auto"/>
        <w:jc w:val="both"/>
        <w:rPr>
          <w:rFonts w:cs="Arial"/>
          <w:color w:val="000000" w:themeColor="text1"/>
          <w:szCs w:val="20"/>
        </w:rPr>
      </w:pPr>
    </w:p>
    <w:p w14:paraId="200E0C33" w14:textId="77777777" w:rsidR="00CB3C91" w:rsidRPr="00CB3C91" w:rsidRDefault="00CB3C91" w:rsidP="00CB3C91">
      <w:pPr>
        <w:spacing w:line="360" w:lineRule="auto"/>
        <w:rPr>
          <w:rFonts w:ascii="Calibri" w:hAnsi="Calibri"/>
          <w:color w:val="000000"/>
          <w:lang w:val="en-US"/>
        </w:rPr>
      </w:pPr>
      <w:r w:rsidRPr="00CB3C91">
        <w:rPr>
          <w:rFonts w:ascii="Calibri" w:hAnsi="Calibri"/>
          <w:b/>
          <w:bCs/>
          <w:color w:val="000000"/>
          <w:lang w:val="en-US"/>
        </w:rPr>
        <w:t>Abbreviations</w:t>
      </w:r>
      <w:r w:rsidRPr="00CB3C91">
        <w:rPr>
          <w:rFonts w:ascii="Calibri" w:hAnsi="Calibri"/>
          <w:color w:val="000000"/>
          <w:lang w:val="en-US"/>
        </w:rPr>
        <w:t>: BAFO (bone area fraction occupancy); BIC (bone-implant contact); SD (standard deviation); Min (minimum); Max (maximum).</w:t>
      </w:r>
    </w:p>
    <w:p w14:paraId="55F6CC94" w14:textId="38A379A6" w:rsidR="00CB3C91" w:rsidRDefault="00CB3C91" w:rsidP="00CB3C91">
      <w:pPr>
        <w:spacing w:line="360" w:lineRule="auto"/>
        <w:rPr>
          <w:rFonts w:ascii="Calibri" w:hAnsi="Calibri"/>
          <w:color w:val="000000"/>
          <w:lang w:val="en-US"/>
        </w:rPr>
      </w:pPr>
      <w:r w:rsidRPr="00CB3C91">
        <w:rPr>
          <w:rFonts w:ascii="Calibri" w:hAnsi="Calibri"/>
          <w:color w:val="000000"/>
          <w:lang w:val="en-US"/>
        </w:rPr>
        <w:t>(</w:t>
      </w:r>
      <w:r w:rsidRPr="00CB3C91">
        <w:rPr>
          <w:rFonts w:ascii="Calibri" w:hAnsi="Calibri"/>
          <w:b/>
          <w:bCs/>
          <w:color w:val="000000"/>
          <w:lang w:val="en-US"/>
        </w:rPr>
        <w:t>*</w:t>
      </w:r>
      <w:r w:rsidRPr="00CB3C91">
        <w:rPr>
          <w:rFonts w:ascii="Calibri" w:hAnsi="Calibri"/>
          <w:color w:val="000000"/>
          <w:lang w:val="en-US"/>
        </w:rPr>
        <w:t xml:space="preserve">) Significant difference </w:t>
      </w:r>
      <w:r w:rsidRPr="00CB3C91">
        <w:rPr>
          <w:rFonts w:ascii="Calibri" w:hAnsi="Calibri"/>
          <w:i/>
          <w:iCs/>
          <w:color w:val="000000"/>
          <w:lang w:val="en-US"/>
        </w:rPr>
        <w:t>vs. the</w:t>
      </w:r>
      <w:r w:rsidRPr="00CB3C91">
        <w:rPr>
          <w:rFonts w:ascii="Calibri" w:hAnsi="Calibri"/>
          <w:color w:val="000000"/>
          <w:lang w:val="en-US"/>
        </w:rPr>
        <w:t xml:space="preserve"> same group at previous experimental period</w:t>
      </w:r>
      <w:r w:rsidR="00CE0904">
        <w:rPr>
          <w:rFonts w:ascii="Calibri" w:hAnsi="Calibri"/>
          <w:color w:val="000000"/>
          <w:lang w:val="en-US"/>
        </w:rPr>
        <w:t>.</w:t>
      </w:r>
    </w:p>
    <w:p w14:paraId="727EAE64" w14:textId="00F53169" w:rsidR="00CE0904" w:rsidRDefault="00CE0904" w:rsidP="00CB3C91">
      <w:pPr>
        <w:spacing w:line="360" w:lineRule="auto"/>
        <w:rPr>
          <w:rFonts w:ascii="Calibri" w:hAnsi="Calibri"/>
          <w:color w:val="000000"/>
          <w:lang w:val="en-US"/>
        </w:rPr>
      </w:pPr>
    </w:p>
    <w:p w14:paraId="59753F04" w14:textId="01FF6D4D" w:rsidR="00CE0904" w:rsidRDefault="00CE0904" w:rsidP="00CB3C91">
      <w:pPr>
        <w:spacing w:line="360" w:lineRule="auto"/>
        <w:rPr>
          <w:rFonts w:ascii="Calibri" w:hAnsi="Calibri"/>
          <w:color w:val="000000"/>
          <w:lang w:val="en-US"/>
        </w:rPr>
      </w:pPr>
    </w:p>
    <w:p w14:paraId="3F10D0AE" w14:textId="0322756A" w:rsidR="00CE0904" w:rsidRDefault="00CE0904" w:rsidP="00CB3C91">
      <w:pPr>
        <w:spacing w:line="360" w:lineRule="auto"/>
        <w:rPr>
          <w:rFonts w:ascii="Calibri" w:hAnsi="Calibri"/>
          <w:color w:val="000000"/>
          <w:lang w:val="en-US"/>
        </w:rPr>
      </w:pPr>
    </w:p>
    <w:p w14:paraId="5BFF1196" w14:textId="63529C88" w:rsidR="00CE0904" w:rsidRDefault="00CE0904" w:rsidP="00CB3C91">
      <w:pPr>
        <w:spacing w:line="360" w:lineRule="auto"/>
        <w:rPr>
          <w:rFonts w:ascii="Calibri" w:hAnsi="Calibri"/>
          <w:color w:val="000000"/>
          <w:lang w:val="en-US"/>
        </w:rPr>
      </w:pPr>
    </w:p>
    <w:p w14:paraId="734BF39B" w14:textId="3C89E060" w:rsidR="00CE0904" w:rsidRPr="00CB3C91" w:rsidRDefault="00CE0904" w:rsidP="00CB3C91">
      <w:pPr>
        <w:spacing w:line="360" w:lineRule="auto"/>
        <w:rPr>
          <w:rFonts w:ascii="Calibri" w:hAnsi="Calibri"/>
          <w:color w:val="000000"/>
          <w:lang w:val="en-US"/>
        </w:rPr>
      </w:pPr>
      <w:r>
        <w:rPr>
          <w:rFonts w:ascii="Calibri" w:hAnsi="Calibri"/>
          <w:noProof/>
          <w:color w:val="000000"/>
          <w:lang w:val="en-US"/>
        </w:rPr>
        <w:lastRenderedPageBreak/>
        <w:drawing>
          <wp:inline distT="0" distB="0" distL="0" distR="0" wp14:anchorId="10718929" wp14:editId="1B874DCB">
            <wp:extent cx="8178800" cy="2578100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319D" w14:textId="7A471BDC" w:rsidR="00CB3C91" w:rsidRPr="00CB3C91" w:rsidRDefault="00CE0904" w:rsidP="00CB3C91">
      <w:pPr>
        <w:spacing w:line="360" w:lineRule="auto"/>
        <w:jc w:val="both"/>
        <w:rPr>
          <w:rFonts w:cs="Arial"/>
          <w:color w:val="000000" w:themeColor="text1"/>
          <w:szCs w:val="20"/>
          <w:lang w:val="en-US"/>
        </w:rPr>
      </w:pPr>
      <w:r>
        <w:rPr>
          <w:rFonts w:cs="Arial"/>
          <w:color w:val="000000" w:themeColor="text1"/>
          <w:szCs w:val="20"/>
          <w:lang w:val="en-US"/>
        </w:rPr>
        <w:t xml:space="preserve">Supplementary Figure 1. </w:t>
      </w:r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>Energy-dispersive spectroscopy revealed the presence of calcium only in the HA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nano</w:t>
      </w:r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group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(A) </w:t>
      </w:r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and that of sodium only in the </w:t>
      </w:r>
      <w:proofErr w:type="spellStart"/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>SLActive</w:t>
      </w:r>
      <w:proofErr w:type="spellEnd"/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>® group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(B)</w:t>
      </w:r>
      <w:r w:rsidRPr="00E06FA2">
        <w:rPr>
          <w:rFonts w:ascii="Arial" w:hAnsi="Arial" w:cs="Arial"/>
          <w:color w:val="000000" w:themeColor="text1"/>
          <w:sz w:val="20"/>
          <w:szCs w:val="20"/>
          <w:lang w:val="en-US"/>
        </w:rPr>
        <w:t>. Titanium, vanadium, and phosphorus peaks were observed in all groups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A.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HAnano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; B.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SLActive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n-US"/>
        </w:rPr>
        <w:t>; C. TiUnite.</w:t>
      </w:r>
    </w:p>
    <w:p w14:paraId="36806CBA" w14:textId="77777777" w:rsidR="00682B14" w:rsidRPr="00CB3C91" w:rsidRDefault="00682B14">
      <w:pPr>
        <w:rPr>
          <w:lang w:val="en-US"/>
        </w:rPr>
      </w:pPr>
    </w:p>
    <w:sectPr w:rsidR="00682B14" w:rsidRPr="00CB3C91" w:rsidSect="00CB3C91">
      <w:pgSz w:w="16817" w:h="11901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mirrorMargins/>
  <w:proofState w:spelling="clean" w:grammar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91"/>
    <w:rsid w:val="00682B14"/>
    <w:rsid w:val="008410B9"/>
    <w:rsid w:val="00C21FDF"/>
    <w:rsid w:val="00CB3C91"/>
    <w:rsid w:val="00C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2A382"/>
  <w15:chartTrackingRefBased/>
  <w15:docId w15:val="{B8A08594-5285-DF48-AC9E-4424D1B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Maia</dc:creator>
  <cp:keywords/>
  <dc:description/>
  <cp:lastModifiedBy>Monica Maia</cp:lastModifiedBy>
  <cp:revision>2</cp:revision>
  <dcterms:created xsi:type="dcterms:W3CDTF">2020-10-06T16:47:00Z</dcterms:created>
  <dcterms:modified xsi:type="dcterms:W3CDTF">2020-10-06T16:47:00Z</dcterms:modified>
</cp:coreProperties>
</file>