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3B8D" w14:textId="3D009714" w:rsidR="00420A5C" w:rsidRDefault="00420A5C" w:rsidP="00420A5C">
      <w:pPr>
        <w:jc w:val="center"/>
        <w:rPr>
          <w:rFonts w:ascii="Arial" w:hAnsi="Arial" w:cs="Arial"/>
          <w:b/>
          <w:sz w:val="32"/>
          <w:szCs w:val="21"/>
        </w:rPr>
      </w:pPr>
      <w:r w:rsidRPr="00E02331">
        <w:rPr>
          <w:rFonts w:ascii="Arial" w:hAnsi="Arial" w:cs="Arial"/>
          <w:b/>
          <w:sz w:val="32"/>
          <w:szCs w:val="21"/>
        </w:rPr>
        <w:t>APPENDIX</w:t>
      </w:r>
      <w:r w:rsidR="00E703A1">
        <w:rPr>
          <w:rFonts w:ascii="Arial" w:hAnsi="Arial" w:cs="Arial"/>
          <w:b/>
          <w:sz w:val="32"/>
          <w:szCs w:val="21"/>
        </w:rPr>
        <w:t xml:space="preserve"> </w:t>
      </w:r>
      <w:r w:rsidR="00E775A2">
        <w:rPr>
          <w:rFonts w:ascii="Arial" w:hAnsi="Arial" w:cs="Arial"/>
          <w:b/>
          <w:sz w:val="32"/>
          <w:szCs w:val="21"/>
        </w:rPr>
        <w:t>to “</w:t>
      </w:r>
      <w:r w:rsidR="00E775A2" w:rsidRPr="00E775A2">
        <w:rPr>
          <w:rFonts w:ascii="Arial" w:hAnsi="Arial" w:cs="Arial"/>
          <w:b/>
          <w:sz w:val="32"/>
          <w:szCs w:val="21"/>
        </w:rPr>
        <w:t>Evaluating the Cost-effectiveness of Celecoxib versus Ibuprofen and Naproxen in Patients with Osteoarthritis in United Arab Emirates Based on the PRECISION Trial</w:t>
      </w:r>
      <w:r w:rsidR="00E775A2">
        <w:rPr>
          <w:rFonts w:ascii="Arial" w:hAnsi="Arial" w:cs="Arial"/>
          <w:b/>
          <w:sz w:val="32"/>
          <w:szCs w:val="21"/>
        </w:rPr>
        <w:t>”</w:t>
      </w:r>
    </w:p>
    <w:p w14:paraId="7D7A5035" w14:textId="77777777" w:rsidR="00420A5C" w:rsidRDefault="00420A5C" w:rsidP="00420A5C">
      <w:pPr>
        <w:jc w:val="center"/>
        <w:rPr>
          <w:rFonts w:ascii="Arial" w:hAnsi="Arial" w:cs="Arial"/>
          <w:b/>
          <w:sz w:val="32"/>
          <w:szCs w:val="21"/>
        </w:rPr>
      </w:pPr>
    </w:p>
    <w:p w14:paraId="22014F79" w14:textId="77777777" w:rsidR="00420A5C" w:rsidRDefault="00420A5C" w:rsidP="00420A5C">
      <w:pPr>
        <w:pStyle w:val="Caption"/>
        <w:keepNext/>
        <w:tabs>
          <w:tab w:val="left" w:pos="2378"/>
        </w:tabs>
        <w:rPr>
          <w:rFonts w:ascii="Arial" w:hAnsi="Arial" w:cs="Arial"/>
          <w:b/>
          <w:i w:val="0"/>
          <w:color w:val="auto"/>
          <w:sz w:val="21"/>
          <w:szCs w:val="21"/>
        </w:rPr>
      </w:pPr>
      <w:bookmarkStart w:id="0" w:name="_Ref17403342"/>
      <w:r>
        <w:rPr>
          <w:rFonts w:ascii="Arial" w:hAnsi="Arial" w:cs="Arial"/>
          <w:b/>
          <w:i w:val="0"/>
          <w:color w:val="auto"/>
          <w:sz w:val="21"/>
          <w:szCs w:val="21"/>
        </w:rPr>
        <w:tab/>
      </w:r>
    </w:p>
    <w:p w14:paraId="37ED0D23" w14:textId="2A99810D" w:rsidR="00420A5C" w:rsidRPr="00E97065" w:rsidRDefault="00420A5C" w:rsidP="00420A5C">
      <w:pPr>
        <w:pStyle w:val="Caption"/>
        <w:keepNext/>
        <w:rPr>
          <w:rFonts w:ascii="Arial" w:hAnsi="Arial" w:cs="Arial"/>
          <w:b/>
          <w:i w:val="0"/>
          <w:color w:val="auto"/>
          <w:sz w:val="21"/>
          <w:szCs w:val="21"/>
        </w:rPr>
      </w:pPr>
      <w:bookmarkStart w:id="1" w:name="_Ref27454620"/>
      <w:bookmarkEnd w:id="0"/>
      <w:r w:rsidRPr="00E97065">
        <w:rPr>
          <w:rFonts w:ascii="Arial" w:hAnsi="Arial" w:cs="Arial"/>
          <w:b/>
          <w:i w:val="0"/>
          <w:color w:val="auto"/>
          <w:sz w:val="21"/>
          <w:szCs w:val="21"/>
        </w:rPr>
        <w:t xml:space="preserve">Table </w:t>
      </w:r>
      <w:r w:rsidR="005B7BC8">
        <w:rPr>
          <w:rFonts w:ascii="Arial" w:hAnsi="Arial" w:cs="Arial"/>
          <w:b/>
          <w:i w:val="0"/>
          <w:color w:val="auto"/>
          <w:sz w:val="21"/>
          <w:szCs w:val="21"/>
        </w:rPr>
        <w:t>S</w:t>
      </w:r>
      <w:r w:rsidRPr="00E97065">
        <w:rPr>
          <w:rFonts w:ascii="Arial" w:hAnsi="Arial" w:cs="Arial"/>
          <w:b/>
          <w:i w:val="0"/>
          <w:color w:val="auto"/>
          <w:sz w:val="21"/>
          <w:szCs w:val="21"/>
        </w:rPr>
        <w:fldChar w:fldCharType="begin"/>
      </w:r>
      <w:r w:rsidRPr="00E97065">
        <w:rPr>
          <w:rFonts w:ascii="Arial" w:hAnsi="Arial" w:cs="Arial"/>
          <w:b/>
          <w:i w:val="0"/>
          <w:color w:val="auto"/>
          <w:sz w:val="21"/>
          <w:szCs w:val="21"/>
        </w:rPr>
        <w:instrText xml:space="preserve"> SEQ Supplemental_Table \* ARABIC </w:instrText>
      </w:r>
      <w:r w:rsidRPr="00E97065">
        <w:rPr>
          <w:rFonts w:ascii="Arial" w:hAnsi="Arial" w:cs="Arial"/>
          <w:b/>
          <w:i w:val="0"/>
          <w:color w:val="auto"/>
          <w:sz w:val="21"/>
          <w:szCs w:val="21"/>
        </w:rPr>
        <w:fldChar w:fldCharType="separate"/>
      </w:r>
      <w:r w:rsidR="00EB3C49">
        <w:rPr>
          <w:rFonts w:ascii="Arial" w:hAnsi="Arial" w:cs="Arial"/>
          <w:b/>
          <w:i w:val="0"/>
          <w:noProof/>
          <w:color w:val="auto"/>
          <w:sz w:val="21"/>
          <w:szCs w:val="21"/>
        </w:rPr>
        <w:t>1</w:t>
      </w:r>
      <w:r w:rsidRPr="00E97065">
        <w:rPr>
          <w:rFonts w:ascii="Arial" w:hAnsi="Arial" w:cs="Arial"/>
          <w:b/>
          <w:i w:val="0"/>
          <w:color w:val="auto"/>
          <w:sz w:val="21"/>
          <w:szCs w:val="21"/>
        </w:rPr>
        <w:fldChar w:fldCharType="end"/>
      </w:r>
      <w:bookmarkEnd w:id="1"/>
      <w:r w:rsidRPr="00E97065">
        <w:rPr>
          <w:rFonts w:ascii="Arial" w:hAnsi="Arial" w:cs="Arial"/>
          <w:b/>
          <w:i w:val="0"/>
          <w:color w:val="auto"/>
          <w:sz w:val="21"/>
          <w:szCs w:val="21"/>
        </w:rPr>
        <w:t>.Diagnosis codes queried in Dubai Administrative Billing Claims to obtain mean costs of AE management.</w:t>
      </w:r>
    </w:p>
    <w:tbl>
      <w:tblPr>
        <w:tblW w:w="9895" w:type="dxa"/>
        <w:tblInd w:w="113" w:type="dxa"/>
        <w:tblLook w:val="04A0" w:firstRow="1" w:lastRow="0" w:firstColumn="1" w:lastColumn="0" w:noHBand="0" w:noVBand="1"/>
      </w:tblPr>
      <w:tblGrid>
        <w:gridCol w:w="3865"/>
        <w:gridCol w:w="1860"/>
        <w:gridCol w:w="4170"/>
      </w:tblGrid>
      <w:tr w:rsidR="00420A5C" w:rsidRPr="00BA4A12" w14:paraId="12C63CD0" w14:textId="77777777" w:rsidTr="009E3394">
        <w:trPr>
          <w:trHeight w:val="263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1C1DB77B" w14:textId="77777777" w:rsidR="00420A5C" w:rsidRPr="00BA4A12" w:rsidRDefault="00420A5C" w:rsidP="009E3394">
            <w:pPr>
              <w:rPr>
                <w:b/>
                <w:bCs/>
                <w:sz w:val="20"/>
                <w:szCs w:val="20"/>
              </w:rPr>
            </w:pPr>
            <w:bookmarkStart w:id="2" w:name="_Ref17401856"/>
            <w:r w:rsidRPr="00BA4A12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3B14B344" w14:textId="77777777" w:rsidR="00420A5C" w:rsidRPr="00BA4A12" w:rsidRDefault="00420A5C" w:rsidP="009E3394">
            <w:pPr>
              <w:rPr>
                <w:b/>
                <w:bCs/>
                <w:sz w:val="20"/>
                <w:szCs w:val="20"/>
              </w:rPr>
            </w:pPr>
            <w:r w:rsidRPr="00BA4A12">
              <w:rPr>
                <w:b/>
                <w:bCs/>
                <w:sz w:val="20"/>
                <w:szCs w:val="20"/>
              </w:rPr>
              <w:t>ICD10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242DF96B" w14:textId="77777777" w:rsidR="00420A5C" w:rsidRPr="00BA4A12" w:rsidRDefault="00420A5C" w:rsidP="009E3394">
            <w:pPr>
              <w:rPr>
                <w:b/>
                <w:bCs/>
                <w:sz w:val="20"/>
                <w:szCs w:val="20"/>
              </w:rPr>
            </w:pPr>
            <w:r w:rsidRPr="00BA4A12">
              <w:rPr>
                <w:b/>
                <w:bCs/>
                <w:sz w:val="20"/>
                <w:szCs w:val="20"/>
              </w:rPr>
              <w:t>Description</w:t>
            </w:r>
          </w:p>
        </w:tc>
      </w:tr>
      <w:tr w:rsidR="00420A5C" w:rsidRPr="00BA4A12" w14:paraId="57BE1ED0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7C137" w14:textId="77777777" w:rsidR="00420A5C" w:rsidRPr="00BA4A12" w:rsidRDefault="00420A5C" w:rsidP="009E339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A4A12">
              <w:rPr>
                <w:b/>
                <w:bCs/>
                <w:i/>
                <w:iCs/>
                <w:sz w:val="20"/>
                <w:szCs w:val="20"/>
              </w:rPr>
              <w:t>Composite of serious GI events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C4A06" w14:textId="77777777" w:rsidR="00420A5C" w:rsidRPr="00BA4A12" w:rsidRDefault="00420A5C" w:rsidP="009E3394">
            <w:pPr>
              <w:rPr>
                <w:sz w:val="20"/>
                <w:szCs w:val="20"/>
              </w:rPr>
            </w:pPr>
            <w:r w:rsidRPr="00BA4A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0A95C" w14:textId="77777777" w:rsidR="00420A5C" w:rsidRPr="00BA4A12" w:rsidRDefault="00420A5C" w:rsidP="009E3394">
            <w:pPr>
              <w:rPr>
                <w:sz w:val="12"/>
                <w:szCs w:val="12"/>
              </w:rPr>
            </w:pPr>
            <w:r w:rsidRPr="00BA4A12">
              <w:rPr>
                <w:sz w:val="12"/>
                <w:szCs w:val="12"/>
              </w:rPr>
              <w:t> </w:t>
            </w:r>
          </w:p>
        </w:tc>
      </w:tr>
      <w:tr w:rsidR="00420A5C" w:rsidRPr="00BA4A12" w14:paraId="74C93C76" w14:textId="77777777" w:rsidTr="009E3394">
        <w:trPr>
          <w:trHeight w:val="51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0FD16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Gastroduodenal hemorrhage/Gastroduodenal small or large bowel perforation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A0192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K25.0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09F1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Acute gastric ulcer with hemorrhage</w:t>
            </w:r>
          </w:p>
        </w:tc>
      </w:tr>
      <w:tr w:rsidR="00420A5C" w:rsidRPr="00BA4A12" w14:paraId="0352199A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179DE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D355C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K25.1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4B9A0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Acute gastric ulcer with perforation</w:t>
            </w:r>
          </w:p>
        </w:tc>
      </w:tr>
      <w:tr w:rsidR="00420A5C" w:rsidRPr="00BA4A12" w14:paraId="5D363D90" w14:textId="77777777" w:rsidTr="009E3394">
        <w:trPr>
          <w:trHeight w:val="449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CE0B0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4C58A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K25.2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B0471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Acute gastric ulcer with both hemorrhage and perforation</w:t>
            </w:r>
          </w:p>
        </w:tc>
      </w:tr>
      <w:tr w:rsidR="00420A5C" w:rsidRPr="00BA4A12" w14:paraId="36435329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4A757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468E8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K25.3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5DE2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Acute gastric ulcer without hemorrhage or perforation</w:t>
            </w:r>
          </w:p>
        </w:tc>
      </w:tr>
      <w:tr w:rsidR="00420A5C" w:rsidRPr="00BA4A12" w14:paraId="730F8411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A1E3D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Symptomatic gastric or duodenal ulcer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6FBE6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K26.2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A9C6A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Acute duodenal ulcer with both hemorrhage and perforation</w:t>
            </w:r>
          </w:p>
        </w:tc>
      </w:tr>
      <w:tr w:rsidR="00420A5C" w:rsidRPr="00BA4A12" w14:paraId="66FB94E2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8027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33B4D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K26.3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B85D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Acute duodenal ulcer without hemorrhage or perforation</w:t>
            </w:r>
          </w:p>
        </w:tc>
      </w:tr>
      <w:tr w:rsidR="00420A5C" w:rsidRPr="00BA4A12" w14:paraId="0EFB9DBF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9EC8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Gastric outlet obstruction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74215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K31.1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F2140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Adult hypertrophic pyloric stenosis (including "Gastric outlet obstruction")</w:t>
            </w:r>
          </w:p>
        </w:tc>
      </w:tr>
      <w:tr w:rsidR="00420A5C" w:rsidRPr="00BA4A12" w14:paraId="7627CF5B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F67D9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Acute gastrointestinal hemorrhage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FEA44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K92.2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B04E5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Gastrointestinal hemorrhage, unspecified</w:t>
            </w:r>
          </w:p>
        </w:tc>
      </w:tr>
      <w:tr w:rsidR="00420A5C" w:rsidRPr="00BA4A12" w14:paraId="4E3146FF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AD429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Iron-deficient anemia of GI origin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A1DB6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D50.9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2897C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Iron deficiency anemia, unspecified</w:t>
            </w:r>
          </w:p>
        </w:tc>
      </w:tr>
      <w:tr w:rsidR="00420A5C" w:rsidRPr="00BA4A12" w14:paraId="06FAB55E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D7329" w14:textId="77777777" w:rsidR="00420A5C" w:rsidRPr="000D1832" w:rsidRDefault="00420A5C" w:rsidP="009E339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1832">
              <w:rPr>
                <w:b/>
                <w:bCs/>
                <w:i/>
                <w:iCs/>
                <w:sz w:val="20"/>
                <w:szCs w:val="20"/>
              </w:rPr>
              <w:t>Composite of renal events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D386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A772C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 </w:t>
            </w:r>
          </w:p>
        </w:tc>
      </w:tr>
      <w:tr w:rsidR="00420A5C" w:rsidRPr="00BA4A12" w14:paraId="6E043406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C9D94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Hospitalization for acute renal failure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2D15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N17.8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C2AD7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proofErr w:type="gramStart"/>
            <w:r w:rsidRPr="000D1832">
              <w:rPr>
                <w:sz w:val="20"/>
                <w:szCs w:val="20"/>
              </w:rPr>
              <w:t>Other</w:t>
            </w:r>
            <w:proofErr w:type="gramEnd"/>
            <w:r w:rsidRPr="000D1832">
              <w:rPr>
                <w:sz w:val="20"/>
                <w:szCs w:val="20"/>
              </w:rPr>
              <w:t xml:space="preserve"> acute kidney failure</w:t>
            </w:r>
          </w:p>
        </w:tc>
      </w:tr>
      <w:tr w:rsidR="00420A5C" w:rsidRPr="00BA4A12" w14:paraId="4F3CD213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CB3AE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5EA76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N17.9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078F2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Acute kidney failure, unspecified</w:t>
            </w:r>
          </w:p>
        </w:tc>
      </w:tr>
      <w:tr w:rsidR="00420A5C" w:rsidRPr="00BA4A12" w14:paraId="3826399E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40DE6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61915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N10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CFD18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Acute pyelonephritis (including "Acute tubulo-interstitial nephritis")</w:t>
            </w:r>
          </w:p>
        </w:tc>
      </w:tr>
      <w:tr w:rsidR="00420A5C" w:rsidRPr="00BA4A12" w14:paraId="4D3E7D4A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2935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Dialysis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2A2AF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Z49.01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7D18A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Encounter for fitting and adjustment of extracorporeal dialysis catheter</w:t>
            </w:r>
          </w:p>
        </w:tc>
      </w:tr>
      <w:tr w:rsidR="00420A5C" w:rsidRPr="00BA4A12" w14:paraId="24BF5EF2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57C5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9233F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Z49.02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9D2F9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Encounter for fitting and adjustment of peritoneal dialysis catheter</w:t>
            </w:r>
          </w:p>
        </w:tc>
      </w:tr>
      <w:tr w:rsidR="00420A5C" w:rsidRPr="00BA4A12" w14:paraId="16DD1095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A1E23" w14:textId="77777777" w:rsidR="00420A5C" w:rsidRPr="000D1832" w:rsidRDefault="00420A5C" w:rsidP="009E339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1832">
              <w:rPr>
                <w:b/>
                <w:bCs/>
                <w:i/>
                <w:iCs/>
                <w:sz w:val="20"/>
                <w:szCs w:val="20"/>
              </w:rPr>
              <w:t>Composite of CV events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315B6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4974B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 </w:t>
            </w:r>
          </w:p>
        </w:tc>
      </w:tr>
      <w:tr w:rsidR="00420A5C" w:rsidRPr="00BA4A12" w14:paraId="179333D8" w14:textId="77777777" w:rsidTr="009E3394">
        <w:trPr>
          <w:trHeight w:val="51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F307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Hospitalization for congestive heart failure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537A6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I50.41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4A88F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Acute combined systolic (congestive) and diastolic (congestive) heart failure</w:t>
            </w:r>
          </w:p>
        </w:tc>
      </w:tr>
      <w:tr w:rsidR="00420A5C" w:rsidRPr="00BA4A12" w14:paraId="4A98EBFA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9A4C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40B42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I50.21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0BEEA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Acute systolic (congestive) heart failure</w:t>
            </w:r>
          </w:p>
        </w:tc>
      </w:tr>
      <w:tr w:rsidR="00420A5C" w:rsidRPr="00BA4A12" w14:paraId="40E18FE0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1AEE8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F95C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I50.31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E1AA9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Acute diastolic (congestive) heart failure</w:t>
            </w:r>
          </w:p>
        </w:tc>
      </w:tr>
      <w:tr w:rsidR="00420A5C" w:rsidRPr="00BA4A12" w14:paraId="364BFC0A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94CFB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B1367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I50.9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3FE34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Heart failure, unspecified</w:t>
            </w:r>
          </w:p>
        </w:tc>
      </w:tr>
      <w:tr w:rsidR="00420A5C" w:rsidRPr="00BA4A12" w14:paraId="37C2849B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0DBBC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Hospitalization for hypertension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A7571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I10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84817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Essential (primary) hypertension</w:t>
            </w:r>
          </w:p>
        </w:tc>
      </w:tr>
      <w:tr w:rsidR="00420A5C" w:rsidRPr="00BA4A12" w14:paraId="644627BB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5F7AA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B07EE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I16.1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C00C4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Hypertensive emergency</w:t>
            </w:r>
          </w:p>
        </w:tc>
      </w:tr>
      <w:tr w:rsidR="00420A5C" w:rsidRPr="00BA4A12" w14:paraId="725FB72E" w14:textId="77777777" w:rsidTr="009E3394">
        <w:trPr>
          <w:trHeight w:val="51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F2A8A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Hospitalization for MI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E8C5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I21.X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19220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Available and considered ICD-10 CM codes in Dubai Claims Data for MI (I21.01, I21.02, I21.09, I21.11, I21.19, I21.21, I21.29, I21.3, I21.4)</w:t>
            </w:r>
          </w:p>
        </w:tc>
      </w:tr>
      <w:tr w:rsidR="00420A5C" w:rsidRPr="00BA4A12" w14:paraId="6B6880BF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34C95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Hospitalization for stroke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DC71E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I63.9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CC5AE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Cerebral infarction, unspecified</w:t>
            </w:r>
          </w:p>
        </w:tc>
      </w:tr>
      <w:tr w:rsidR="00420A5C" w:rsidRPr="00BA4A12" w14:paraId="26A58F61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005BE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Hospitalization for unstable angina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9024C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I20.0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9E0E6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Unstable angina</w:t>
            </w:r>
          </w:p>
        </w:tc>
      </w:tr>
      <w:tr w:rsidR="00420A5C" w:rsidRPr="00BA4A12" w14:paraId="6DDBD3A1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A3C14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proofErr w:type="spellStart"/>
            <w:r w:rsidRPr="000D1832">
              <w:rPr>
                <w:sz w:val="20"/>
                <w:szCs w:val="20"/>
              </w:rPr>
              <w:t>Hopsitalization</w:t>
            </w:r>
            <w:proofErr w:type="spellEnd"/>
            <w:r w:rsidRPr="000D1832">
              <w:rPr>
                <w:sz w:val="20"/>
                <w:szCs w:val="20"/>
              </w:rPr>
              <w:t xml:space="preserve"> for revascularization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F9BD0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I25.82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95E85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Chronic total occlusion of coronary artery</w:t>
            </w:r>
          </w:p>
        </w:tc>
      </w:tr>
      <w:tr w:rsidR="00420A5C" w:rsidRPr="00BA4A12" w14:paraId="3C4A04E1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2B3FD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FA4FC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I24.0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93A9A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Acute coronary thrombosis not resulting in myocardial infarction</w:t>
            </w:r>
          </w:p>
        </w:tc>
      </w:tr>
      <w:tr w:rsidR="00420A5C" w:rsidRPr="00BA4A12" w14:paraId="170415C3" w14:textId="77777777" w:rsidTr="009E3394">
        <w:trPr>
          <w:trHeight w:val="255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A0AE5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Hospitalization for transient ischemic attack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0E741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G45.9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9063" w14:textId="77777777" w:rsidR="00420A5C" w:rsidRPr="000D1832" w:rsidRDefault="00420A5C" w:rsidP="009E3394">
            <w:pPr>
              <w:rPr>
                <w:sz w:val="20"/>
                <w:szCs w:val="20"/>
              </w:rPr>
            </w:pPr>
            <w:r w:rsidRPr="000D1832">
              <w:rPr>
                <w:sz w:val="20"/>
                <w:szCs w:val="20"/>
              </w:rPr>
              <w:t>Transient cerebral ischemic attack, unspecified</w:t>
            </w:r>
          </w:p>
        </w:tc>
      </w:tr>
    </w:tbl>
    <w:p w14:paraId="12C38D9E" w14:textId="77777777" w:rsidR="00420A5C" w:rsidRDefault="00420A5C" w:rsidP="00420A5C">
      <w:pPr>
        <w:pStyle w:val="Caption"/>
        <w:keepNext/>
        <w:rPr>
          <w:rFonts w:ascii="Arial" w:hAnsi="Arial" w:cs="Arial"/>
          <w:b/>
          <w:i w:val="0"/>
          <w:color w:val="auto"/>
          <w:sz w:val="21"/>
          <w:szCs w:val="21"/>
        </w:rPr>
      </w:pPr>
    </w:p>
    <w:p w14:paraId="731CAD94" w14:textId="77777777" w:rsidR="00420A5C" w:rsidRDefault="00420A5C" w:rsidP="00420A5C">
      <w:pPr>
        <w:pStyle w:val="Caption"/>
        <w:keepNext/>
        <w:rPr>
          <w:rFonts w:ascii="Arial" w:hAnsi="Arial" w:cs="Arial"/>
          <w:b/>
          <w:i w:val="0"/>
          <w:color w:val="auto"/>
          <w:sz w:val="21"/>
          <w:szCs w:val="21"/>
        </w:rPr>
        <w:sectPr w:rsidR="00420A5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3BF609" w14:textId="1E3B66D5" w:rsidR="00420A5C" w:rsidRPr="00F11179" w:rsidRDefault="00420A5C" w:rsidP="00420A5C">
      <w:pPr>
        <w:pStyle w:val="Caption"/>
        <w:keepNext/>
        <w:rPr>
          <w:rFonts w:ascii="Arial" w:hAnsi="Arial" w:cs="Arial"/>
          <w:b/>
          <w:i w:val="0"/>
          <w:color w:val="auto"/>
          <w:sz w:val="21"/>
          <w:szCs w:val="21"/>
        </w:rPr>
      </w:pPr>
      <w:bookmarkStart w:id="3" w:name="_Ref17403936"/>
      <w:r w:rsidRPr="00F11179">
        <w:rPr>
          <w:rFonts w:ascii="Arial" w:hAnsi="Arial" w:cs="Arial"/>
          <w:b/>
          <w:i w:val="0"/>
          <w:color w:val="auto"/>
          <w:sz w:val="21"/>
          <w:szCs w:val="21"/>
        </w:rPr>
        <w:lastRenderedPageBreak/>
        <w:t xml:space="preserve">Table </w:t>
      </w:r>
      <w:r w:rsidR="005B7BC8">
        <w:rPr>
          <w:rFonts w:ascii="Arial" w:hAnsi="Arial" w:cs="Arial"/>
          <w:b/>
          <w:i w:val="0"/>
          <w:color w:val="auto"/>
          <w:sz w:val="21"/>
          <w:szCs w:val="21"/>
        </w:rPr>
        <w:t>S</w:t>
      </w:r>
      <w:r w:rsidRPr="00F11179">
        <w:rPr>
          <w:rFonts w:ascii="Arial" w:hAnsi="Arial" w:cs="Arial"/>
          <w:b/>
          <w:i w:val="0"/>
          <w:color w:val="auto"/>
          <w:sz w:val="21"/>
          <w:szCs w:val="21"/>
        </w:rPr>
        <w:fldChar w:fldCharType="begin"/>
      </w:r>
      <w:r w:rsidRPr="00F11179">
        <w:rPr>
          <w:rFonts w:ascii="Arial" w:hAnsi="Arial" w:cs="Arial"/>
          <w:b/>
          <w:i w:val="0"/>
          <w:color w:val="auto"/>
          <w:sz w:val="21"/>
          <w:szCs w:val="21"/>
        </w:rPr>
        <w:instrText xml:space="preserve"> SEQ Supplemental_Table \* ARABIC </w:instrText>
      </w:r>
      <w:r w:rsidRPr="00F11179">
        <w:rPr>
          <w:rFonts w:ascii="Arial" w:hAnsi="Arial" w:cs="Arial"/>
          <w:b/>
          <w:i w:val="0"/>
          <w:color w:val="auto"/>
          <w:sz w:val="21"/>
          <w:szCs w:val="21"/>
        </w:rPr>
        <w:fldChar w:fldCharType="separate"/>
      </w:r>
      <w:r w:rsidR="00EB3C49">
        <w:rPr>
          <w:rFonts w:ascii="Arial" w:hAnsi="Arial" w:cs="Arial"/>
          <w:b/>
          <w:i w:val="0"/>
          <w:noProof/>
          <w:color w:val="auto"/>
          <w:sz w:val="21"/>
          <w:szCs w:val="21"/>
        </w:rPr>
        <w:t>2</w:t>
      </w:r>
      <w:r w:rsidRPr="00F11179">
        <w:rPr>
          <w:rFonts w:ascii="Arial" w:hAnsi="Arial" w:cs="Arial"/>
          <w:b/>
          <w:i w:val="0"/>
          <w:color w:val="auto"/>
          <w:sz w:val="21"/>
          <w:szCs w:val="21"/>
        </w:rPr>
        <w:fldChar w:fldCharType="end"/>
      </w:r>
      <w:bookmarkEnd w:id="2"/>
      <w:bookmarkEnd w:id="3"/>
      <w:r w:rsidRPr="00F11179">
        <w:rPr>
          <w:rFonts w:ascii="Arial" w:hAnsi="Arial" w:cs="Arial"/>
          <w:b/>
          <w:i w:val="0"/>
          <w:color w:val="auto"/>
          <w:sz w:val="21"/>
          <w:szCs w:val="21"/>
        </w:rPr>
        <w:t>. Cumulative incidence of adverse events in the osteoarthritis arm in the PRECISION trial.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934"/>
        <w:gridCol w:w="1108"/>
        <w:gridCol w:w="858"/>
        <w:gridCol w:w="858"/>
        <w:gridCol w:w="222"/>
        <w:gridCol w:w="858"/>
        <w:gridCol w:w="858"/>
        <w:gridCol w:w="858"/>
        <w:gridCol w:w="222"/>
        <w:gridCol w:w="858"/>
        <w:gridCol w:w="858"/>
        <w:gridCol w:w="858"/>
      </w:tblGrid>
      <w:tr w:rsidR="00420A5C" w:rsidRPr="00AC6A6E" w14:paraId="16415F49" w14:textId="77777777" w:rsidTr="009E3394">
        <w:trPr>
          <w:trHeight w:val="57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A8711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AC6A6E">
              <w:rPr>
                <w:rFonts w:ascii="Calibri" w:eastAsia="Times New Roman" w:hAnsi="Calibri" w:cs="Calibri"/>
                <w:b/>
                <w:bCs/>
                <w:u w:val="single"/>
              </w:rPr>
              <w:t>Month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C822D" w14:textId="77777777" w:rsidR="00420A5C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u w:val="single"/>
              </w:rPr>
              <w:t>Celecoxib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ABA83" w14:textId="77777777" w:rsidR="00420A5C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1F5FA" w14:textId="77777777" w:rsidR="00420A5C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u w:val="single"/>
              </w:rPr>
              <w:t>Ibuprofen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F64F1D" w14:textId="77777777" w:rsidR="00420A5C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5D676" w14:textId="77777777" w:rsidR="00420A5C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u w:val="single"/>
              </w:rPr>
              <w:t>Naproxen</w:t>
            </w:r>
          </w:p>
        </w:tc>
      </w:tr>
      <w:tr w:rsidR="00420A5C" w:rsidRPr="00AC6A6E" w14:paraId="2D9BF855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13501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B5E21" w14:textId="77777777" w:rsidR="00420A5C" w:rsidRPr="00AC6A6E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111C42">
              <w:rPr>
                <w:rFonts w:ascii="Calibri" w:eastAsia="Times New Roman" w:hAnsi="Calibri" w:cs="Calibri"/>
                <w:b/>
              </w:rPr>
              <w:t>MACE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6C7A5" w14:textId="77777777" w:rsidR="00420A5C" w:rsidRPr="00111C42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111C42">
              <w:rPr>
                <w:rFonts w:ascii="Calibri" w:hAnsi="Calibri" w:cs="Calibri"/>
                <w:b/>
              </w:rPr>
              <w:t>GI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5CC80" w14:textId="77777777" w:rsidR="00420A5C" w:rsidRPr="00111C42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111C42">
              <w:rPr>
                <w:rFonts w:ascii="Calibri" w:hAnsi="Calibri" w:cs="Calibri"/>
                <w:b/>
              </w:rPr>
              <w:t>Renal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30FE3" w14:textId="77777777" w:rsidR="00420A5C" w:rsidRPr="00111C42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53296" w14:textId="77777777" w:rsidR="00420A5C" w:rsidRPr="00111C42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111C42">
              <w:rPr>
                <w:rFonts w:ascii="Calibri" w:eastAsia="Times New Roman" w:hAnsi="Calibri" w:cs="Calibri"/>
                <w:b/>
              </w:rPr>
              <w:t>MACE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26408" w14:textId="77777777" w:rsidR="00420A5C" w:rsidRPr="00111C42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111C42">
              <w:rPr>
                <w:rFonts w:ascii="Calibri" w:hAnsi="Calibri" w:cs="Calibri"/>
                <w:b/>
              </w:rPr>
              <w:t>GI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461F2" w14:textId="77777777" w:rsidR="00420A5C" w:rsidRPr="00111C42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111C42">
              <w:rPr>
                <w:rFonts w:ascii="Calibri" w:hAnsi="Calibri" w:cs="Calibri"/>
                <w:b/>
              </w:rPr>
              <w:t>Renal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E4EFE" w14:textId="77777777" w:rsidR="00420A5C" w:rsidRPr="00111C42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92418" w14:textId="77777777" w:rsidR="00420A5C" w:rsidRPr="00111C42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111C42">
              <w:rPr>
                <w:rFonts w:ascii="Calibri" w:eastAsia="Times New Roman" w:hAnsi="Calibri" w:cs="Calibri"/>
                <w:b/>
              </w:rPr>
              <w:t>MACE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A5A93" w14:textId="77777777" w:rsidR="00420A5C" w:rsidRPr="00111C42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111C42">
              <w:rPr>
                <w:rFonts w:ascii="Calibri" w:hAnsi="Calibri" w:cs="Calibri"/>
                <w:b/>
              </w:rPr>
              <w:t>GI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19988" w14:textId="77777777" w:rsidR="00420A5C" w:rsidRPr="00111C42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111C42">
              <w:rPr>
                <w:rFonts w:ascii="Calibri" w:hAnsi="Calibri" w:cs="Calibri"/>
                <w:b/>
              </w:rPr>
              <w:t>Renal</w:t>
            </w:r>
          </w:p>
        </w:tc>
      </w:tr>
      <w:tr w:rsidR="00420A5C" w:rsidRPr="00AC6A6E" w14:paraId="42DCA2C7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2AD85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179C96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0.207%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DEF517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0.055%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6D61F2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0.014%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38503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2A6EB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0.112%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A759D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0.014%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EE5A0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0.070%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BD995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6F448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0.112%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64F1C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0.042%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5E706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0.014%</w:t>
            </w:r>
          </w:p>
        </w:tc>
      </w:tr>
      <w:tr w:rsidR="00420A5C" w:rsidRPr="00AC6A6E" w14:paraId="72089F40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D7EB7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D304D4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0.376%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6D0465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0.098%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E6632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0.056%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334ED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23ABE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0.395%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47DBC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0.085%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89919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0.155%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61B0B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828FE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0.281%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99ABA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0.099%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18E30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0.099%</w:t>
            </w:r>
          </w:p>
        </w:tc>
      </w:tr>
      <w:tr w:rsidR="00420A5C" w:rsidRPr="00AC6A6E" w14:paraId="36E81416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255F5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386DA5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0.547%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D34462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0.112%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F33D97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0.070%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8EA977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80B61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0.568%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95737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0.157%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39DB2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0.285%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5586F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E5897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0.411%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97C06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0.170%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7C834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0.142%</w:t>
            </w:r>
          </w:p>
        </w:tc>
      </w:tr>
      <w:tr w:rsidR="00420A5C" w:rsidRPr="00AC6A6E" w14:paraId="77425EFB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75562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7330D2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0.705%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24C62D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0.141%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D38510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0.085%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4930D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A2433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0.772%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BA77E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0.186%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58D59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0.372%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C83D9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AE09E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0.555%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7DD7E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0.257%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931A5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0.171%</w:t>
            </w:r>
          </w:p>
        </w:tc>
      </w:tr>
      <w:tr w:rsidR="00420A5C" w:rsidRPr="00AC6A6E" w14:paraId="2E4AE4D7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2AD6F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0444AE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0.807%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CB9A61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0.184%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EE6CE8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0.128%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4C8D0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8A6CE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0.964%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42579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0.289%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E5783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0.431%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04482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11C40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0.775%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581BE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0.257%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F1C3A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0.186%</w:t>
            </w:r>
          </w:p>
        </w:tc>
      </w:tr>
      <w:tr w:rsidR="00420A5C" w:rsidRPr="00AC6A6E" w14:paraId="4066C1FF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9EB0B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FABDCA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0.968%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FE273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0.302%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AF1732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0.143%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97C3A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FBD93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1.127%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877A9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0.334%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35E45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0.461%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448AC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4AC86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0.938%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B79CE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0.287%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CA79C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0.200%</w:t>
            </w:r>
          </w:p>
        </w:tc>
      </w:tr>
      <w:tr w:rsidR="00420A5C" w:rsidRPr="00AC6A6E" w14:paraId="01275CFF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D2190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6D7304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1.115%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E25B43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0.316%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D3E816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0.143%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B9086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43A53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1.306%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E4D3A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0.364%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5AA6C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0.490%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7D0EB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69F7C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1.072%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14944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0.376%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47AC9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0.260%</w:t>
            </w:r>
          </w:p>
        </w:tc>
      </w:tr>
      <w:tr w:rsidR="00420A5C" w:rsidRPr="00AC6A6E" w14:paraId="4CAAC96D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74C5F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A9B906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1.278%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2BD853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0.361%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16A406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0.158%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F32AC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7EF0B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1.456%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A2475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0.379%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55D78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0.581%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F8A93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41C44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1.371%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D4813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0.436%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2E5E8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0.290%</w:t>
            </w:r>
          </w:p>
        </w:tc>
      </w:tr>
      <w:tr w:rsidR="00420A5C" w:rsidRPr="00AC6A6E" w14:paraId="1646C05B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E33C3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149F87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1.458%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38AFCB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0.406%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BCEFF6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0.188%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E9BE3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F4668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1.714%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CCFD6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0.470%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E063B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0.581%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1D5D4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52266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1.492%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56A9C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0.557%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7CE6C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0.320%</w:t>
            </w:r>
          </w:p>
        </w:tc>
      </w:tr>
      <w:tr w:rsidR="00420A5C" w:rsidRPr="00AC6A6E" w14:paraId="70EF011C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E2299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92229E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1.593%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6FBD7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0.466%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3824EB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0.188%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D45F5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181C6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1.989%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C647D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0.531%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80E44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0.596%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80E09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F461E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1.735%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18E03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0.649%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2143A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0.320%</w:t>
            </w:r>
          </w:p>
        </w:tc>
      </w:tr>
      <w:tr w:rsidR="00420A5C" w:rsidRPr="00AC6A6E" w14:paraId="6CD495A7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A7BBF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3A0981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1.699%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8B7FC5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0.527%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B15D3D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0.203%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2E19A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58EC3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2.189%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2A30F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0.655%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65696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0.596%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46DB1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0F7CB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1.827%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EEE14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0.725%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04C1C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0.366%</w:t>
            </w:r>
          </w:p>
        </w:tc>
      </w:tr>
      <w:tr w:rsidR="00420A5C" w:rsidRPr="00AC6A6E" w14:paraId="3F4429EF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E0C73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B05718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1.928%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09F9DB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0.557%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C2FAA2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0.234%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5FBE7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DD210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2.374%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0A779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0.701%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C5A9F2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0.658%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56C59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A7E74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1.858%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2061B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0.725%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0E4BF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0.413%</w:t>
            </w:r>
          </w:p>
        </w:tc>
      </w:tr>
      <w:tr w:rsidR="00420A5C" w:rsidRPr="00AC6A6E" w14:paraId="662E9E00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998A8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322EE9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2.097%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3E7E3B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0.604%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7D7241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0.326%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4F2C5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22A29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2.654%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84261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0.780%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77B1F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0.689%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B4614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C43BB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1.982%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F4E4C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0.834%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BB2FE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0.459%</w:t>
            </w:r>
          </w:p>
        </w:tc>
      </w:tr>
      <w:tr w:rsidR="00420A5C" w:rsidRPr="00AC6A6E" w14:paraId="51E2491D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05D36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B4BA14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2.221%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538CD2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0.604%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E424A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0.342%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1B6E0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16660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2.794%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147CA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0.843%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C0532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0.721%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02FE5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A5122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2.185%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789C0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0.881%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C6317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0.475%</w:t>
            </w:r>
          </w:p>
        </w:tc>
      </w:tr>
      <w:tr w:rsidR="00420A5C" w:rsidRPr="00AC6A6E" w14:paraId="0D20C04E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BBC9E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1FE67E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2.409%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DA5B98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0.619%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F8BEAB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0.357%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7880E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B4413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2.999%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F4F38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0.922%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EC14E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0.721%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A9C64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E4DA5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2.373%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577F3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0.928%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78A47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0.475%</w:t>
            </w:r>
          </w:p>
        </w:tc>
      </w:tr>
      <w:tr w:rsidR="00420A5C" w:rsidRPr="00AC6A6E" w14:paraId="3D73C3B2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E2323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16D566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2.551%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05822B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0.635%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5F9CD7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0.357%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0A930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78269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3.221%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2C62C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0.954%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93929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0.769%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2B60F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F20F6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2.563%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04A17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0.976%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7548F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0.491%</w:t>
            </w:r>
          </w:p>
        </w:tc>
      </w:tr>
      <w:tr w:rsidR="00420A5C" w:rsidRPr="00AC6A6E" w14:paraId="791B9272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76406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35044A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2.708%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F230A6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0.635%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4118C2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0.389%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FBD1F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6FE4B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3.396%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64748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0.986%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96C4C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0.801%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C82F6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91206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2.816%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55748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0.992%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23C99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0.507%</w:t>
            </w:r>
          </w:p>
        </w:tc>
      </w:tr>
      <w:tr w:rsidR="00420A5C" w:rsidRPr="00AC6A6E" w14:paraId="4FCEBA4D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E0997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2A82B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2.851%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0A49F2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0.667%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C397F6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0.421%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9AA69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B434D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3.588%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1D3EA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1.083%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B83E9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0.881%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05B90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55598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2.991%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1571F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1.024%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8353B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0.507%</w:t>
            </w:r>
          </w:p>
        </w:tc>
      </w:tr>
      <w:tr w:rsidR="00420A5C" w:rsidRPr="00AC6A6E" w14:paraId="375A2413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DF9B5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F17783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2.948%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829F80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0.716%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2DD335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0.469%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C6CB2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2DDB4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3.767%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01198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1.149%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FA778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0.947%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889BA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863F7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3.201%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FA178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1.138%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24EEA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0.555%</w:t>
            </w:r>
          </w:p>
        </w:tc>
      </w:tr>
      <w:tr w:rsidR="00420A5C" w:rsidRPr="00AC6A6E" w14:paraId="646AC3D3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6C82B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9D63D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3.145%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FCB9FB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0.782%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7812B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0.486%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2FDD3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07220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3.983%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713CF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1.199%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FD267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0.963%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789F8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4ACB0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3.349%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19B40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1.222%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DD2C0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0.622%</w:t>
            </w:r>
          </w:p>
        </w:tc>
      </w:tr>
      <w:tr w:rsidR="00420A5C" w:rsidRPr="00AC6A6E" w14:paraId="5AEB918C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758B5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430D8B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3.245%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6B55A6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0.782%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C1BE6F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0.486%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38F59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F403F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4.169%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06E7A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1.233%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B23FF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0.997%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0DA36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A004A9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3.552%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FA654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1.273%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CC3AC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0.673%</w:t>
            </w:r>
          </w:p>
        </w:tc>
      </w:tr>
      <w:tr w:rsidR="00420A5C" w:rsidRPr="00AC6A6E" w14:paraId="53207DC6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B8FA3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0229A4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3.415%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047915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0.816%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A5E1E4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0.503%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79157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F8234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4.376%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30FA9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1.285%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C8927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0.997%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6974D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741D0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3.706%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47E0F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1.290%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4F9D0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0.725%</w:t>
            </w:r>
          </w:p>
        </w:tc>
      </w:tr>
      <w:tr w:rsidR="00420A5C" w:rsidRPr="00AC6A6E" w14:paraId="269554DB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5ED46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EC4FD3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3.553%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BF30BD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0.885%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BD8964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0.538%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CAD26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B7340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4.499%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16666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1.338%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20C2D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1.015%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A123B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A533F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3.880%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894B7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1.326%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E21DA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0.759%</w:t>
            </w:r>
          </w:p>
        </w:tc>
      </w:tr>
      <w:tr w:rsidR="00420A5C" w:rsidRPr="00AC6A6E" w14:paraId="26154620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512ED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13DEDE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3.727%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59E382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0.938%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79CB9E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0.555%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53AA1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6D7E1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4.606%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49EB7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1.374%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9B35D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1.051%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2CB4E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E44FA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4.021%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91C43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1.397%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E1054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0.777%</w:t>
            </w:r>
          </w:p>
        </w:tc>
      </w:tr>
      <w:tr w:rsidR="00420A5C" w:rsidRPr="00AC6A6E" w14:paraId="08C1669B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00AC6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1A1CE7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3.923%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D3B4FD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1.011%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D33D68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0.573%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77D0C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50D07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4.789%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18CF3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1.466%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92417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1.143%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A49B6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AD6A2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4.201%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8E715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1.452%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5EF7E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0.850%</w:t>
            </w:r>
          </w:p>
        </w:tc>
      </w:tr>
      <w:tr w:rsidR="00420A5C" w:rsidRPr="00AC6A6E" w14:paraId="568DFC0E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9F3C3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598D88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4.069%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976077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1.029%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5C88B4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0.591%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52234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E034D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4.938%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175B8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1.561%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DD807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1.181%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569A0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1D3E1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4.366%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A0D6C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1.526%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1A1ED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0.887%</w:t>
            </w:r>
          </w:p>
        </w:tc>
      </w:tr>
      <w:tr w:rsidR="00420A5C" w:rsidRPr="00AC6A6E" w14:paraId="7100A796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B81B3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7B76FB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4.199%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907BE9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1.104%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EE75E2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0.647%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D2994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101BC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5.071%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C6396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1.638%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5469C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1.200%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2B5B3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16480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4.441%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95F7C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1.583%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101D8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0.887%</w:t>
            </w:r>
          </w:p>
        </w:tc>
      </w:tr>
      <w:tr w:rsidR="00420A5C" w:rsidRPr="00AC6A6E" w14:paraId="355E983F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A29D1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30860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4.443%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B50F5B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1.104%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1B1704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0.685%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E98B7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5A164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5.243%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D2503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1.696%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1B9F6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1.220%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7CBFC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97688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4.650%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54680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1.602%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E8986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0.925%</w:t>
            </w:r>
          </w:p>
        </w:tc>
      </w:tr>
      <w:tr w:rsidR="00420A5C" w:rsidRPr="00AC6A6E" w14:paraId="57D597F9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37611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D52119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4.557%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639B64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1.161%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4D26F8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0.685%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CB131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66804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5.359%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1124E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1.814%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824A9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1.259%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33791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79D28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4.880%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4B52A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1.641%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6D77D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0.964%</w:t>
            </w:r>
          </w:p>
        </w:tc>
      </w:tr>
      <w:tr w:rsidR="00420A5C" w:rsidRPr="00AC6A6E" w14:paraId="766884EE" w14:textId="77777777" w:rsidTr="009E3394">
        <w:trPr>
          <w:trHeight w:val="28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402D3" w14:textId="77777777" w:rsidR="00420A5C" w:rsidRPr="00AC6A6E" w:rsidRDefault="00420A5C" w:rsidP="009E33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C6A6E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5D2A8D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4.672%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362B28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1.239%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225F65" w14:textId="77777777" w:rsidR="00420A5C" w:rsidRPr="00F11179" w:rsidRDefault="00420A5C" w:rsidP="009E339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F11179">
              <w:rPr>
                <w:rFonts w:ascii="Calibri" w:hAnsi="Calibri"/>
                <w:color w:val="000000"/>
                <w:sz w:val="20"/>
              </w:rPr>
              <w:t>0.782%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27292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20C74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5.477%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48792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1.814%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1C62E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1.299%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C99E5" w14:textId="77777777" w:rsidR="00420A5C" w:rsidRPr="00F11179" w:rsidRDefault="00420A5C" w:rsidP="009E339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8AF1A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5.016%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221CE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1.661%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7BFDE" w14:textId="77777777" w:rsidR="00420A5C" w:rsidRPr="00F11179" w:rsidRDefault="00420A5C" w:rsidP="009E3394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F11179">
              <w:rPr>
                <w:sz w:val="20"/>
              </w:rPr>
              <w:t>1.003%</w:t>
            </w:r>
          </w:p>
        </w:tc>
      </w:tr>
    </w:tbl>
    <w:p w14:paraId="39F9D1EA" w14:textId="77777777" w:rsidR="00420A5C" w:rsidRDefault="00BE627D" w:rsidP="00420A5C">
      <w:pPr>
        <w:rPr>
          <w:rFonts w:ascii="Arial" w:hAnsi="Arial" w:cs="Arial"/>
          <w:b/>
          <w:sz w:val="14"/>
          <w:szCs w:val="14"/>
        </w:rPr>
      </w:pPr>
      <w:r w:rsidRPr="005D2E03">
        <w:rPr>
          <w:rFonts w:ascii="Arial" w:hAnsi="Arial" w:cs="Arial"/>
          <w:b/>
          <w:sz w:val="14"/>
          <w:szCs w:val="14"/>
        </w:rPr>
        <w:t xml:space="preserve">Source: </w:t>
      </w:r>
      <w:r w:rsidR="00E97065">
        <w:rPr>
          <w:rFonts w:ascii="Arial" w:hAnsi="Arial" w:cs="Arial"/>
          <w:b/>
          <w:sz w:val="14"/>
          <w:szCs w:val="14"/>
        </w:rPr>
        <w:t>Data on file provided by the study sponsor.</w:t>
      </w:r>
    </w:p>
    <w:p w14:paraId="7D615EE1" w14:textId="77777777" w:rsidR="00D10786" w:rsidRDefault="00D10786" w:rsidP="00420A5C">
      <w:pPr>
        <w:rPr>
          <w:rFonts w:ascii="Arial" w:hAnsi="Arial" w:cs="Arial"/>
          <w:b/>
          <w:sz w:val="14"/>
          <w:szCs w:val="14"/>
        </w:rPr>
      </w:pPr>
    </w:p>
    <w:p w14:paraId="4E7C67BA" w14:textId="759CD757" w:rsidR="00A53B7B" w:rsidRPr="004956F6" w:rsidRDefault="00A53B7B" w:rsidP="00A53B7B">
      <w:pPr>
        <w:pStyle w:val="Caption"/>
        <w:keepNext/>
        <w:rPr>
          <w:rFonts w:ascii="Arial" w:hAnsi="Arial" w:cs="Arial"/>
          <w:b/>
          <w:i w:val="0"/>
          <w:color w:val="auto"/>
          <w:sz w:val="21"/>
          <w:szCs w:val="21"/>
        </w:rPr>
      </w:pPr>
      <w:bookmarkStart w:id="4" w:name="_Ref17634129"/>
      <w:r w:rsidRPr="006C421A">
        <w:rPr>
          <w:rFonts w:ascii="Arial" w:hAnsi="Arial" w:cs="Arial"/>
          <w:b/>
          <w:i w:val="0"/>
          <w:color w:val="auto"/>
          <w:sz w:val="21"/>
          <w:szCs w:val="21"/>
        </w:rPr>
        <w:lastRenderedPageBreak/>
        <w:t xml:space="preserve">Table </w:t>
      </w:r>
      <w:r w:rsidR="005B7BC8">
        <w:rPr>
          <w:rFonts w:ascii="Arial" w:hAnsi="Arial" w:cs="Arial"/>
          <w:b/>
          <w:i w:val="0"/>
          <w:color w:val="auto"/>
          <w:sz w:val="21"/>
          <w:szCs w:val="21"/>
        </w:rPr>
        <w:t>S</w:t>
      </w:r>
      <w:r w:rsidRPr="006C421A">
        <w:rPr>
          <w:rFonts w:ascii="Arial" w:hAnsi="Arial" w:cs="Arial"/>
          <w:b/>
          <w:i w:val="0"/>
          <w:color w:val="auto"/>
          <w:sz w:val="21"/>
          <w:szCs w:val="21"/>
        </w:rPr>
        <w:fldChar w:fldCharType="begin"/>
      </w:r>
      <w:r w:rsidRPr="006C421A">
        <w:rPr>
          <w:rFonts w:ascii="Arial" w:hAnsi="Arial" w:cs="Arial"/>
          <w:b/>
          <w:i w:val="0"/>
          <w:color w:val="auto"/>
          <w:sz w:val="21"/>
          <w:szCs w:val="21"/>
        </w:rPr>
        <w:instrText xml:space="preserve"> SEQ Supplemental_Table \* ARABIC </w:instrText>
      </w:r>
      <w:r w:rsidRPr="006C421A">
        <w:rPr>
          <w:rFonts w:ascii="Arial" w:hAnsi="Arial" w:cs="Arial"/>
          <w:b/>
          <w:i w:val="0"/>
          <w:color w:val="auto"/>
          <w:sz w:val="21"/>
          <w:szCs w:val="21"/>
        </w:rPr>
        <w:fldChar w:fldCharType="separate"/>
      </w:r>
      <w:r w:rsidR="00EB3C49">
        <w:rPr>
          <w:rFonts w:ascii="Arial" w:hAnsi="Arial" w:cs="Arial"/>
          <w:b/>
          <w:i w:val="0"/>
          <w:noProof/>
          <w:color w:val="auto"/>
          <w:sz w:val="21"/>
          <w:szCs w:val="21"/>
        </w:rPr>
        <w:t>3</w:t>
      </w:r>
      <w:r w:rsidRPr="006C421A">
        <w:rPr>
          <w:rFonts w:ascii="Arial" w:hAnsi="Arial" w:cs="Arial"/>
          <w:b/>
          <w:i w:val="0"/>
          <w:color w:val="auto"/>
          <w:sz w:val="21"/>
          <w:szCs w:val="21"/>
        </w:rPr>
        <w:fldChar w:fldCharType="end"/>
      </w:r>
      <w:bookmarkEnd w:id="4"/>
      <w:r w:rsidRPr="006C421A">
        <w:rPr>
          <w:rFonts w:ascii="Arial" w:hAnsi="Arial" w:cs="Arial"/>
          <w:b/>
          <w:i w:val="0"/>
          <w:color w:val="auto"/>
          <w:sz w:val="21"/>
          <w:szCs w:val="21"/>
        </w:rPr>
        <w:t xml:space="preserve">. Age-specific background mortality </w:t>
      </w:r>
      <w:r>
        <w:rPr>
          <w:rFonts w:ascii="Arial" w:hAnsi="Arial" w:cs="Arial"/>
          <w:b/>
          <w:i w:val="0"/>
          <w:color w:val="auto"/>
          <w:sz w:val="21"/>
          <w:szCs w:val="21"/>
        </w:rPr>
        <w:t xml:space="preserve">for </w:t>
      </w:r>
      <w:r w:rsidRPr="006C421A">
        <w:rPr>
          <w:rFonts w:ascii="Arial" w:hAnsi="Arial" w:cs="Arial"/>
          <w:b/>
          <w:i w:val="0"/>
          <w:color w:val="auto"/>
          <w:sz w:val="21"/>
          <w:szCs w:val="21"/>
        </w:rPr>
        <w:t>United Arab Emirates, 201</w:t>
      </w:r>
      <w:r>
        <w:rPr>
          <w:rFonts w:ascii="Arial" w:hAnsi="Arial" w:cs="Arial"/>
          <w:b/>
          <w:i w:val="0"/>
          <w:color w:val="auto"/>
          <w:sz w:val="21"/>
          <w:szCs w:val="21"/>
        </w:rPr>
        <w:t>5</w:t>
      </w:r>
      <w:r w:rsidRPr="006C421A">
        <w:rPr>
          <w:rFonts w:ascii="Arial" w:hAnsi="Arial" w:cs="Arial"/>
          <w:b/>
          <w:i w:val="0"/>
          <w:color w:val="auto"/>
          <w:sz w:val="21"/>
          <w:szCs w:val="21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1230"/>
        <w:gridCol w:w="1440"/>
        <w:gridCol w:w="1440"/>
        <w:gridCol w:w="1440"/>
      </w:tblGrid>
      <w:tr w:rsidR="00A53B7B" w:rsidRPr="006C421A" w14:paraId="1452842E" w14:textId="77777777" w:rsidTr="0012348C">
        <w:trPr>
          <w:trHeight w:val="285"/>
          <w:jc w:val="center"/>
        </w:trPr>
        <w:tc>
          <w:tcPr>
            <w:tcW w:w="1615" w:type="dxa"/>
            <w:noWrap/>
            <w:hideMark/>
          </w:tcPr>
          <w:p w14:paraId="15A42264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14:paraId="54C8054F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United Arab Emirates</w:t>
            </w:r>
          </w:p>
        </w:tc>
        <w:tc>
          <w:tcPr>
            <w:tcW w:w="2880" w:type="dxa"/>
            <w:gridSpan w:val="2"/>
          </w:tcPr>
          <w:p w14:paraId="18807D45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Comparison to Unites States</w:t>
            </w:r>
          </w:p>
        </w:tc>
      </w:tr>
      <w:tr w:rsidR="00A53B7B" w:rsidRPr="006C421A" w14:paraId="2CF6E31C" w14:textId="77777777" w:rsidTr="0012348C">
        <w:trPr>
          <w:trHeight w:val="285"/>
          <w:jc w:val="center"/>
        </w:trPr>
        <w:tc>
          <w:tcPr>
            <w:tcW w:w="1615" w:type="dxa"/>
            <w:noWrap/>
          </w:tcPr>
          <w:p w14:paraId="3CA59075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</w:tcPr>
          <w:p w14:paraId="36A3B7BD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201</w:t>
            </w:r>
            <w:r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41CCA254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201</w:t>
            </w:r>
            <w:r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14:paraId="627C5418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2015</w:t>
            </w:r>
          </w:p>
        </w:tc>
        <w:tc>
          <w:tcPr>
            <w:tcW w:w="1440" w:type="dxa"/>
          </w:tcPr>
          <w:p w14:paraId="56B305EB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2015</w:t>
            </w:r>
          </w:p>
        </w:tc>
      </w:tr>
      <w:tr w:rsidR="00A53B7B" w:rsidRPr="006C421A" w14:paraId="7AC20185" w14:textId="77777777" w:rsidTr="0012348C">
        <w:trPr>
          <w:trHeight w:val="285"/>
          <w:jc w:val="center"/>
        </w:trPr>
        <w:tc>
          <w:tcPr>
            <w:tcW w:w="1615" w:type="dxa"/>
            <w:noWrap/>
            <w:hideMark/>
          </w:tcPr>
          <w:p w14:paraId="167381BD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Age Group</w:t>
            </w:r>
          </w:p>
        </w:tc>
        <w:tc>
          <w:tcPr>
            <w:tcW w:w="1230" w:type="dxa"/>
          </w:tcPr>
          <w:p w14:paraId="6844FDF5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Male</w:t>
            </w:r>
          </w:p>
        </w:tc>
        <w:tc>
          <w:tcPr>
            <w:tcW w:w="1440" w:type="dxa"/>
          </w:tcPr>
          <w:p w14:paraId="39CF9917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Female</w:t>
            </w:r>
          </w:p>
        </w:tc>
        <w:tc>
          <w:tcPr>
            <w:tcW w:w="1440" w:type="dxa"/>
          </w:tcPr>
          <w:p w14:paraId="6C30CF36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Male</w:t>
            </w:r>
          </w:p>
        </w:tc>
        <w:tc>
          <w:tcPr>
            <w:tcW w:w="1440" w:type="dxa"/>
          </w:tcPr>
          <w:p w14:paraId="278A2BE0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Female</w:t>
            </w:r>
          </w:p>
        </w:tc>
      </w:tr>
      <w:tr w:rsidR="00A53B7B" w:rsidRPr="006C421A" w14:paraId="3ECCA4A4" w14:textId="77777777" w:rsidTr="0012348C">
        <w:trPr>
          <w:trHeight w:val="285"/>
          <w:jc w:val="center"/>
        </w:trPr>
        <w:tc>
          <w:tcPr>
            <w:tcW w:w="1615" w:type="dxa"/>
            <w:noWrap/>
            <w:hideMark/>
          </w:tcPr>
          <w:p w14:paraId="7FC140A7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15-</w:t>
            </w:r>
            <w:proofErr w:type="gramStart"/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19  years</w:t>
            </w:r>
            <w:proofErr w:type="gramEnd"/>
          </w:p>
        </w:tc>
        <w:tc>
          <w:tcPr>
            <w:tcW w:w="1230" w:type="dxa"/>
          </w:tcPr>
          <w:p w14:paraId="33DA31E4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0.0007</w:t>
            </w:r>
          </w:p>
        </w:tc>
        <w:tc>
          <w:tcPr>
            <w:tcW w:w="1440" w:type="dxa"/>
          </w:tcPr>
          <w:p w14:paraId="54B8CEF8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0.0003</w:t>
            </w:r>
          </w:p>
        </w:tc>
        <w:tc>
          <w:tcPr>
            <w:tcW w:w="1440" w:type="dxa"/>
          </w:tcPr>
          <w:p w14:paraId="50E8E373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0.0007</w:t>
            </w:r>
          </w:p>
        </w:tc>
        <w:tc>
          <w:tcPr>
            <w:tcW w:w="1440" w:type="dxa"/>
          </w:tcPr>
          <w:p w14:paraId="116A8713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0.0003</w:t>
            </w:r>
          </w:p>
        </w:tc>
      </w:tr>
      <w:tr w:rsidR="00A53B7B" w:rsidRPr="006C421A" w14:paraId="138A7C10" w14:textId="77777777" w:rsidTr="0012348C">
        <w:trPr>
          <w:trHeight w:val="285"/>
          <w:jc w:val="center"/>
        </w:trPr>
        <w:tc>
          <w:tcPr>
            <w:tcW w:w="1615" w:type="dxa"/>
            <w:noWrap/>
            <w:hideMark/>
          </w:tcPr>
          <w:p w14:paraId="4BD4FF05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20-24 years</w:t>
            </w:r>
          </w:p>
        </w:tc>
        <w:tc>
          <w:tcPr>
            <w:tcW w:w="1230" w:type="dxa"/>
          </w:tcPr>
          <w:p w14:paraId="45483BAE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0.0009</w:t>
            </w:r>
          </w:p>
        </w:tc>
        <w:tc>
          <w:tcPr>
            <w:tcW w:w="1440" w:type="dxa"/>
          </w:tcPr>
          <w:p w14:paraId="7F266C61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0.0004</w:t>
            </w:r>
          </w:p>
        </w:tc>
        <w:tc>
          <w:tcPr>
            <w:tcW w:w="1440" w:type="dxa"/>
          </w:tcPr>
          <w:p w14:paraId="0018D435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0.0013</w:t>
            </w:r>
          </w:p>
        </w:tc>
        <w:tc>
          <w:tcPr>
            <w:tcW w:w="1440" w:type="dxa"/>
          </w:tcPr>
          <w:p w14:paraId="5391983F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0.0005</w:t>
            </w:r>
          </w:p>
        </w:tc>
      </w:tr>
      <w:tr w:rsidR="00A53B7B" w:rsidRPr="006C421A" w14:paraId="6FAFAFB5" w14:textId="77777777" w:rsidTr="0012348C">
        <w:trPr>
          <w:trHeight w:val="285"/>
          <w:jc w:val="center"/>
        </w:trPr>
        <w:tc>
          <w:tcPr>
            <w:tcW w:w="1615" w:type="dxa"/>
            <w:noWrap/>
            <w:hideMark/>
          </w:tcPr>
          <w:p w14:paraId="42C62464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25-29 years</w:t>
            </w:r>
          </w:p>
        </w:tc>
        <w:tc>
          <w:tcPr>
            <w:tcW w:w="1230" w:type="dxa"/>
          </w:tcPr>
          <w:p w14:paraId="466EDB1B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0.0009</w:t>
            </w:r>
          </w:p>
        </w:tc>
        <w:tc>
          <w:tcPr>
            <w:tcW w:w="1440" w:type="dxa"/>
          </w:tcPr>
          <w:p w14:paraId="25D87F4A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0.0005</w:t>
            </w:r>
          </w:p>
        </w:tc>
        <w:tc>
          <w:tcPr>
            <w:tcW w:w="1440" w:type="dxa"/>
          </w:tcPr>
          <w:p w14:paraId="7D98039C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0.0015</w:t>
            </w:r>
          </w:p>
        </w:tc>
        <w:tc>
          <w:tcPr>
            <w:tcW w:w="1440" w:type="dxa"/>
          </w:tcPr>
          <w:p w14:paraId="4BCF6DAF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0.0006</w:t>
            </w:r>
          </w:p>
        </w:tc>
      </w:tr>
      <w:tr w:rsidR="00A53B7B" w:rsidRPr="006C421A" w14:paraId="0FF5B422" w14:textId="77777777" w:rsidTr="0012348C">
        <w:trPr>
          <w:trHeight w:val="285"/>
          <w:jc w:val="center"/>
        </w:trPr>
        <w:tc>
          <w:tcPr>
            <w:tcW w:w="1615" w:type="dxa"/>
            <w:noWrap/>
            <w:hideMark/>
          </w:tcPr>
          <w:p w14:paraId="41F4AA7D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30-34 years</w:t>
            </w:r>
          </w:p>
        </w:tc>
        <w:tc>
          <w:tcPr>
            <w:tcW w:w="1230" w:type="dxa"/>
          </w:tcPr>
          <w:p w14:paraId="623D6170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0.0010</w:t>
            </w:r>
          </w:p>
        </w:tc>
        <w:tc>
          <w:tcPr>
            <w:tcW w:w="1440" w:type="dxa"/>
          </w:tcPr>
          <w:p w14:paraId="67CFF255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0.0006</w:t>
            </w:r>
          </w:p>
        </w:tc>
        <w:tc>
          <w:tcPr>
            <w:tcW w:w="1440" w:type="dxa"/>
          </w:tcPr>
          <w:p w14:paraId="2F908F41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0.0017</w:t>
            </w:r>
          </w:p>
        </w:tc>
        <w:tc>
          <w:tcPr>
            <w:tcW w:w="1440" w:type="dxa"/>
          </w:tcPr>
          <w:p w14:paraId="57D48B6D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0.0009</w:t>
            </w:r>
          </w:p>
        </w:tc>
      </w:tr>
      <w:tr w:rsidR="00A53B7B" w:rsidRPr="006C421A" w14:paraId="42E51D12" w14:textId="77777777" w:rsidTr="0012348C">
        <w:trPr>
          <w:trHeight w:val="285"/>
          <w:jc w:val="center"/>
        </w:trPr>
        <w:tc>
          <w:tcPr>
            <w:tcW w:w="1615" w:type="dxa"/>
            <w:noWrap/>
            <w:hideMark/>
          </w:tcPr>
          <w:p w14:paraId="600C4687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35-39 years</w:t>
            </w:r>
          </w:p>
        </w:tc>
        <w:tc>
          <w:tcPr>
            <w:tcW w:w="1230" w:type="dxa"/>
          </w:tcPr>
          <w:p w14:paraId="51FAA280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0.0013</w:t>
            </w:r>
          </w:p>
        </w:tc>
        <w:tc>
          <w:tcPr>
            <w:tcW w:w="1440" w:type="dxa"/>
          </w:tcPr>
          <w:p w14:paraId="1738F333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0.0010</w:t>
            </w:r>
          </w:p>
        </w:tc>
        <w:tc>
          <w:tcPr>
            <w:tcW w:w="1440" w:type="dxa"/>
          </w:tcPr>
          <w:p w14:paraId="7ED6B82D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0.0020</w:t>
            </w:r>
          </w:p>
        </w:tc>
        <w:tc>
          <w:tcPr>
            <w:tcW w:w="1440" w:type="dxa"/>
          </w:tcPr>
          <w:p w14:paraId="0E648F96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0.0011</w:t>
            </w:r>
          </w:p>
        </w:tc>
      </w:tr>
      <w:tr w:rsidR="00A53B7B" w:rsidRPr="006C421A" w14:paraId="1F9DB896" w14:textId="77777777" w:rsidTr="0012348C">
        <w:trPr>
          <w:trHeight w:val="285"/>
          <w:jc w:val="center"/>
        </w:trPr>
        <w:tc>
          <w:tcPr>
            <w:tcW w:w="1615" w:type="dxa"/>
            <w:noWrap/>
            <w:hideMark/>
          </w:tcPr>
          <w:p w14:paraId="6A99227D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40-44 years</w:t>
            </w:r>
          </w:p>
        </w:tc>
        <w:tc>
          <w:tcPr>
            <w:tcW w:w="1230" w:type="dxa"/>
          </w:tcPr>
          <w:p w14:paraId="0FCD0548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0.0020</w:t>
            </w:r>
          </w:p>
        </w:tc>
        <w:tc>
          <w:tcPr>
            <w:tcW w:w="1440" w:type="dxa"/>
          </w:tcPr>
          <w:p w14:paraId="475055E6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0.0016</w:t>
            </w:r>
          </w:p>
        </w:tc>
        <w:tc>
          <w:tcPr>
            <w:tcW w:w="1440" w:type="dxa"/>
          </w:tcPr>
          <w:p w14:paraId="6FFC41FA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0.0025</w:t>
            </w:r>
          </w:p>
        </w:tc>
        <w:tc>
          <w:tcPr>
            <w:tcW w:w="1440" w:type="dxa"/>
          </w:tcPr>
          <w:p w14:paraId="3B7C0377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0.0016</w:t>
            </w:r>
          </w:p>
        </w:tc>
      </w:tr>
      <w:tr w:rsidR="00A53B7B" w:rsidRPr="006C421A" w14:paraId="10022D7A" w14:textId="77777777" w:rsidTr="0012348C">
        <w:trPr>
          <w:trHeight w:val="285"/>
          <w:jc w:val="center"/>
        </w:trPr>
        <w:tc>
          <w:tcPr>
            <w:tcW w:w="1615" w:type="dxa"/>
            <w:noWrap/>
            <w:hideMark/>
          </w:tcPr>
          <w:p w14:paraId="00BF097E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45-49 years</w:t>
            </w:r>
          </w:p>
        </w:tc>
        <w:tc>
          <w:tcPr>
            <w:tcW w:w="1230" w:type="dxa"/>
          </w:tcPr>
          <w:p w14:paraId="3BDBE6B0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0.0032</w:t>
            </w:r>
          </w:p>
        </w:tc>
        <w:tc>
          <w:tcPr>
            <w:tcW w:w="1440" w:type="dxa"/>
          </w:tcPr>
          <w:p w14:paraId="7E2DC574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0.0026</w:t>
            </w:r>
          </w:p>
        </w:tc>
        <w:tc>
          <w:tcPr>
            <w:tcW w:w="1440" w:type="dxa"/>
          </w:tcPr>
          <w:p w14:paraId="3CFCDE70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0.0037</w:t>
            </w:r>
          </w:p>
        </w:tc>
        <w:tc>
          <w:tcPr>
            <w:tcW w:w="1440" w:type="dxa"/>
          </w:tcPr>
          <w:p w14:paraId="4BEE4CB9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0.0025</w:t>
            </w:r>
          </w:p>
        </w:tc>
      </w:tr>
      <w:tr w:rsidR="00A53B7B" w:rsidRPr="006C421A" w14:paraId="6AD15CEA" w14:textId="77777777" w:rsidTr="0012348C">
        <w:trPr>
          <w:trHeight w:val="285"/>
          <w:jc w:val="center"/>
        </w:trPr>
        <w:tc>
          <w:tcPr>
            <w:tcW w:w="1615" w:type="dxa"/>
            <w:noWrap/>
            <w:hideMark/>
          </w:tcPr>
          <w:p w14:paraId="3E9753BF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50-54 years</w:t>
            </w:r>
          </w:p>
        </w:tc>
        <w:tc>
          <w:tcPr>
            <w:tcW w:w="1230" w:type="dxa"/>
          </w:tcPr>
          <w:p w14:paraId="4E74A997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0.0055</w:t>
            </w:r>
          </w:p>
        </w:tc>
        <w:tc>
          <w:tcPr>
            <w:tcW w:w="1440" w:type="dxa"/>
          </w:tcPr>
          <w:p w14:paraId="6C9AF293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0.0042</w:t>
            </w:r>
          </w:p>
        </w:tc>
        <w:tc>
          <w:tcPr>
            <w:tcW w:w="1440" w:type="dxa"/>
          </w:tcPr>
          <w:p w14:paraId="0F58E0C0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0.0060</w:t>
            </w:r>
          </w:p>
        </w:tc>
        <w:tc>
          <w:tcPr>
            <w:tcW w:w="1440" w:type="dxa"/>
          </w:tcPr>
          <w:p w14:paraId="5FB2D63A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0.0039</w:t>
            </w:r>
          </w:p>
        </w:tc>
      </w:tr>
      <w:tr w:rsidR="00A53B7B" w:rsidRPr="006C421A" w14:paraId="1B1F07D0" w14:textId="77777777" w:rsidTr="0012348C">
        <w:trPr>
          <w:trHeight w:val="285"/>
          <w:jc w:val="center"/>
        </w:trPr>
        <w:tc>
          <w:tcPr>
            <w:tcW w:w="1615" w:type="dxa"/>
            <w:noWrap/>
            <w:hideMark/>
          </w:tcPr>
          <w:p w14:paraId="7CE661C8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55-59 years</w:t>
            </w:r>
          </w:p>
        </w:tc>
        <w:tc>
          <w:tcPr>
            <w:tcW w:w="1230" w:type="dxa"/>
          </w:tcPr>
          <w:p w14:paraId="2D4241B3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0.0093</w:t>
            </w:r>
          </w:p>
        </w:tc>
        <w:tc>
          <w:tcPr>
            <w:tcW w:w="1440" w:type="dxa"/>
          </w:tcPr>
          <w:p w14:paraId="61DF363C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0.0069</w:t>
            </w:r>
          </w:p>
        </w:tc>
        <w:tc>
          <w:tcPr>
            <w:tcW w:w="1440" w:type="dxa"/>
          </w:tcPr>
          <w:p w14:paraId="4B307D34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0.0092</w:t>
            </w:r>
          </w:p>
        </w:tc>
        <w:tc>
          <w:tcPr>
            <w:tcW w:w="1440" w:type="dxa"/>
          </w:tcPr>
          <w:p w14:paraId="1E4012D4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0.0057</w:t>
            </w:r>
          </w:p>
        </w:tc>
      </w:tr>
      <w:tr w:rsidR="00A53B7B" w:rsidRPr="006C421A" w14:paraId="48613B5A" w14:textId="77777777" w:rsidTr="0012348C">
        <w:trPr>
          <w:trHeight w:val="285"/>
          <w:jc w:val="center"/>
        </w:trPr>
        <w:tc>
          <w:tcPr>
            <w:tcW w:w="1615" w:type="dxa"/>
            <w:noWrap/>
            <w:hideMark/>
          </w:tcPr>
          <w:p w14:paraId="107B8444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60-64 years</w:t>
            </w:r>
          </w:p>
        </w:tc>
        <w:tc>
          <w:tcPr>
            <w:tcW w:w="1230" w:type="dxa"/>
          </w:tcPr>
          <w:p w14:paraId="6D8DE60A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0.0162</w:t>
            </w:r>
          </w:p>
        </w:tc>
        <w:tc>
          <w:tcPr>
            <w:tcW w:w="1440" w:type="dxa"/>
          </w:tcPr>
          <w:p w14:paraId="77BEF674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0.0112</w:t>
            </w:r>
          </w:p>
        </w:tc>
        <w:tc>
          <w:tcPr>
            <w:tcW w:w="1440" w:type="dxa"/>
          </w:tcPr>
          <w:p w14:paraId="7401C4D6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0.0132</w:t>
            </w:r>
          </w:p>
        </w:tc>
        <w:tc>
          <w:tcPr>
            <w:tcW w:w="1440" w:type="dxa"/>
          </w:tcPr>
          <w:p w14:paraId="02E939F6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0.0079</w:t>
            </w:r>
          </w:p>
        </w:tc>
      </w:tr>
      <w:tr w:rsidR="00A53B7B" w:rsidRPr="006C421A" w14:paraId="548CC72F" w14:textId="77777777" w:rsidTr="0012348C">
        <w:trPr>
          <w:trHeight w:val="285"/>
          <w:jc w:val="center"/>
        </w:trPr>
        <w:tc>
          <w:tcPr>
            <w:tcW w:w="1615" w:type="dxa"/>
            <w:noWrap/>
            <w:hideMark/>
          </w:tcPr>
          <w:p w14:paraId="552ED33F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65-69 years</w:t>
            </w:r>
          </w:p>
        </w:tc>
        <w:tc>
          <w:tcPr>
            <w:tcW w:w="1230" w:type="dxa"/>
          </w:tcPr>
          <w:p w14:paraId="006B09C8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0.0265</w:t>
            </w:r>
          </w:p>
        </w:tc>
        <w:tc>
          <w:tcPr>
            <w:tcW w:w="1440" w:type="dxa"/>
          </w:tcPr>
          <w:p w14:paraId="2562F4BB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0.0178</w:t>
            </w:r>
          </w:p>
        </w:tc>
        <w:tc>
          <w:tcPr>
            <w:tcW w:w="1440" w:type="dxa"/>
          </w:tcPr>
          <w:p w14:paraId="605370D1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0.0186</w:t>
            </w:r>
          </w:p>
        </w:tc>
        <w:tc>
          <w:tcPr>
            <w:tcW w:w="1440" w:type="dxa"/>
          </w:tcPr>
          <w:p w14:paraId="7C1BE0D2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0.0118</w:t>
            </w:r>
          </w:p>
        </w:tc>
      </w:tr>
      <w:tr w:rsidR="00A53B7B" w:rsidRPr="006C421A" w14:paraId="2F3728F2" w14:textId="77777777" w:rsidTr="0012348C">
        <w:trPr>
          <w:trHeight w:val="285"/>
          <w:jc w:val="center"/>
        </w:trPr>
        <w:tc>
          <w:tcPr>
            <w:tcW w:w="1615" w:type="dxa"/>
            <w:noWrap/>
            <w:hideMark/>
          </w:tcPr>
          <w:p w14:paraId="37C22952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70-74 years</w:t>
            </w:r>
          </w:p>
        </w:tc>
        <w:tc>
          <w:tcPr>
            <w:tcW w:w="1230" w:type="dxa"/>
          </w:tcPr>
          <w:p w14:paraId="2EB80110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0.0429</w:t>
            </w:r>
          </w:p>
        </w:tc>
        <w:tc>
          <w:tcPr>
            <w:tcW w:w="1440" w:type="dxa"/>
          </w:tcPr>
          <w:p w14:paraId="640D8738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0.0289</w:t>
            </w:r>
          </w:p>
        </w:tc>
        <w:tc>
          <w:tcPr>
            <w:tcW w:w="1440" w:type="dxa"/>
          </w:tcPr>
          <w:p w14:paraId="76096953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0.0283</w:t>
            </w:r>
          </w:p>
        </w:tc>
        <w:tc>
          <w:tcPr>
            <w:tcW w:w="1440" w:type="dxa"/>
          </w:tcPr>
          <w:p w14:paraId="621A8A43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0.0189</w:t>
            </w:r>
          </w:p>
        </w:tc>
      </w:tr>
      <w:tr w:rsidR="00A53B7B" w:rsidRPr="006C421A" w14:paraId="74069A9B" w14:textId="77777777" w:rsidTr="0012348C">
        <w:trPr>
          <w:trHeight w:val="285"/>
          <w:jc w:val="center"/>
        </w:trPr>
        <w:tc>
          <w:tcPr>
            <w:tcW w:w="1615" w:type="dxa"/>
            <w:noWrap/>
            <w:hideMark/>
          </w:tcPr>
          <w:p w14:paraId="722AA85F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75-79 years</w:t>
            </w:r>
          </w:p>
        </w:tc>
        <w:tc>
          <w:tcPr>
            <w:tcW w:w="1230" w:type="dxa"/>
          </w:tcPr>
          <w:p w14:paraId="698A4A42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0.0683</w:t>
            </w:r>
          </w:p>
        </w:tc>
        <w:tc>
          <w:tcPr>
            <w:tcW w:w="1440" w:type="dxa"/>
          </w:tcPr>
          <w:p w14:paraId="794FA8A7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0.0474</w:t>
            </w:r>
          </w:p>
        </w:tc>
        <w:tc>
          <w:tcPr>
            <w:tcW w:w="1440" w:type="dxa"/>
          </w:tcPr>
          <w:p w14:paraId="00061757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0.0419</w:t>
            </w:r>
          </w:p>
        </w:tc>
        <w:tc>
          <w:tcPr>
            <w:tcW w:w="1440" w:type="dxa"/>
          </w:tcPr>
          <w:p w14:paraId="04BA2413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0.0307</w:t>
            </w:r>
          </w:p>
        </w:tc>
      </w:tr>
      <w:tr w:rsidR="00A53B7B" w:rsidRPr="006C421A" w14:paraId="1255506C" w14:textId="77777777" w:rsidTr="0012348C">
        <w:trPr>
          <w:trHeight w:val="285"/>
          <w:jc w:val="center"/>
        </w:trPr>
        <w:tc>
          <w:tcPr>
            <w:tcW w:w="1615" w:type="dxa"/>
            <w:noWrap/>
            <w:hideMark/>
          </w:tcPr>
          <w:p w14:paraId="3C663286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80-84 years</w:t>
            </w:r>
          </w:p>
        </w:tc>
        <w:tc>
          <w:tcPr>
            <w:tcW w:w="1230" w:type="dxa"/>
          </w:tcPr>
          <w:p w14:paraId="37AD1D04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0.1088</w:t>
            </w:r>
          </w:p>
        </w:tc>
        <w:tc>
          <w:tcPr>
            <w:tcW w:w="1440" w:type="dxa"/>
          </w:tcPr>
          <w:p w14:paraId="073EF03C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0.0804</w:t>
            </w:r>
          </w:p>
        </w:tc>
        <w:tc>
          <w:tcPr>
            <w:tcW w:w="1440" w:type="dxa"/>
          </w:tcPr>
          <w:p w14:paraId="1492CFBE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0.0706</w:t>
            </w:r>
          </w:p>
        </w:tc>
        <w:tc>
          <w:tcPr>
            <w:tcW w:w="1440" w:type="dxa"/>
          </w:tcPr>
          <w:p w14:paraId="5F386A5D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0.0529</w:t>
            </w:r>
          </w:p>
        </w:tc>
      </w:tr>
      <w:tr w:rsidR="00A53B7B" w:rsidRPr="006C421A" w14:paraId="5635C4F5" w14:textId="77777777" w:rsidTr="0012348C">
        <w:trPr>
          <w:trHeight w:val="285"/>
          <w:jc w:val="center"/>
        </w:trPr>
        <w:tc>
          <w:tcPr>
            <w:tcW w:w="1615" w:type="dxa"/>
            <w:noWrap/>
            <w:hideMark/>
          </w:tcPr>
          <w:p w14:paraId="6DFB0284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C421A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85+ years</w:t>
            </w:r>
          </w:p>
        </w:tc>
        <w:tc>
          <w:tcPr>
            <w:tcW w:w="1230" w:type="dxa"/>
          </w:tcPr>
          <w:p w14:paraId="519C8680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14:paraId="7CE0C2C6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637759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0.1771</w:t>
            </w:r>
          </w:p>
        </w:tc>
        <w:tc>
          <w:tcPr>
            <w:tcW w:w="1440" w:type="dxa"/>
          </w:tcPr>
          <w:p w14:paraId="559D23CF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0.1488</w:t>
            </w:r>
          </w:p>
        </w:tc>
        <w:tc>
          <w:tcPr>
            <w:tcW w:w="1440" w:type="dxa"/>
          </w:tcPr>
          <w:p w14:paraId="08739C09" w14:textId="77777777" w:rsidR="00A53B7B" w:rsidRPr="006C421A" w:rsidRDefault="00A53B7B" w:rsidP="0012348C">
            <w:pPr>
              <w:pStyle w:val="Caption"/>
              <w:keepNext/>
              <w:tabs>
                <w:tab w:val="left" w:pos="2378"/>
              </w:tabs>
              <w:jc w:val="center"/>
              <w:rPr>
                <w:rFonts w:cstheme="minorHAnsi"/>
                <w:b/>
                <w:i w:val="0"/>
                <w:color w:val="auto"/>
                <w:sz w:val="20"/>
                <w:szCs w:val="20"/>
              </w:rPr>
            </w:pPr>
            <w:r w:rsidRPr="005105F8">
              <w:rPr>
                <w:rFonts w:cstheme="minorHAnsi"/>
                <w:b/>
                <w:i w:val="0"/>
                <w:color w:val="auto"/>
                <w:sz w:val="20"/>
                <w:szCs w:val="20"/>
              </w:rPr>
              <w:t>0.1325</w:t>
            </w:r>
          </w:p>
        </w:tc>
      </w:tr>
    </w:tbl>
    <w:p w14:paraId="67D1D3FA" w14:textId="77777777" w:rsidR="00A53B7B" w:rsidRPr="00637759" w:rsidRDefault="00A53B7B" w:rsidP="00A53B7B">
      <w:pPr>
        <w:pStyle w:val="Caption"/>
        <w:keepNext/>
        <w:tabs>
          <w:tab w:val="left" w:pos="2378"/>
        </w:tabs>
        <w:rPr>
          <w:rFonts w:ascii="Arial" w:hAnsi="Arial" w:cs="Arial"/>
          <w:bCs/>
          <w:iCs w:val="0"/>
          <w:color w:val="auto"/>
          <w:sz w:val="14"/>
          <w:szCs w:val="14"/>
        </w:rPr>
      </w:pPr>
      <w:r>
        <w:rPr>
          <w:rFonts w:ascii="Arial" w:hAnsi="Arial" w:cs="Arial"/>
          <w:bCs/>
          <w:iCs w:val="0"/>
          <w:color w:val="auto"/>
          <w:sz w:val="14"/>
          <w:szCs w:val="14"/>
        </w:rPr>
        <w:t>Legend: D</w:t>
      </w:r>
      <w:r w:rsidRPr="00637759">
        <w:rPr>
          <w:rFonts w:ascii="Arial" w:hAnsi="Arial" w:cs="Arial"/>
          <w:bCs/>
          <w:iCs w:val="0"/>
          <w:color w:val="auto"/>
          <w:sz w:val="14"/>
          <w:szCs w:val="14"/>
        </w:rPr>
        <w:t>eath was only a tertiary endpoint in the PRECISION trial with overall 1.73% of patients dying over the course of 34.1 months of average follow-up. As PRECISION was a trial conducted in 13 countries over 10 years, the background mortality is a mix of various countries and time periods. As eighty percent of the participants came from the United States, background mortality</w:t>
      </w:r>
      <w:r>
        <w:rPr>
          <w:rFonts w:ascii="Arial" w:hAnsi="Arial" w:cs="Arial"/>
          <w:bCs/>
          <w:iCs w:val="0"/>
          <w:color w:val="auto"/>
          <w:sz w:val="14"/>
          <w:szCs w:val="14"/>
        </w:rPr>
        <w:t xml:space="preserve"> for UAE was compared</w:t>
      </w:r>
      <w:r w:rsidRPr="00637759">
        <w:rPr>
          <w:rFonts w:ascii="Arial" w:hAnsi="Arial" w:cs="Arial"/>
          <w:bCs/>
          <w:iCs w:val="0"/>
          <w:color w:val="auto"/>
          <w:sz w:val="14"/>
          <w:szCs w:val="14"/>
        </w:rPr>
        <w:t xml:space="preserve"> to that of the United States</w:t>
      </w:r>
      <w:r>
        <w:rPr>
          <w:rFonts w:ascii="Arial" w:hAnsi="Arial" w:cs="Arial"/>
          <w:bCs/>
          <w:iCs w:val="0"/>
          <w:color w:val="auto"/>
          <w:sz w:val="14"/>
          <w:szCs w:val="14"/>
        </w:rPr>
        <w:t xml:space="preserve"> in the table above.</w:t>
      </w:r>
    </w:p>
    <w:p w14:paraId="50932061" w14:textId="4B2D0981" w:rsidR="00A53B7B" w:rsidRPr="006C421A" w:rsidRDefault="00A53B7B" w:rsidP="00A53B7B">
      <w:pPr>
        <w:tabs>
          <w:tab w:val="left" w:pos="2378"/>
        </w:tabs>
        <w:sectPr w:rsidR="00A53B7B" w:rsidRPr="006C421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Source: Life tables by country, World Health Organization</w:t>
      </w:r>
      <w:r>
        <w:fldChar w:fldCharType="begin"/>
      </w:r>
      <w:r w:rsidR="00EB3C49">
        <w:instrText xml:space="preserve"> ADDIN EN.CITE &lt;EndNote&gt;&lt;Cite&gt;&lt;RecNum&gt;15&lt;/RecNum&gt;&lt;DisplayText&gt;&lt;style face="superscript"&gt;1&lt;/style&gt;&lt;/DisplayText&gt;&lt;record&gt;&lt;rec-number&gt;15&lt;/rec-number&gt;&lt;foreign-keys&gt;&lt;key app="EN" db-id="ft5vazfpbpzsf9edrtlxrd58d0awxfe5pavx" timestamp="1618970500"&gt;15&lt;/key&gt;&lt;/foreign-keys&gt;&lt;ref-type name="Web Page"&gt;12&lt;/ref-type&gt;&lt;contributors&gt;&lt;/contributors&gt;&lt;titles&gt;&lt;title&gt;World Health Organization. Global Health Observatory data repository.  Mortality and global health estimates. Life tables&lt;/title&gt;&lt;/titles&gt;&lt;volume&gt;2020&lt;/volume&gt;&lt;number&gt;August 21&lt;/number&gt;&lt;dates&gt;&lt;/dates&gt;&lt;urls&gt;&lt;related-urls&gt;&lt;url&gt;https://apps.who.int/gho/data/view.main.LT62250?lang=en&lt;/url&gt;&lt;/related-urls&gt;&lt;/urls&gt;&lt;/record&gt;&lt;/Cite&gt;&lt;/EndNote&gt;</w:instrText>
      </w:r>
      <w:r>
        <w:fldChar w:fldCharType="separate"/>
      </w:r>
      <w:r w:rsidR="00EB3C49" w:rsidRPr="00EB3C49">
        <w:rPr>
          <w:noProof/>
          <w:vertAlign w:val="superscript"/>
        </w:rPr>
        <w:t>1</w:t>
      </w:r>
      <w:r>
        <w:fldChar w:fldCharType="end"/>
      </w:r>
      <w:r>
        <w:t xml:space="preserve"> </w:t>
      </w:r>
      <w:r>
        <w:tab/>
      </w:r>
    </w:p>
    <w:p w14:paraId="5D69181C" w14:textId="77777777" w:rsidR="00D10786" w:rsidRDefault="00D10786" w:rsidP="00420A5C">
      <w:pPr>
        <w:rPr>
          <w:rFonts w:ascii="Arial" w:hAnsi="Arial" w:cs="Arial"/>
          <w:b/>
          <w:sz w:val="14"/>
          <w:szCs w:val="14"/>
        </w:rPr>
      </w:pPr>
    </w:p>
    <w:p w14:paraId="4C80A392" w14:textId="612774C5" w:rsidR="00D10786" w:rsidRPr="00F11179" w:rsidRDefault="00D10786" w:rsidP="00D10786">
      <w:pPr>
        <w:pStyle w:val="Caption"/>
        <w:keepNext/>
        <w:rPr>
          <w:rFonts w:ascii="Arial" w:hAnsi="Arial" w:cs="Arial"/>
          <w:b/>
          <w:i w:val="0"/>
          <w:color w:val="auto"/>
          <w:sz w:val="21"/>
          <w:szCs w:val="21"/>
        </w:rPr>
      </w:pPr>
      <w:r w:rsidRPr="00F11179">
        <w:rPr>
          <w:rFonts w:ascii="Arial" w:hAnsi="Arial" w:cs="Arial"/>
          <w:b/>
          <w:i w:val="0"/>
          <w:color w:val="auto"/>
          <w:sz w:val="21"/>
          <w:szCs w:val="21"/>
        </w:rPr>
        <w:t xml:space="preserve">Table </w:t>
      </w:r>
      <w:r w:rsidR="005B7BC8">
        <w:rPr>
          <w:rFonts w:ascii="Arial" w:hAnsi="Arial" w:cs="Arial"/>
          <w:b/>
          <w:i w:val="0"/>
          <w:color w:val="auto"/>
          <w:sz w:val="21"/>
          <w:szCs w:val="21"/>
        </w:rPr>
        <w:t>S</w:t>
      </w:r>
      <w:r w:rsidRPr="00F11179">
        <w:rPr>
          <w:rFonts w:ascii="Arial" w:hAnsi="Arial" w:cs="Arial"/>
          <w:b/>
          <w:i w:val="0"/>
          <w:color w:val="auto"/>
          <w:sz w:val="21"/>
          <w:szCs w:val="21"/>
        </w:rPr>
        <w:fldChar w:fldCharType="begin"/>
      </w:r>
      <w:r w:rsidRPr="00F11179">
        <w:rPr>
          <w:rFonts w:ascii="Arial" w:hAnsi="Arial" w:cs="Arial"/>
          <w:b/>
          <w:i w:val="0"/>
          <w:color w:val="auto"/>
          <w:sz w:val="21"/>
          <w:szCs w:val="21"/>
        </w:rPr>
        <w:instrText xml:space="preserve"> SEQ Supplemental_Table \* ARABIC </w:instrText>
      </w:r>
      <w:r w:rsidRPr="00F11179">
        <w:rPr>
          <w:rFonts w:ascii="Arial" w:hAnsi="Arial" w:cs="Arial"/>
          <w:b/>
          <w:i w:val="0"/>
          <w:color w:val="auto"/>
          <w:sz w:val="21"/>
          <w:szCs w:val="21"/>
        </w:rPr>
        <w:fldChar w:fldCharType="separate"/>
      </w:r>
      <w:r w:rsidR="00EB3C49">
        <w:rPr>
          <w:rFonts w:ascii="Arial" w:hAnsi="Arial" w:cs="Arial"/>
          <w:b/>
          <w:i w:val="0"/>
          <w:noProof/>
          <w:color w:val="auto"/>
          <w:sz w:val="21"/>
          <w:szCs w:val="21"/>
        </w:rPr>
        <w:t>4</w:t>
      </w:r>
      <w:r w:rsidRPr="00F11179">
        <w:rPr>
          <w:rFonts w:ascii="Arial" w:hAnsi="Arial" w:cs="Arial"/>
          <w:b/>
          <w:i w:val="0"/>
          <w:color w:val="auto"/>
          <w:sz w:val="21"/>
          <w:szCs w:val="21"/>
        </w:rPr>
        <w:fldChar w:fldCharType="end"/>
      </w:r>
      <w:r w:rsidRPr="00F11179">
        <w:rPr>
          <w:rFonts w:ascii="Arial" w:hAnsi="Arial" w:cs="Arial"/>
          <w:b/>
          <w:i w:val="0"/>
          <w:color w:val="auto"/>
          <w:sz w:val="21"/>
          <w:szCs w:val="21"/>
        </w:rPr>
        <w:t xml:space="preserve">. </w:t>
      </w:r>
      <w:r w:rsidR="00262B88">
        <w:rPr>
          <w:rFonts w:ascii="Arial" w:hAnsi="Arial" w:cs="Arial"/>
          <w:b/>
          <w:i w:val="0"/>
          <w:color w:val="auto"/>
          <w:sz w:val="21"/>
          <w:szCs w:val="21"/>
        </w:rPr>
        <w:t>Distributions and associated parameters used for probabilistic sensitivity analysis.</w:t>
      </w:r>
    </w:p>
    <w:tbl>
      <w:tblPr>
        <w:tblW w:w="9297" w:type="dxa"/>
        <w:tblLook w:val="04A0" w:firstRow="1" w:lastRow="0" w:firstColumn="1" w:lastColumn="0" w:noHBand="0" w:noVBand="1"/>
      </w:tblPr>
      <w:tblGrid>
        <w:gridCol w:w="1430"/>
        <w:gridCol w:w="889"/>
        <w:gridCol w:w="889"/>
        <w:gridCol w:w="890"/>
        <w:gridCol w:w="1016"/>
        <w:gridCol w:w="1017"/>
        <w:gridCol w:w="1261"/>
        <w:gridCol w:w="1016"/>
        <w:gridCol w:w="889"/>
      </w:tblGrid>
      <w:tr w:rsidR="00D10786" w:rsidRPr="00D10786" w14:paraId="0DFA4DB5" w14:textId="77777777" w:rsidTr="00D10786">
        <w:trPr>
          <w:trHeight w:val="25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058B5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7ECF3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9EDEA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8CFFF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nil"/>
              <w:bottom w:val="dotted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DA046FF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Mean estimate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08AEB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E0A87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Distribution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69682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Alpha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905A4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Beta</w:t>
            </w:r>
          </w:p>
        </w:tc>
      </w:tr>
      <w:tr w:rsidR="00D10786" w:rsidRPr="00D10786" w14:paraId="61B81D7F" w14:textId="77777777" w:rsidTr="00D10786">
        <w:trPr>
          <w:trHeight w:val="254"/>
        </w:trPr>
        <w:tc>
          <w:tcPr>
            <w:tcW w:w="409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3C629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Relative safety for Ibuprofen vs Celebrex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855EF95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4F50E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Error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9F055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5A2FA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A3035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10786" w:rsidRPr="00D10786" w14:paraId="7089DA64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06C79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E47E7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 for MACE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96320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7C5CA65A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0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0966C1E9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9BAD2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49F0E673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889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C5B3A7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0.097</w:t>
            </w:r>
          </w:p>
        </w:tc>
      </w:tr>
      <w:tr w:rsidR="00D10786" w:rsidRPr="00D10786" w14:paraId="6CDF9A1A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C2E87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1E927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 for Serious GI events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6CBA5D99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44A5AE05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1BDF9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7AB1D039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8E0196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0.219</w:t>
            </w:r>
          </w:p>
        </w:tc>
      </w:tr>
      <w:tr w:rsidR="00D10786" w:rsidRPr="00D10786" w14:paraId="1567BD8F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7C3A4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94F81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 for Renal events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5FBBFB67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49A87BB4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E87B3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5FC8B9AA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878E38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0.327</w:t>
            </w:r>
          </w:p>
        </w:tc>
      </w:tr>
      <w:tr w:rsidR="00D10786" w:rsidRPr="00D10786" w14:paraId="3E89B7E4" w14:textId="77777777" w:rsidTr="00D10786">
        <w:trPr>
          <w:trHeight w:val="254"/>
        </w:trPr>
        <w:tc>
          <w:tcPr>
            <w:tcW w:w="409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FC7CD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Relative safety for Naproxen vs Celebrex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0EDCB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F7B49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960C9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2BA84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A15F8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10786" w:rsidRPr="00D10786" w14:paraId="61FFD9A7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075C7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325DD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 for MACE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06F91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1A64F72D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10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2E6B4999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33AA9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621E5B8E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889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AB4195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0.087</w:t>
            </w:r>
          </w:p>
        </w:tc>
      </w:tr>
      <w:tr w:rsidR="00D10786" w:rsidRPr="00D10786" w14:paraId="22829AC5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DC46B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51429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 for Serious GI events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07935A31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3AF7AF7E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43643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617278BC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8EC0AD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0.204</w:t>
            </w:r>
          </w:p>
        </w:tc>
      </w:tr>
      <w:tr w:rsidR="00D10786" w:rsidRPr="00D10786" w14:paraId="218CA1E5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83D07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9F7A2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 for Renal events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212DBD46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72C2DB7A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AC83D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73909BCE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B63143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0.255</w:t>
            </w:r>
          </w:p>
        </w:tc>
      </w:tr>
      <w:tr w:rsidR="00D10786" w:rsidRPr="00D10786" w14:paraId="49F80E86" w14:textId="77777777" w:rsidTr="00D10786">
        <w:trPr>
          <w:trHeight w:val="254"/>
        </w:trPr>
        <w:tc>
          <w:tcPr>
            <w:tcW w:w="23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B9DC4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Drug cost per month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03E4C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2B822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ED7FA" w14:textId="77777777" w:rsidR="00D10786" w:rsidRPr="00D10786" w:rsidRDefault="00D10786" w:rsidP="00D10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073C1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57619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085C2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833CE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10786" w:rsidRPr="00D10786" w14:paraId="76DBC86B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1F65C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4F7E4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Celebrex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6E92D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55AC4D38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$26.98 </w:t>
            </w:r>
          </w:p>
        </w:tc>
        <w:tc>
          <w:tcPr>
            <w:tcW w:w="10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4E1B506F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$3.04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98C2B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Gamma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02B2F8EF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78.9</w:t>
            </w:r>
          </w:p>
        </w:tc>
        <w:tc>
          <w:tcPr>
            <w:tcW w:w="889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049BDA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10786" w:rsidRPr="00D10786" w14:paraId="78EF5528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4B9FD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00856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C9485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476AA4E2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$20.25 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61444186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$2.65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2A034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Gamma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1E189B4C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58.23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0A7320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10786" w:rsidRPr="00D10786" w14:paraId="1FD437DB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2EB20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2ED63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Naproxen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9C2BC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03B082FD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$20.50 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259DCB79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$2.22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3B733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Gamma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0AE7FBFE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85.03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BAF84C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10786" w:rsidRPr="00D10786" w14:paraId="7E4D72A7" w14:textId="77777777" w:rsidTr="00D10786">
        <w:trPr>
          <w:trHeight w:val="254"/>
        </w:trPr>
        <w:tc>
          <w:tcPr>
            <w:tcW w:w="409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F8189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 event cost of Adverse Events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933DB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73AE8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B862A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6AF5C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21572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10786" w:rsidRPr="00D10786" w14:paraId="21D08204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4725E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46A2D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9F4B9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E35C6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0A11D23D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$6,834.73 </w:t>
            </w:r>
          </w:p>
        </w:tc>
        <w:tc>
          <w:tcPr>
            <w:tcW w:w="10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68BB1173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$1,366.95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957D2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Gamma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74CAF478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9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119010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</w:tr>
      <w:tr w:rsidR="00D10786" w:rsidRPr="00D10786" w14:paraId="036DA540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8A2E0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D59E4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Serious GI events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51DE7CF5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$1,502.48 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5F6CA9E1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$300.50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E05A3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Gamma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22EB2372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BB8F1A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D10786" w:rsidRPr="00D10786" w14:paraId="3428770E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942B2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07438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Renal events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73BBF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53EBD917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$2,436.09 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19F43055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$487.22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EF2B6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Gamma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34E2150C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4E3A89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D10786" w:rsidRPr="00D10786" w14:paraId="52F4643C" w14:textId="77777777" w:rsidTr="00D10786">
        <w:trPr>
          <w:trHeight w:val="254"/>
        </w:trPr>
        <w:tc>
          <w:tcPr>
            <w:tcW w:w="32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C3366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Post AE Annual costs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C8554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3C6FA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52809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D9220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B9996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FDFAA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10786" w:rsidRPr="00D10786" w14:paraId="796751B4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625B8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1C81A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6797E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FADC4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46DA0D9F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$683.47 </w:t>
            </w:r>
          </w:p>
        </w:tc>
        <w:tc>
          <w:tcPr>
            <w:tcW w:w="10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3649694D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$136.69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96EF6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Gamma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3702B1DA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9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6DD3E7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D10786" w:rsidRPr="00D10786" w14:paraId="03762EB9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67249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B12CA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Serious GI events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681CB908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$150.25 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30F3463E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$30.05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A864C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Gamma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7D5F0046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9A8892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10786" w:rsidRPr="00D10786" w14:paraId="669627A7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B0EF9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A6742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Renal events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83209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77B43BB0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$243.61 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5862C686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$48.72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6D89F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Gamma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649132B6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535FFD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D10786" w:rsidRPr="00D10786" w14:paraId="15AFE812" w14:textId="77777777" w:rsidTr="00D10786">
        <w:trPr>
          <w:trHeight w:val="254"/>
        </w:trPr>
        <w:tc>
          <w:tcPr>
            <w:tcW w:w="409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C1B18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Excess Mortality (during AE event)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83100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C9934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E2F50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9FE95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870E6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10786" w:rsidRPr="00D10786" w14:paraId="05CBC20C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6BD14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06722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Celebrex MACE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1460A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3C58BA6F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0.1037</w:t>
            </w:r>
          </w:p>
        </w:tc>
        <w:tc>
          <w:tcPr>
            <w:tcW w:w="10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32F51522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886E6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369C25AF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89.52</w:t>
            </w:r>
          </w:p>
        </w:tc>
        <w:tc>
          <w:tcPr>
            <w:tcW w:w="889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5E756E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</w:t>
            </w:r>
          </w:p>
        </w:tc>
      </w:tr>
      <w:tr w:rsidR="00D10786" w:rsidRPr="00D10786" w14:paraId="36EAAF16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00BF7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7F91E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Ibuprofen MACE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CCD70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2B421DDA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0.1242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227FF7B5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EA77C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3E7BF386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87.46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3A2D5A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</w:tr>
      <w:tr w:rsidR="00D10786" w:rsidRPr="00D10786" w14:paraId="20B2019C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BAD37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10919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Naproxen MACE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6D00F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4868B055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0.1446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73418165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DFBB3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3A7DCD2E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85.4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353EAC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</w:tr>
      <w:tr w:rsidR="00D10786" w:rsidRPr="00D10786" w14:paraId="0C7624B2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48F31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63C9E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Serious GI events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51F04FDD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0.0138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0B34C2A8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C53B1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13C36AAC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DFF2E5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7,039</w:t>
            </w:r>
          </w:p>
        </w:tc>
      </w:tr>
      <w:tr w:rsidR="00D10786" w:rsidRPr="00D10786" w14:paraId="1C0D48F2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A6A8D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66B4E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Renal events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F5F23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1D81865A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0.0581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0D0BECDC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A7650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63E98BFD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94.13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AC5A34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1,526</w:t>
            </w:r>
          </w:p>
        </w:tc>
      </w:tr>
      <w:tr w:rsidR="00D10786" w:rsidRPr="00D10786" w14:paraId="2207B5E6" w14:textId="77777777" w:rsidTr="00D10786">
        <w:trPr>
          <w:trHeight w:val="254"/>
        </w:trPr>
        <w:tc>
          <w:tcPr>
            <w:tcW w:w="409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42D67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Excess Mortality (after AE event)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E98D1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95FF2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28E78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07D58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55416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10786" w:rsidRPr="00D10786" w14:paraId="53D4DC58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9ED3B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EBE82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F6569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21B13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0B458F02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0.0344</w:t>
            </w:r>
          </w:p>
        </w:tc>
        <w:tc>
          <w:tcPr>
            <w:tcW w:w="10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068BF0CF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1E7B3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7B42A833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96.53</w:t>
            </w:r>
          </w:p>
        </w:tc>
        <w:tc>
          <w:tcPr>
            <w:tcW w:w="889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3B9521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2,711</w:t>
            </w:r>
          </w:p>
        </w:tc>
      </w:tr>
      <w:tr w:rsidR="00D10786" w:rsidRPr="00D10786" w14:paraId="3D34CDE2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5EF24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40361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Serious GI events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1F828F22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0.0036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6EB9DE98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D65DA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1059471F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99.64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0A2B88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27,917</w:t>
            </w:r>
          </w:p>
        </w:tc>
      </w:tr>
      <w:tr w:rsidR="00D10786" w:rsidRPr="00D10786" w14:paraId="6CCC82FE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B29E6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32B61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Renal events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40561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65FF053F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0.0373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037925C5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AAEE9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04051144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96.23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741167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2,485</w:t>
            </w:r>
          </w:p>
        </w:tc>
      </w:tr>
      <w:tr w:rsidR="00D10786" w:rsidRPr="00D10786" w14:paraId="62D0A535" w14:textId="77777777" w:rsidTr="00D10786">
        <w:trPr>
          <w:trHeight w:val="254"/>
        </w:trPr>
        <w:tc>
          <w:tcPr>
            <w:tcW w:w="409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A3DA9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Utility weight (during AE event)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C721B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25D6E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74D42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BA009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768EA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10786" w:rsidRPr="00D10786" w14:paraId="3A6706A5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ED80A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2E627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43D03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56393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39F9BCD1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0.618</w:t>
            </w:r>
          </w:p>
        </w:tc>
        <w:tc>
          <w:tcPr>
            <w:tcW w:w="10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3CCD8387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BB792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14FE3A9A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8.92</w:t>
            </w:r>
          </w:p>
        </w:tc>
        <w:tc>
          <w:tcPr>
            <w:tcW w:w="889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1AE242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10786" w:rsidRPr="00D10786" w14:paraId="46EA95C0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6CDC5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0D2A2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Serious GI events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0D5D896A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0.692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586D6506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975E3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06BC7616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7.01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0ADDC5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10786" w:rsidRPr="00D10786" w14:paraId="77AABD5B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FAFA8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28FC2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Renal events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1C326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7E3828B8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4B7F2995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B1404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6EEBC3F4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14.35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C9540F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D10786" w:rsidRPr="00D10786" w14:paraId="6967B2F2" w14:textId="77777777" w:rsidTr="00D10786">
        <w:trPr>
          <w:trHeight w:val="254"/>
        </w:trPr>
        <w:tc>
          <w:tcPr>
            <w:tcW w:w="409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F3A33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Utility weight (after AE event)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8B754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DF4A6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F43C5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7B0A3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02F69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10786" w:rsidRPr="00D10786" w14:paraId="54DC0C03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8EC05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34A30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2137E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28C83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06D538DD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0.844</w:t>
            </w:r>
          </w:p>
        </w:tc>
        <w:tc>
          <w:tcPr>
            <w:tcW w:w="10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3CF31D66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BA4D9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0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1AB00E06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3.07</w:t>
            </w:r>
          </w:p>
        </w:tc>
        <w:tc>
          <w:tcPr>
            <w:tcW w:w="889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16B2F3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10786" w:rsidRPr="00D10786" w14:paraId="6089800B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5B31F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5728B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Serious GI events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7BB826DE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0.989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62B813E6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04522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Gamma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18C8F661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A0B696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10786" w:rsidRPr="00D10786" w14:paraId="59AFA6B8" w14:textId="77777777" w:rsidTr="00D10786">
        <w:trPr>
          <w:trHeight w:val="254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20109" w14:textId="77777777" w:rsidR="00D10786" w:rsidRPr="00D10786" w:rsidRDefault="00D10786" w:rsidP="00D10786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E8458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Renal events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80827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6E3D6E06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0.785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45B2BC50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F24B2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Gamma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155FC67D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4E6CC6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10786" w:rsidRPr="00D10786" w14:paraId="052FA3AD" w14:textId="77777777" w:rsidTr="00D10786">
        <w:trPr>
          <w:trHeight w:val="254"/>
        </w:trPr>
        <w:tc>
          <w:tcPr>
            <w:tcW w:w="32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BC2ED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Discount % Costs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1CF05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30BFD340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3.00%</w:t>
            </w:r>
          </w:p>
        </w:tc>
        <w:tc>
          <w:tcPr>
            <w:tcW w:w="10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4A180F66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0.60%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38B08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40C9769E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24.22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D85488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</w:t>
            </w:r>
          </w:p>
        </w:tc>
      </w:tr>
      <w:tr w:rsidR="00D10786" w:rsidRPr="00D10786" w14:paraId="6F58B139" w14:textId="77777777" w:rsidTr="00D10786">
        <w:trPr>
          <w:trHeight w:val="254"/>
        </w:trPr>
        <w:tc>
          <w:tcPr>
            <w:tcW w:w="3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A6D527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Discount % Effects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4C0094" w14:textId="77777777" w:rsidR="00D10786" w:rsidRPr="00D10786" w:rsidRDefault="00D10786" w:rsidP="00D10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14BEE537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3.00%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7A6C3256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D418C3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016" w:type="dxa"/>
            <w:tcBorders>
              <w:top w:val="nil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000000" w:fill="D9D9D9"/>
            <w:noWrap/>
            <w:vAlign w:val="center"/>
            <w:hideMark/>
          </w:tcPr>
          <w:p w14:paraId="1AC6ACB6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DC7A9D" w14:textId="77777777" w:rsidR="00D10786" w:rsidRPr="00D10786" w:rsidRDefault="00D10786" w:rsidP="00D1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</w:t>
            </w:r>
          </w:p>
        </w:tc>
      </w:tr>
    </w:tbl>
    <w:p w14:paraId="22C0A423" w14:textId="7711C4DD" w:rsidR="00D10786" w:rsidRPr="005D2E03" w:rsidRDefault="00D10786" w:rsidP="00420A5C">
      <w:pPr>
        <w:rPr>
          <w:rFonts w:ascii="Arial" w:hAnsi="Arial" w:cs="Arial"/>
          <w:b/>
          <w:sz w:val="14"/>
          <w:szCs w:val="14"/>
        </w:rPr>
        <w:sectPr w:rsidR="00D10786" w:rsidRPr="005D2E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6587FD" w14:textId="276C13F4" w:rsidR="00420A5C" w:rsidRPr="002B20FA" w:rsidRDefault="00420A5C" w:rsidP="00420A5C">
      <w:pPr>
        <w:pStyle w:val="Caption"/>
        <w:keepNext/>
        <w:spacing w:after="0"/>
        <w:rPr>
          <w:b/>
          <w:i w:val="0"/>
          <w:color w:val="auto"/>
          <w:sz w:val="26"/>
          <w:szCs w:val="26"/>
        </w:rPr>
      </w:pPr>
      <w:bookmarkStart w:id="5" w:name="_Ref25077967"/>
      <w:r w:rsidRPr="00A04C2C">
        <w:rPr>
          <w:b/>
          <w:i w:val="0"/>
          <w:color w:val="auto"/>
          <w:sz w:val="24"/>
          <w:szCs w:val="26"/>
        </w:rPr>
        <w:lastRenderedPageBreak/>
        <w:t xml:space="preserve">Figure </w:t>
      </w:r>
      <w:r w:rsidR="005B7BC8">
        <w:rPr>
          <w:b/>
          <w:i w:val="0"/>
          <w:color w:val="auto"/>
          <w:sz w:val="24"/>
          <w:szCs w:val="26"/>
        </w:rPr>
        <w:t>S</w:t>
      </w:r>
      <w:r w:rsidRPr="00A04C2C">
        <w:rPr>
          <w:b/>
          <w:i w:val="0"/>
          <w:color w:val="auto"/>
          <w:sz w:val="24"/>
          <w:szCs w:val="26"/>
        </w:rPr>
        <w:fldChar w:fldCharType="begin"/>
      </w:r>
      <w:r w:rsidRPr="00A04C2C">
        <w:rPr>
          <w:b/>
          <w:i w:val="0"/>
          <w:color w:val="auto"/>
          <w:sz w:val="24"/>
          <w:szCs w:val="26"/>
        </w:rPr>
        <w:instrText xml:space="preserve"> SEQ Supplemental_Figure \* ARABIC </w:instrText>
      </w:r>
      <w:r w:rsidRPr="00A04C2C">
        <w:rPr>
          <w:b/>
          <w:i w:val="0"/>
          <w:color w:val="auto"/>
          <w:sz w:val="24"/>
          <w:szCs w:val="26"/>
        </w:rPr>
        <w:fldChar w:fldCharType="separate"/>
      </w:r>
      <w:r w:rsidR="00EB3C49">
        <w:rPr>
          <w:b/>
          <w:i w:val="0"/>
          <w:noProof/>
          <w:color w:val="auto"/>
          <w:sz w:val="24"/>
          <w:szCs w:val="26"/>
        </w:rPr>
        <w:t>1</w:t>
      </w:r>
      <w:r w:rsidRPr="00A04C2C">
        <w:rPr>
          <w:b/>
          <w:i w:val="0"/>
          <w:color w:val="auto"/>
          <w:sz w:val="24"/>
          <w:szCs w:val="26"/>
        </w:rPr>
        <w:fldChar w:fldCharType="end"/>
      </w:r>
      <w:bookmarkEnd w:id="5"/>
      <w:r w:rsidRPr="00A04C2C">
        <w:rPr>
          <w:b/>
          <w:i w:val="0"/>
          <w:color w:val="auto"/>
          <w:sz w:val="24"/>
          <w:szCs w:val="26"/>
        </w:rPr>
        <w:t xml:space="preserve">. Probabilistic sensitivity analyses for celecoxib versus </w:t>
      </w:r>
      <w:r>
        <w:rPr>
          <w:b/>
          <w:i w:val="0"/>
          <w:color w:val="auto"/>
          <w:sz w:val="24"/>
          <w:szCs w:val="26"/>
        </w:rPr>
        <w:t>ibuprofen: cost-effectiveness plane (top) and cost-effectiveness acceptability curve (bottom).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20A5C" w14:paraId="2EC603B9" w14:textId="77777777" w:rsidTr="005257BD">
        <w:tc>
          <w:tcPr>
            <w:tcW w:w="12950" w:type="dxa"/>
          </w:tcPr>
          <w:p w14:paraId="791ED45E" w14:textId="50CAE851" w:rsidR="00420A5C" w:rsidRDefault="005257BD" w:rsidP="009E339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drawing>
                <wp:inline distT="0" distB="0" distL="0" distR="0" wp14:anchorId="355A0DDF" wp14:editId="5F6A82A6">
                  <wp:extent cx="6780983" cy="2507082"/>
                  <wp:effectExtent l="0" t="0" r="127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1362" cy="25663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A5C" w14:paraId="24EBA46E" w14:textId="77777777" w:rsidTr="009E3394">
        <w:tc>
          <w:tcPr>
            <w:tcW w:w="12950" w:type="dxa"/>
          </w:tcPr>
          <w:p w14:paraId="7D89A77F" w14:textId="014F8D50" w:rsidR="00420A5C" w:rsidRDefault="00AD2217" w:rsidP="009E339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drawing>
                <wp:inline distT="0" distB="0" distL="0" distR="0" wp14:anchorId="6886FF80" wp14:editId="360E7F63">
                  <wp:extent cx="5945008" cy="2431781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7383" cy="24368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0FDC02" w14:textId="620FFDAA" w:rsidR="00420A5C" w:rsidRPr="002B20FA" w:rsidRDefault="00420A5C" w:rsidP="00420A5C">
      <w:pPr>
        <w:pStyle w:val="Caption"/>
        <w:keepNext/>
        <w:spacing w:after="0"/>
        <w:rPr>
          <w:b/>
          <w:i w:val="0"/>
          <w:color w:val="auto"/>
          <w:sz w:val="26"/>
          <w:szCs w:val="26"/>
        </w:rPr>
      </w:pPr>
      <w:bookmarkStart w:id="6" w:name="_Ref25077975"/>
      <w:r w:rsidRPr="00A04C2C">
        <w:rPr>
          <w:b/>
          <w:i w:val="0"/>
          <w:color w:val="auto"/>
          <w:sz w:val="24"/>
          <w:szCs w:val="26"/>
        </w:rPr>
        <w:lastRenderedPageBreak/>
        <w:t xml:space="preserve">Figure </w:t>
      </w:r>
      <w:r w:rsidR="005B7BC8">
        <w:rPr>
          <w:b/>
          <w:i w:val="0"/>
          <w:color w:val="auto"/>
          <w:sz w:val="24"/>
          <w:szCs w:val="26"/>
        </w:rPr>
        <w:t>S</w:t>
      </w:r>
      <w:r w:rsidRPr="00A04C2C">
        <w:rPr>
          <w:b/>
          <w:i w:val="0"/>
          <w:color w:val="auto"/>
          <w:sz w:val="24"/>
          <w:szCs w:val="26"/>
        </w:rPr>
        <w:fldChar w:fldCharType="begin"/>
      </w:r>
      <w:r w:rsidRPr="00A04C2C">
        <w:rPr>
          <w:b/>
          <w:i w:val="0"/>
          <w:color w:val="auto"/>
          <w:sz w:val="24"/>
          <w:szCs w:val="26"/>
        </w:rPr>
        <w:instrText xml:space="preserve"> SEQ Supplemental_Figure \* ARABIC </w:instrText>
      </w:r>
      <w:r w:rsidRPr="00A04C2C">
        <w:rPr>
          <w:b/>
          <w:i w:val="0"/>
          <w:color w:val="auto"/>
          <w:sz w:val="24"/>
          <w:szCs w:val="26"/>
        </w:rPr>
        <w:fldChar w:fldCharType="separate"/>
      </w:r>
      <w:r w:rsidR="00EB3C49">
        <w:rPr>
          <w:b/>
          <w:i w:val="0"/>
          <w:noProof/>
          <w:color w:val="auto"/>
          <w:sz w:val="24"/>
          <w:szCs w:val="26"/>
        </w:rPr>
        <w:t>2</w:t>
      </w:r>
      <w:r w:rsidRPr="00A04C2C">
        <w:rPr>
          <w:b/>
          <w:i w:val="0"/>
          <w:color w:val="auto"/>
          <w:sz w:val="24"/>
          <w:szCs w:val="26"/>
        </w:rPr>
        <w:fldChar w:fldCharType="end"/>
      </w:r>
      <w:bookmarkEnd w:id="6"/>
      <w:r w:rsidRPr="00A04C2C">
        <w:rPr>
          <w:b/>
          <w:i w:val="0"/>
          <w:color w:val="auto"/>
          <w:sz w:val="24"/>
          <w:szCs w:val="26"/>
        </w:rPr>
        <w:t>. Probabilistic sensitivity analyses for celecoxib versus naproxen</w:t>
      </w:r>
      <w:r>
        <w:rPr>
          <w:b/>
          <w:i w:val="0"/>
          <w:color w:val="auto"/>
          <w:sz w:val="24"/>
          <w:szCs w:val="26"/>
        </w:rPr>
        <w:t>: cost-effectiveness plane (top) and cost-effectiveness acceptability curve (bottom).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20A5C" w14:paraId="07465C1A" w14:textId="77777777" w:rsidTr="009E3394">
        <w:tc>
          <w:tcPr>
            <w:tcW w:w="12950" w:type="dxa"/>
          </w:tcPr>
          <w:p w14:paraId="1E7846F1" w14:textId="7D10DC9A" w:rsidR="00420A5C" w:rsidRDefault="009C5471" w:rsidP="009E339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drawing>
                <wp:inline distT="0" distB="0" distL="0" distR="0" wp14:anchorId="4BD03ED6" wp14:editId="13CC7FED">
                  <wp:extent cx="6953250" cy="2570773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7066" cy="2583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A5C" w14:paraId="3475B1F3" w14:textId="77777777" w:rsidTr="009E3394">
        <w:tc>
          <w:tcPr>
            <w:tcW w:w="12950" w:type="dxa"/>
          </w:tcPr>
          <w:p w14:paraId="31480F0A" w14:textId="2D43E1AD" w:rsidR="00420A5C" w:rsidRDefault="000F5ADE" w:rsidP="009E339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drawing>
                <wp:inline distT="0" distB="0" distL="0" distR="0" wp14:anchorId="674667F9" wp14:editId="0F9890D7">
                  <wp:extent cx="7112442" cy="2909315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3296" cy="2917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387D6A" w14:textId="77777777" w:rsidR="00420A5C" w:rsidRPr="006E5E56" w:rsidRDefault="00420A5C" w:rsidP="006E5E5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9C627BD" w14:textId="13472BAD" w:rsidR="009E3394" w:rsidRDefault="006E5E56" w:rsidP="006E5E56">
      <w:pPr>
        <w:jc w:val="center"/>
        <w:rPr>
          <w:b/>
          <w:bCs/>
          <w:sz w:val="36"/>
          <w:szCs w:val="36"/>
        </w:rPr>
      </w:pPr>
      <w:r w:rsidRPr="006E5E56">
        <w:rPr>
          <w:b/>
          <w:bCs/>
          <w:sz w:val="36"/>
          <w:szCs w:val="36"/>
        </w:rPr>
        <w:t>REFERENCES</w:t>
      </w:r>
    </w:p>
    <w:p w14:paraId="35AA0651" w14:textId="77777777" w:rsidR="00756FE9" w:rsidRDefault="00756FE9" w:rsidP="006E5E56">
      <w:pPr>
        <w:jc w:val="center"/>
        <w:rPr>
          <w:b/>
          <w:bCs/>
          <w:sz w:val="24"/>
          <w:szCs w:val="24"/>
        </w:rPr>
      </w:pPr>
    </w:p>
    <w:p w14:paraId="4C6078F8" w14:textId="77777777" w:rsidR="00756FE9" w:rsidRDefault="00756FE9" w:rsidP="006E5E56">
      <w:pPr>
        <w:jc w:val="center"/>
        <w:rPr>
          <w:b/>
          <w:bCs/>
          <w:sz w:val="24"/>
          <w:szCs w:val="24"/>
        </w:rPr>
      </w:pPr>
    </w:p>
    <w:p w14:paraId="3F0CCB42" w14:textId="136F8728" w:rsidR="00EB3C49" w:rsidRPr="00EB3C49" w:rsidRDefault="00756FE9" w:rsidP="00EB3C49">
      <w:pPr>
        <w:pStyle w:val="EndNoteBibliography"/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ADDIN EN.REFLIST </w:instrText>
      </w:r>
      <w:r>
        <w:rPr>
          <w:b/>
          <w:bCs/>
          <w:sz w:val="24"/>
          <w:szCs w:val="24"/>
        </w:rPr>
        <w:fldChar w:fldCharType="separate"/>
      </w:r>
      <w:r w:rsidR="00EB3C49" w:rsidRPr="00EB3C49">
        <w:t>1.</w:t>
      </w:r>
      <w:r w:rsidR="00EB3C49" w:rsidRPr="00EB3C49">
        <w:tab/>
        <w:t xml:space="preserve">World Health Organization. Global Health Observatory data repository.  Mortality and global health estimates. Life tables. Accessed August 21, 2020. </w:t>
      </w:r>
      <w:hyperlink r:id="rId8" w:history="1">
        <w:r w:rsidR="00EB3C49" w:rsidRPr="00EB3C49">
          <w:rPr>
            <w:rStyle w:val="Hyperlink"/>
          </w:rPr>
          <w:t>https://apps.who.int/gho/data/view.main.LT62250?lang=en</w:t>
        </w:r>
      </w:hyperlink>
    </w:p>
    <w:p w14:paraId="2C633BBA" w14:textId="6EA15A29" w:rsidR="006E5E56" w:rsidRPr="006E5E56" w:rsidRDefault="00756FE9" w:rsidP="002D1A2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end"/>
      </w:r>
    </w:p>
    <w:sectPr w:rsidR="006E5E56" w:rsidRPr="006E5E56" w:rsidSect="009E33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t5vazfpbpzsf9edrtlxrd58d0awxfe5pavx&quot;&gt;My EndNote Library&lt;record-ids&gt;&lt;item&gt;15&lt;/item&gt;&lt;/record-ids&gt;&lt;/item&gt;&lt;/Libraries&gt;"/>
  </w:docVars>
  <w:rsids>
    <w:rsidRoot w:val="00420A5C"/>
    <w:rsid w:val="000356AB"/>
    <w:rsid w:val="000F5ADE"/>
    <w:rsid w:val="00172414"/>
    <w:rsid w:val="001F5EFE"/>
    <w:rsid w:val="002512E1"/>
    <w:rsid w:val="00262B88"/>
    <w:rsid w:val="0029490A"/>
    <w:rsid w:val="002D1A24"/>
    <w:rsid w:val="003A2CAA"/>
    <w:rsid w:val="00420A5C"/>
    <w:rsid w:val="00445254"/>
    <w:rsid w:val="005105F8"/>
    <w:rsid w:val="005257BD"/>
    <w:rsid w:val="005B7BC8"/>
    <w:rsid w:val="005D2E03"/>
    <w:rsid w:val="005E4FA9"/>
    <w:rsid w:val="00637759"/>
    <w:rsid w:val="006E5E56"/>
    <w:rsid w:val="00716D4F"/>
    <w:rsid w:val="00756FE9"/>
    <w:rsid w:val="0081223D"/>
    <w:rsid w:val="008B521D"/>
    <w:rsid w:val="008D5336"/>
    <w:rsid w:val="00903DD4"/>
    <w:rsid w:val="009C5471"/>
    <w:rsid w:val="009E3394"/>
    <w:rsid w:val="00A53B7B"/>
    <w:rsid w:val="00AD2217"/>
    <w:rsid w:val="00BE627D"/>
    <w:rsid w:val="00D10786"/>
    <w:rsid w:val="00DB72BF"/>
    <w:rsid w:val="00E703A1"/>
    <w:rsid w:val="00E775A2"/>
    <w:rsid w:val="00E97065"/>
    <w:rsid w:val="00EB3C49"/>
    <w:rsid w:val="00EC1A2B"/>
    <w:rsid w:val="00F379B5"/>
    <w:rsid w:val="00F538A9"/>
    <w:rsid w:val="00FD3724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8F435"/>
  <w15:chartTrackingRefBased/>
  <w15:docId w15:val="{59167A9E-769A-43B8-8E30-F6DA0E48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A5C"/>
    <w:rPr>
      <w:color w:val="0563C1" w:themeColor="hyperlink"/>
      <w:u w:val="single"/>
    </w:rPr>
  </w:style>
  <w:style w:type="paragraph" w:styleId="Caption">
    <w:name w:val="caption"/>
    <w:aliases w:val="Bayer Caption,IB Caption,Medical Caption,B Caption"/>
    <w:basedOn w:val="Normal"/>
    <w:next w:val="Normal"/>
    <w:link w:val="CaptionChar"/>
    <w:uiPriority w:val="99"/>
    <w:unhideWhenUsed/>
    <w:qFormat/>
    <w:rsid w:val="00420A5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42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aliases w:val="Bayer Caption Char,IB Caption Char,Medical Caption Char,B Caption Char"/>
    <w:basedOn w:val="DefaultParagraphFont"/>
    <w:link w:val="Caption"/>
    <w:uiPriority w:val="99"/>
    <w:rsid w:val="00420A5C"/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2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9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9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91D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56FE9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56FE9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56FE9"/>
    <w:pPr>
      <w:spacing w:line="240" w:lineRule="auto"/>
      <w:jc w:val="center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56FE9"/>
    <w:rPr>
      <w:rFonts w:ascii="Calibri" w:hAnsi="Calibri" w:cs="Calibri"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903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who.int/gho/data/view.main.LT62250?lang=e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1434</Words>
  <Characters>8180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Chirikov</dc:creator>
  <cp:keywords/>
  <dc:description/>
  <cp:lastModifiedBy>Boon Lee</cp:lastModifiedBy>
  <cp:revision>2</cp:revision>
  <dcterms:created xsi:type="dcterms:W3CDTF">2021-05-13T06:38:00Z</dcterms:created>
  <dcterms:modified xsi:type="dcterms:W3CDTF">2021-05-13T06:38:00Z</dcterms:modified>
</cp:coreProperties>
</file>