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46D1D" w14:textId="77777777" w:rsidR="00635C40" w:rsidRPr="0073648F" w:rsidRDefault="00635C40" w:rsidP="00CF5996">
      <w:pPr>
        <w:widowControl/>
        <w:snapToGrid w:val="0"/>
        <w:spacing w:line="360" w:lineRule="auto"/>
        <w:jc w:val="left"/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  <w:t>Table S1 Information about the sampling city</w:t>
      </w:r>
    </w:p>
    <w:p w14:paraId="698AADA0" w14:textId="77777777" w:rsidR="00635C40" w:rsidRPr="0073648F" w:rsidRDefault="00635C40" w:rsidP="00CF5996">
      <w:pPr>
        <w:widowControl/>
        <w:snapToGrid w:val="0"/>
        <w:spacing w:line="360" w:lineRule="auto"/>
        <w:jc w:val="left"/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830"/>
        <w:gridCol w:w="764"/>
        <w:gridCol w:w="793"/>
        <w:gridCol w:w="902"/>
        <w:gridCol w:w="829"/>
        <w:gridCol w:w="822"/>
        <w:gridCol w:w="829"/>
        <w:gridCol w:w="1802"/>
      </w:tblGrid>
      <w:tr w:rsidR="00635C40" w:rsidRPr="0073648F" w14:paraId="029F8504" w14:textId="77777777" w:rsidTr="00CF5996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33C6E5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61E4A8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Province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8DD3FA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7709FA94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City </w:t>
            </w:r>
            <w:r w:rsidR="00AC0715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635C4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evel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14:paraId="54DEFB06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GDP/Billion RMB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14:paraId="0950E761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Population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7FC931AD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District with the highest population density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483B7F3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Population of sample district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14:paraId="2C34DA18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Web of sampling Drug Administration</w:t>
            </w:r>
          </w:p>
        </w:tc>
      </w:tr>
      <w:tr w:rsidR="00635C40" w:rsidRPr="0073648F" w14:paraId="69BE069A" w14:textId="77777777" w:rsidTr="00CF5996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CBEAA11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Nanjing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8F302E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Jiangsu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385C09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East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5E2F7A8B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Vice-provincial city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5E7D05F4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1273.08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7D5A4B36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8.44 million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0C045433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Gulou</w:t>
            </w:r>
            <w:proofErr w:type="spellEnd"/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District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1D1EEC7D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0.93 million 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14:paraId="46634795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http://amr.nanjing.gov.cn/</w:t>
            </w:r>
          </w:p>
        </w:tc>
      </w:tr>
      <w:tr w:rsidR="00635C40" w:rsidRPr="0073648F" w14:paraId="5AF68226" w14:textId="77777777" w:rsidTr="00CF5996">
        <w:trPr>
          <w:jc w:val="center"/>
        </w:trPr>
        <w:tc>
          <w:tcPr>
            <w:tcW w:w="0" w:type="auto"/>
          </w:tcPr>
          <w:p w14:paraId="3A103C3B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Zhuhai</w:t>
            </w:r>
          </w:p>
        </w:tc>
        <w:tc>
          <w:tcPr>
            <w:tcW w:w="0" w:type="auto"/>
          </w:tcPr>
          <w:p w14:paraId="1BE367B2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Guangdong</w:t>
            </w:r>
          </w:p>
        </w:tc>
        <w:tc>
          <w:tcPr>
            <w:tcW w:w="0" w:type="auto"/>
          </w:tcPr>
          <w:p w14:paraId="7E0DDD58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South</w:t>
            </w:r>
          </w:p>
        </w:tc>
        <w:tc>
          <w:tcPr>
            <w:tcW w:w="930" w:type="dxa"/>
          </w:tcPr>
          <w:p w14:paraId="74F17652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prefecture-level city</w:t>
            </w:r>
          </w:p>
        </w:tc>
        <w:tc>
          <w:tcPr>
            <w:tcW w:w="1052" w:type="dxa"/>
          </w:tcPr>
          <w:p w14:paraId="6E5523A5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291.474</w:t>
            </w:r>
          </w:p>
        </w:tc>
        <w:tc>
          <w:tcPr>
            <w:tcW w:w="965" w:type="dxa"/>
          </w:tcPr>
          <w:p w14:paraId="53455485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1.89 million</w:t>
            </w:r>
          </w:p>
        </w:tc>
        <w:tc>
          <w:tcPr>
            <w:tcW w:w="963" w:type="dxa"/>
          </w:tcPr>
          <w:p w14:paraId="25C85B98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Xiangzhou</w:t>
            </w:r>
            <w:proofErr w:type="spellEnd"/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District</w:t>
            </w:r>
          </w:p>
        </w:tc>
        <w:tc>
          <w:tcPr>
            <w:tcW w:w="968" w:type="dxa"/>
          </w:tcPr>
          <w:p w14:paraId="126E9191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0.94 million</w:t>
            </w:r>
          </w:p>
        </w:tc>
        <w:tc>
          <w:tcPr>
            <w:tcW w:w="2162" w:type="dxa"/>
          </w:tcPr>
          <w:p w14:paraId="36D315C2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http://scjg.zhuhai.gov.cn/</w:t>
            </w:r>
          </w:p>
        </w:tc>
      </w:tr>
      <w:tr w:rsidR="00635C40" w:rsidRPr="0073648F" w14:paraId="321C5638" w14:textId="77777777" w:rsidTr="00CF599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DEBE15E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Qingyang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31ACC4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Gansu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BD97F9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Northwest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257BEAD9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prefecture-level city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1DED53F0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70.82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34B9CE25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2.26 million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57261E82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Xifeng</w:t>
            </w:r>
            <w:proofErr w:type="spellEnd"/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District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6C6D3C7D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0.37 million  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35B66A64" w14:textId="77777777" w:rsidR="00635C40" w:rsidRPr="00635C40" w:rsidRDefault="00635C40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635C4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http://scjg.zgqingyang.gov.cn/</w:t>
            </w:r>
          </w:p>
        </w:tc>
      </w:tr>
    </w:tbl>
    <w:p w14:paraId="04247EA9" w14:textId="77777777" w:rsidR="00635C40" w:rsidRPr="0073648F" w:rsidRDefault="00635C40" w:rsidP="00CF5996">
      <w:pPr>
        <w:widowControl/>
        <w:snapToGrid w:val="0"/>
        <w:spacing w:line="360" w:lineRule="auto"/>
        <w:jc w:val="left"/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</w:pPr>
    </w:p>
    <w:p w14:paraId="071BC47B" w14:textId="77777777" w:rsidR="00635C40" w:rsidRPr="0073648F" w:rsidRDefault="00635C40" w:rsidP="00CF5996">
      <w:pPr>
        <w:widowControl/>
        <w:snapToGrid w:val="0"/>
        <w:spacing w:line="360" w:lineRule="auto"/>
        <w:jc w:val="left"/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</w:pPr>
    </w:p>
    <w:p w14:paraId="4F4D672B" w14:textId="77777777" w:rsidR="00635C40" w:rsidRPr="0073648F" w:rsidRDefault="00635C40" w:rsidP="00CF5996">
      <w:pPr>
        <w:widowControl/>
        <w:snapToGrid w:val="0"/>
        <w:spacing w:line="360" w:lineRule="auto"/>
        <w:jc w:val="left"/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</w:pPr>
    </w:p>
    <w:p w14:paraId="677BB735" w14:textId="77777777" w:rsidR="00635C40" w:rsidRPr="0073648F" w:rsidRDefault="00635C40" w:rsidP="00CF5996">
      <w:pPr>
        <w:widowControl/>
        <w:snapToGrid w:val="0"/>
        <w:spacing w:line="360" w:lineRule="auto"/>
        <w:jc w:val="left"/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</w:pPr>
    </w:p>
    <w:p w14:paraId="10305D40" w14:textId="77777777" w:rsidR="005B7D36" w:rsidRPr="0073648F" w:rsidRDefault="005B7D36" w:rsidP="00CF5996">
      <w:pPr>
        <w:widowControl/>
        <w:snapToGrid w:val="0"/>
        <w:spacing w:line="360" w:lineRule="auto"/>
        <w:jc w:val="left"/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</w:pPr>
    </w:p>
    <w:p w14:paraId="2A76106E" w14:textId="77777777" w:rsidR="005B7D36" w:rsidRPr="0073648F" w:rsidRDefault="005B7D36" w:rsidP="00CF5996">
      <w:pPr>
        <w:snapToGrid w:val="0"/>
        <w:spacing w:line="360" w:lineRule="auto"/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</w:pPr>
    </w:p>
    <w:p w14:paraId="0E611DF0" w14:textId="77777777" w:rsidR="005B7D36" w:rsidRPr="0073648F" w:rsidRDefault="005B7D36" w:rsidP="00CF5996">
      <w:pPr>
        <w:widowControl/>
        <w:snapToGrid w:val="0"/>
        <w:spacing w:line="360" w:lineRule="auto"/>
        <w:jc w:val="left"/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  <w:br w:type="page"/>
      </w:r>
    </w:p>
    <w:p w14:paraId="3EC628B9" w14:textId="77777777" w:rsidR="005B7D36" w:rsidRPr="0073648F" w:rsidRDefault="00635C40" w:rsidP="00CF5996">
      <w:pPr>
        <w:widowControl/>
        <w:snapToGrid w:val="0"/>
        <w:spacing w:line="360" w:lineRule="auto"/>
        <w:jc w:val="left"/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  <w:lastRenderedPageBreak/>
        <w:t>Survey q</w:t>
      </w:r>
      <w:r w:rsidR="005B7D36" w:rsidRPr="0073648F"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  <w:t xml:space="preserve">uestionnaire </w:t>
      </w:r>
    </w:p>
    <w:p w14:paraId="5315254F" w14:textId="77777777" w:rsidR="005B7D36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6D453B50" w14:textId="77777777" w:rsidR="005B7D36" w:rsidRPr="0073648F" w:rsidRDefault="005B7D36" w:rsidP="00CF5996">
      <w:pPr>
        <w:snapToGrid w:val="0"/>
        <w:spacing w:line="360" w:lineRule="auto"/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  <w:t>Part I Demographic Information</w:t>
      </w:r>
    </w:p>
    <w:p w14:paraId="14015052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1. What is your gender?</w:t>
      </w:r>
    </w:p>
    <w:p w14:paraId="11730EC4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bookmarkStart w:id="0" w:name="OLE_LINK81"/>
      <w:bookmarkStart w:id="1" w:name="OLE_LINK80"/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bookmarkEnd w:id="0"/>
      <w:bookmarkEnd w:id="1"/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Male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Female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Other</w:t>
      </w:r>
    </w:p>
    <w:p w14:paraId="060A38CB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2.What is your age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？</w:t>
      </w:r>
    </w:p>
    <w:p w14:paraId="51317114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20-30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31-40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41-50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51-60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61 or above </w:t>
      </w:r>
    </w:p>
    <w:p w14:paraId="70CBE1FB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3. What is your pharmacist category?</w:t>
      </w:r>
    </w:p>
    <w:p w14:paraId="58A95298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Licensed TCM Pharmacist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Licensed Pharmacist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Non-licensed pharmacist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Others_____</w:t>
      </w:r>
    </w:p>
    <w:p w14:paraId="72D26729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4. What is your highest qualification?</w:t>
      </w:r>
    </w:p>
    <w:p w14:paraId="0CCC76D9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Specialized secondary school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High school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Diploma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Undergraduate  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Postgraduate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Ph.D.</w:t>
      </w:r>
    </w:p>
    <w:p w14:paraId="1AF82C7D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5. How long have you been worked in the community pharmacy?</w:t>
      </w:r>
    </w:p>
    <w:p w14:paraId="3DCF8017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&lt;1 year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1-5 years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6-10 years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11-15 years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16-20 years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21 or above</w:t>
      </w:r>
    </w:p>
    <w:p w14:paraId="5C71D389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6. How many hours do you worked in the community pharmacy per week?</w:t>
      </w:r>
    </w:p>
    <w:p w14:paraId="15CD1F2A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1-16 hours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17-32 hours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33-40 hours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41-48 hours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49 hours or above</w:t>
      </w:r>
    </w:p>
    <w:p w14:paraId="7931536A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7. Which type are you work in?</w:t>
      </w:r>
    </w:p>
    <w:p w14:paraId="7459FC72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Chain pharmacy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Monomer pharmacy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Others</w:t>
      </w:r>
    </w:p>
    <w:p w14:paraId="3B3693D5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8.Does the pharmacy you worked in sell the medicines for the treatment of COPD?</w:t>
      </w:r>
    </w:p>
    <w:p w14:paraId="37D213F1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1153DBEC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9. Do you received previous training on COPD management during school education?</w:t>
      </w:r>
    </w:p>
    <w:p w14:paraId="59289844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05665700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10. Do you received training on COPD management during employment?</w:t>
      </w:r>
    </w:p>
    <w:p w14:paraId="42245CDD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080B572A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11. Do you agree with the sentence "pharmacists are responsible for the management of COPD to control the progress of this disease"</w:t>
      </w:r>
    </w:p>
    <w:p w14:paraId="361BA7AC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Strongly agree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Agree</w:t>
      </w:r>
      <w:proofErr w:type="spellEnd"/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Disagree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Strongly disagree</w:t>
      </w:r>
    </w:p>
    <w:p w14:paraId="5DFC3AEA" w14:textId="77777777" w:rsidR="005B7D36" w:rsidRPr="0073648F" w:rsidRDefault="005B7D36" w:rsidP="00CF5996">
      <w:pPr>
        <w:widowControl/>
        <w:snapToGrid w:val="0"/>
        <w:spacing w:line="360" w:lineRule="auto"/>
        <w:jc w:val="left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br w:type="page"/>
      </w:r>
    </w:p>
    <w:p w14:paraId="306CFD26" w14:textId="77777777" w:rsidR="005B7D36" w:rsidRPr="0073648F" w:rsidRDefault="005B7D36" w:rsidP="00CF5996">
      <w:pPr>
        <w:snapToGrid w:val="0"/>
        <w:spacing w:line="360" w:lineRule="auto"/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b/>
          <w:color w:val="000000" w:themeColor="text1"/>
          <w:sz w:val="20"/>
          <w:szCs w:val="20"/>
        </w:rPr>
        <w:lastRenderedPageBreak/>
        <w:t>Part II Basic Knowledge Survey of COPD</w:t>
      </w:r>
    </w:p>
    <w:p w14:paraId="603861FC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12. The risk factors for COPD are:</w:t>
      </w:r>
    </w:p>
    <w:p w14:paraId="6E13EFD0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Smoking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Pulmonary infections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Air pollution and dust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Allergic reactions</w:t>
      </w:r>
    </w:p>
    <w:p w14:paraId="0DE3F4A7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Hyper parasympathetic regimen</w:t>
      </w:r>
    </w:p>
    <w:p w14:paraId="7D2D6855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13. COPD-induced lung airflow limitation is reversible.</w:t>
      </w:r>
    </w:p>
    <w:p w14:paraId="52087186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28F80A35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14. Symptoms of COPD include chronic cough, sputum, dyspnea, chest tightness and so on.</w:t>
      </w:r>
    </w:p>
    <w:p w14:paraId="4EAC55A4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445E4BDF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15. If a patient is suspected and has a FEV / FVC &lt;90% from a pulmonary function test, the patient is diagnosed with COPD.</w:t>
      </w:r>
    </w:p>
    <w:p w14:paraId="709174F0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17400D9B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16. The </w:t>
      </w:r>
      <w:proofErr w:type="gramStart"/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most commonly used</w:t>
      </w:r>
      <w:proofErr w:type="gramEnd"/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international guideline for the treatment of COPD is GOLD.</w:t>
      </w:r>
    </w:p>
    <w:p w14:paraId="0F56B4E0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0C65A662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17. Inhaled drugs are the first choice for maintenance treatment of chronic obstructive pulmonary disease, such as short-acting β2 adrenoceptor agonists (SABAs)</w:t>
      </w:r>
    </w:p>
    <w:p w14:paraId="32ACA923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24E16BA6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18. Inhaled glucocorticoids are not commonly used in the treatment of COPD due to strong adverse drug reactions.</w:t>
      </w:r>
    </w:p>
    <w:p w14:paraId="76EB812A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43C71B7F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19. Common adverse reactions to theophylline drugs include nausea, vomiting, diarrhea, food reflux, and headaches.</w:t>
      </w:r>
    </w:p>
    <w:p w14:paraId="4876BF10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0E8CA02F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20. Short-acting bronchodilators commonly used during the acute exacerbation of COPD.</w:t>
      </w:r>
    </w:p>
    <w:p w14:paraId="43E9D69C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7CDAE69A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21. Short-term oral glucocorticoids can be used during exacerbations, with the aim of shortening the recovery time and reducing the severity of exacerbations and the risk of early relapses.</w:t>
      </w:r>
    </w:p>
    <w:p w14:paraId="74CD8A2B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0C3A86F0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22. Other treatments that pharmacists can use to help patients with chronic obstructive pulmonary disease include:</w:t>
      </w:r>
    </w:p>
    <w:p w14:paraId="3C576DA5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Assisting patients to quit smoking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Recommending patients to receive flu vaccine</w:t>
      </w:r>
    </w:p>
    <w:p w14:paraId="01161F39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Encouraging patients to exercise more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Advising patients to reduce salt intake</w:t>
      </w:r>
    </w:p>
    <w:p w14:paraId="48B87DBC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23. Pulmonary rehabilitation services for patients with COPD can improve shortness of breath and exercise tolerance</w:t>
      </w:r>
    </w:p>
    <w:p w14:paraId="68BC7FB2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227BB246" w14:textId="77777777" w:rsidR="005B7D36" w:rsidRPr="0073648F" w:rsidRDefault="005B7D36" w:rsidP="00CF5996">
      <w:pPr>
        <w:snapToGrid w:val="0"/>
        <w:spacing w:afterLines="50" w:after="156"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>24. Do you encounter patients in your daily practice?</w:t>
      </w:r>
    </w:p>
    <w:p w14:paraId="7E72DC67" w14:textId="77777777" w:rsidR="005B7D36" w:rsidRPr="0073648F" w:rsidRDefault="005B7D36" w:rsidP="00CF5996">
      <w:pPr>
        <w:widowControl/>
        <w:snapToGrid w:val="0"/>
        <w:spacing w:line="360" w:lineRule="auto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Yes (Please note down the number for per week meeting) _____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No  </w:t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sym w:font="Symbol" w:char="F0F0"/>
      </w: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t xml:space="preserve"> Unclear</w:t>
      </w:r>
    </w:p>
    <w:p w14:paraId="177E455F" w14:textId="77777777" w:rsidR="005B7D36" w:rsidRPr="0073648F" w:rsidRDefault="005B7D36" w:rsidP="00CF5996">
      <w:pPr>
        <w:widowControl/>
        <w:snapToGrid w:val="0"/>
        <w:spacing w:line="360" w:lineRule="auto"/>
        <w:jc w:val="left"/>
        <w:rPr>
          <w:rFonts w:ascii="Times New Roman" w:eastAsia="SimSun" w:hAnsi="Times New Roman" w:cs="Times New Roman"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color w:val="000000" w:themeColor="text1"/>
          <w:sz w:val="20"/>
          <w:szCs w:val="20"/>
        </w:rPr>
        <w:br w:type="page"/>
      </w:r>
    </w:p>
    <w:p w14:paraId="6237FAFE" w14:textId="77777777" w:rsidR="005B7D36" w:rsidRPr="0073648F" w:rsidRDefault="00635C40" w:rsidP="00CF5996">
      <w:pPr>
        <w:widowControl/>
        <w:snapToGrid w:val="0"/>
        <w:spacing w:afterLines="50" w:after="156" w:line="360" w:lineRule="auto"/>
        <w:jc w:val="left"/>
        <w:rPr>
          <w:rFonts w:ascii="Times New Roman" w:eastAsia="SimSun" w:hAnsi="Times New Roman" w:cs="Times New Roman"/>
          <w:b/>
          <w:bCs/>
          <w:color w:val="000000" w:themeColor="text1"/>
          <w:sz w:val="20"/>
          <w:szCs w:val="20"/>
        </w:rPr>
      </w:pPr>
      <w:r w:rsidRPr="0073648F">
        <w:rPr>
          <w:rFonts w:ascii="Times New Roman" w:eastAsia="SimSu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Table S2 </w:t>
      </w:r>
      <w:r w:rsidR="005B7D36" w:rsidRPr="0073648F">
        <w:rPr>
          <w:rFonts w:ascii="Times New Roman" w:eastAsia="SimSun" w:hAnsi="Times New Roman" w:cs="Times New Roman"/>
          <w:b/>
          <w:bCs/>
          <w:color w:val="000000" w:themeColor="text1"/>
          <w:sz w:val="20"/>
          <w:szCs w:val="20"/>
        </w:rPr>
        <w:t xml:space="preserve">Comparison of </w:t>
      </w:r>
      <w:r w:rsidRPr="0073648F">
        <w:rPr>
          <w:rFonts w:ascii="Times New Roman" w:eastAsia="SimSun" w:hAnsi="Times New Roman" w:cs="Times New Roman"/>
          <w:b/>
          <w:bCs/>
          <w:color w:val="000000" w:themeColor="text1"/>
          <w:sz w:val="20"/>
          <w:szCs w:val="20"/>
        </w:rPr>
        <w:t>e</w:t>
      </w:r>
      <w:r w:rsidR="005B7D36" w:rsidRPr="0073648F">
        <w:rPr>
          <w:rFonts w:ascii="Times New Roman" w:eastAsia="SimSun" w:hAnsi="Times New Roman" w:cs="Times New Roman"/>
          <w:b/>
          <w:bCs/>
          <w:color w:val="000000" w:themeColor="text1"/>
          <w:sz w:val="20"/>
          <w:szCs w:val="20"/>
        </w:rPr>
        <w:t xml:space="preserve">ducation in </w:t>
      </w:r>
      <w:r w:rsidRPr="0073648F">
        <w:rPr>
          <w:rFonts w:ascii="Times New Roman" w:eastAsia="SimSun" w:hAnsi="Times New Roman" w:cs="Times New Roman"/>
          <w:b/>
          <w:bCs/>
          <w:color w:val="000000" w:themeColor="text1"/>
          <w:sz w:val="20"/>
          <w:szCs w:val="20"/>
        </w:rPr>
        <w:t>t</w:t>
      </w:r>
      <w:r w:rsidR="005B7D36" w:rsidRPr="0073648F">
        <w:rPr>
          <w:rFonts w:ascii="Times New Roman" w:eastAsia="SimSun" w:hAnsi="Times New Roman" w:cs="Times New Roman"/>
          <w:b/>
          <w:bCs/>
          <w:color w:val="000000" w:themeColor="text1"/>
          <w:sz w:val="20"/>
          <w:szCs w:val="20"/>
        </w:rPr>
        <w:t xml:space="preserve">wo </w:t>
      </w:r>
      <w:r w:rsidRPr="0073648F">
        <w:rPr>
          <w:rFonts w:ascii="Times New Roman" w:eastAsia="SimSun" w:hAnsi="Times New Roman" w:cs="Times New Roman"/>
          <w:b/>
          <w:bCs/>
          <w:color w:val="000000" w:themeColor="text1"/>
          <w:sz w:val="20"/>
          <w:szCs w:val="20"/>
        </w:rPr>
        <w:t>d</w:t>
      </w:r>
      <w:r w:rsidR="005B7D36" w:rsidRPr="0073648F">
        <w:rPr>
          <w:rFonts w:ascii="Times New Roman" w:eastAsia="SimSun" w:hAnsi="Times New Roman" w:cs="Times New Roman"/>
          <w:b/>
          <w:bCs/>
          <w:color w:val="000000" w:themeColor="text1"/>
          <w:sz w:val="20"/>
          <w:szCs w:val="20"/>
        </w:rPr>
        <w:t xml:space="preserve">ifferent </w:t>
      </w:r>
      <w:r w:rsidRPr="0073648F">
        <w:rPr>
          <w:rFonts w:ascii="Times New Roman" w:eastAsia="SimSun" w:hAnsi="Times New Roman" w:cs="Times New Roman"/>
          <w:b/>
          <w:bCs/>
          <w:color w:val="000000" w:themeColor="text1"/>
          <w:sz w:val="20"/>
          <w:szCs w:val="20"/>
        </w:rPr>
        <w:t>m</w:t>
      </w:r>
      <w:r w:rsidR="005B7D36" w:rsidRPr="0073648F">
        <w:rPr>
          <w:rFonts w:ascii="Times New Roman" w:eastAsia="SimSun" w:hAnsi="Times New Roman" w:cs="Times New Roman"/>
          <w:b/>
          <w:bCs/>
          <w:color w:val="000000" w:themeColor="text1"/>
          <w:sz w:val="20"/>
          <w:szCs w:val="20"/>
        </w:rPr>
        <w:t>ajors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2950"/>
        <w:gridCol w:w="3867"/>
        <w:gridCol w:w="7"/>
      </w:tblGrid>
      <w:tr w:rsidR="005B7D36" w:rsidRPr="0073648F" w14:paraId="1C4F9ABB" w14:textId="77777777" w:rsidTr="0073648F">
        <w:trPr>
          <w:gridAfter w:val="1"/>
          <w:wAfter w:w="7" w:type="dxa"/>
          <w:trHeight w:val="280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4C5EE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A0545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Diploma Major (Medicine Analysis Technology)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6B8D852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Undergraduate Major (Pharmacy)</w:t>
            </w:r>
          </w:p>
        </w:tc>
      </w:tr>
      <w:tr w:rsidR="005B7D36" w:rsidRPr="0073648F" w14:paraId="52060BB6" w14:textId="77777777" w:rsidTr="0073648F">
        <w:trPr>
          <w:gridAfter w:val="1"/>
          <w:wAfter w:w="7" w:type="dxa"/>
          <w:trHeight w:val="280"/>
        </w:trPr>
        <w:tc>
          <w:tcPr>
            <w:tcW w:w="148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noWrap/>
            <w:hideMark/>
          </w:tcPr>
          <w:p w14:paraId="34EFC2B7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Foundation Courses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hideMark/>
          </w:tcPr>
          <w:p w14:paraId="6D0DA498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College English, Advanced Mathematics, Medical Physics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noWrap/>
            <w:hideMark/>
          </w:tcPr>
          <w:p w14:paraId="3F704B50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College English, Advanced Mathematics, Linear Algebra, Mathematical Statistics, Physics</w:t>
            </w:r>
          </w:p>
        </w:tc>
      </w:tr>
      <w:tr w:rsidR="005B7D36" w:rsidRPr="0073648F" w14:paraId="58C25495" w14:textId="77777777" w:rsidTr="0073648F">
        <w:trPr>
          <w:gridAfter w:val="1"/>
          <w:wAfter w:w="7" w:type="dxa"/>
          <w:trHeight w:val="280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hideMark/>
          </w:tcPr>
          <w:p w14:paraId="4CFC222D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Chemistry Courses</w:t>
            </w:r>
          </w:p>
        </w:tc>
        <w:tc>
          <w:tcPr>
            <w:tcW w:w="29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hideMark/>
          </w:tcPr>
          <w:p w14:paraId="7FB8091C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Basic Chemistry, Organic Chemistry, Physical Chemistry,</w:t>
            </w:r>
          </w:p>
          <w:p w14:paraId="52428589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Biochemistry</w:t>
            </w:r>
          </w:p>
        </w:tc>
        <w:tc>
          <w:tcPr>
            <w:tcW w:w="38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noWrap/>
            <w:hideMark/>
          </w:tcPr>
          <w:p w14:paraId="5D09B71A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Inorganic Chemistry, Analytical Chemistry, Organic Chemistry, Physical Chemistry, Biochemistry and Molecular Biology</w:t>
            </w:r>
          </w:p>
        </w:tc>
      </w:tr>
      <w:tr w:rsidR="005B7D36" w:rsidRPr="0073648F" w14:paraId="16CD42C0" w14:textId="77777777" w:rsidTr="0073648F">
        <w:trPr>
          <w:gridAfter w:val="1"/>
          <w:wAfter w:w="7" w:type="dxa"/>
          <w:trHeight w:val="280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hideMark/>
          </w:tcPr>
          <w:p w14:paraId="3233C6CD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Pharmacy Courses</w:t>
            </w:r>
          </w:p>
        </w:tc>
        <w:tc>
          <w:tcPr>
            <w:tcW w:w="29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hideMark/>
          </w:tcPr>
          <w:p w14:paraId="075E64D1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Microbiology, Pharmacology, Medicinal Chemistry</w:t>
            </w:r>
          </w:p>
        </w:tc>
        <w:tc>
          <w:tcPr>
            <w:tcW w:w="38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noWrap/>
            <w:hideMark/>
          </w:tcPr>
          <w:p w14:paraId="4B4E5E32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Microbiology, Natural Medicinal Chemistry, Medicinal Chemistry,</w:t>
            </w:r>
          </w:p>
          <w:p w14:paraId="18808DD1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Pharmacy, Pharmacology, Pharmacology, Pharmacokinetics, Pharmaceutical Analysis</w:t>
            </w:r>
          </w:p>
        </w:tc>
      </w:tr>
      <w:tr w:rsidR="005B7D36" w:rsidRPr="0073648F" w14:paraId="21A0FB7A" w14:textId="77777777" w:rsidTr="0073648F">
        <w:trPr>
          <w:gridAfter w:val="1"/>
          <w:wAfter w:w="7" w:type="dxa"/>
          <w:trHeight w:val="280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hideMark/>
          </w:tcPr>
          <w:p w14:paraId="5B867F96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Professional Technology Courses</w:t>
            </w:r>
          </w:p>
        </w:tc>
        <w:tc>
          <w:tcPr>
            <w:tcW w:w="29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noWrap/>
            <w:hideMark/>
          </w:tcPr>
          <w:p w14:paraId="51D99467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Pharmaceutical preparation technology, pharmaceutical analysis technology,</w:t>
            </w:r>
          </w:p>
          <w:p w14:paraId="231F1760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Traditional Chinese medicine extraction and separation technology,</w:t>
            </w:r>
          </w:p>
          <w:p w14:paraId="7AD07D30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Traditional Chinese medicine preparation inspection technology,</w:t>
            </w:r>
          </w:p>
          <w:p w14:paraId="2B5F86EF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Drug manufacturing process verification,</w:t>
            </w:r>
          </w:p>
          <w:p w14:paraId="0AC85944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Comprehensive Practice and Instrumental Analysis of Drug Production</w:t>
            </w:r>
          </w:p>
        </w:tc>
        <w:tc>
          <w:tcPr>
            <w:tcW w:w="38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3154265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7D36" w:rsidRPr="0073648F" w14:paraId="773950BC" w14:textId="77777777" w:rsidTr="0073648F">
        <w:trPr>
          <w:trHeight w:val="280"/>
        </w:trPr>
        <w:tc>
          <w:tcPr>
            <w:tcW w:w="1482" w:type="dxa"/>
            <w:tcBorders>
              <w:bottom w:val="single" w:sz="2" w:space="0" w:color="auto"/>
              <w:right w:val="single" w:sz="4" w:space="0" w:color="auto"/>
            </w:tcBorders>
            <w:noWrap/>
            <w:hideMark/>
          </w:tcPr>
          <w:p w14:paraId="37DC488B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Medical Courses</w:t>
            </w:r>
          </w:p>
        </w:tc>
        <w:tc>
          <w:tcPr>
            <w:tcW w:w="2950" w:type="dxa"/>
            <w:tcBorders>
              <w:bottom w:val="single" w:sz="2" w:space="0" w:color="auto"/>
              <w:right w:val="single" w:sz="4" w:space="0" w:color="auto"/>
            </w:tcBorders>
          </w:tcPr>
          <w:p w14:paraId="18D7D271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Human Anatomy and Physiology</w:t>
            </w:r>
          </w:p>
        </w:tc>
        <w:tc>
          <w:tcPr>
            <w:tcW w:w="3874" w:type="dxa"/>
            <w:gridSpan w:val="2"/>
            <w:tcBorders>
              <w:left w:val="single" w:sz="4" w:space="0" w:color="auto"/>
              <w:bottom w:val="single" w:sz="2" w:space="0" w:color="auto"/>
            </w:tcBorders>
            <w:noWrap/>
            <w:hideMark/>
          </w:tcPr>
          <w:p w14:paraId="2AB0F9A4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Clinical pharmacology, cell biology, pathophysiology,</w:t>
            </w:r>
          </w:p>
          <w:p w14:paraId="6265D215" w14:textId="77777777" w:rsidR="005B7D36" w:rsidRPr="0073648F" w:rsidRDefault="005B7D36" w:rsidP="00CF5996">
            <w:pPr>
              <w:widowControl/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Pharmaceutical Toxicology, Basic Medicine, and Clinical Medicine</w:t>
            </w:r>
          </w:p>
        </w:tc>
      </w:tr>
      <w:tr w:rsidR="005B7D36" w:rsidRPr="0073648F" w14:paraId="5986AE8E" w14:textId="77777777" w:rsidTr="0073648F">
        <w:trPr>
          <w:trHeight w:val="280"/>
        </w:trPr>
        <w:tc>
          <w:tcPr>
            <w:tcW w:w="8306" w:type="dxa"/>
            <w:gridSpan w:val="4"/>
            <w:tcBorders>
              <w:top w:val="single" w:sz="2" w:space="0" w:color="auto"/>
            </w:tcBorders>
            <w:noWrap/>
          </w:tcPr>
          <w:p w14:paraId="6CDB25B8" w14:textId="77777777" w:rsidR="005B7D36" w:rsidRPr="0073648F" w:rsidRDefault="00E31394" w:rsidP="00CC18F0">
            <w:pPr>
              <w:snapToGrid w:val="0"/>
              <w:spacing w:line="360" w:lineRule="auto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Note: </w:t>
            </w:r>
            <w:r w:rsidR="00CC18F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Materials </w:t>
            </w:r>
            <w:r w:rsidR="0038268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were </w:t>
            </w:r>
            <w:r w:rsidR="00966FFE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referred and adapted</w:t>
            </w:r>
            <w:r w:rsidR="00CC18F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from the website of China Pharmaceutical University (a</w:t>
            </w:r>
            <w:r w:rsidR="005B7D36"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ccessed from http://www.cpu.edu.cn/4216/list.htm (</w:t>
            </w:r>
            <w:r w:rsidR="00CC18F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5B7D36"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ccessed </w:t>
            </w:r>
            <w:r w:rsidR="00966FFE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>on</w:t>
            </w:r>
            <w:r w:rsidR="005B7D36" w:rsidRPr="0073648F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 Feb 27, 2020)</w:t>
            </w:r>
            <w:r w:rsidR="00CC18F0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  <w:t xml:space="preserve">). </w:t>
            </w:r>
          </w:p>
          <w:p w14:paraId="2E42F390" w14:textId="77777777" w:rsidR="005B7D36" w:rsidRPr="0073648F" w:rsidRDefault="005B7D36" w:rsidP="00CF5996">
            <w:pPr>
              <w:snapToGrid w:val="0"/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EE37639" w14:textId="77777777" w:rsidR="005B7D36" w:rsidRPr="0073648F" w:rsidRDefault="005B7D36" w:rsidP="00CF5996">
      <w:pPr>
        <w:snapToGrid w:val="0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B7D36" w:rsidRPr="0073648F" w:rsidSect="005B7D36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44193" w14:textId="77777777" w:rsidR="00544CB1" w:rsidRDefault="00544CB1" w:rsidP="005B7D36">
      <w:r>
        <w:separator/>
      </w:r>
    </w:p>
  </w:endnote>
  <w:endnote w:type="continuationSeparator" w:id="0">
    <w:p w14:paraId="61BFCFC7" w14:textId="77777777" w:rsidR="00544CB1" w:rsidRDefault="00544CB1" w:rsidP="005B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8842220"/>
      <w:docPartObj>
        <w:docPartGallery w:val="Page Numbers (Bottom of Page)"/>
        <w:docPartUnique/>
      </w:docPartObj>
    </w:sdtPr>
    <w:sdtEndPr/>
    <w:sdtContent>
      <w:p w14:paraId="5DDD328A" w14:textId="77777777" w:rsidR="005B7D36" w:rsidRDefault="005B7D3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E8C95A" w14:textId="77777777" w:rsidR="00742CD1" w:rsidRDefault="00544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A1837" w14:textId="77777777" w:rsidR="00544CB1" w:rsidRDefault="00544CB1" w:rsidP="005B7D36">
      <w:r>
        <w:separator/>
      </w:r>
    </w:p>
  </w:footnote>
  <w:footnote w:type="continuationSeparator" w:id="0">
    <w:p w14:paraId="6B8322C7" w14:textId="77777777" w:rsidR="00544CB1" w:rsidRDefault="00544CB1" w:rsidP="005B7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yMjAxszA2MjMzMbRQ0lEKTi0uzszPAykwrAUAbGCcYiwAAAA="/>
  </w:docVars>
  <w:rsids>
    <w:rsidRoot w:val="005B7D36"/>
    <w:rsid w:val="001359EF"/>
    <w:rsid w:val="00241669"/>
    <w:rsid w:val="0038268B"/>
    <w:rsid w:val="003F55F0"/>
    <w:rsid w:val="004F3B9C"/>
    <w:rsid w:val="00544CB1"/>
    <w:rsid w:val="005B7D36"/>
    <w:rsid w:val="00635C40"/>
    <w:rsid w:val="00727965"/>
    <w:rsid w:val="0073648F"/>
    <w:rsid w:val="00966FFE"/>
    <w:rsid w:val="00A111AD"/>
    <w:rsid w:val="00AC0715"/>
    <w:rsid w:val="00B97AF0"/>
    <w:rsid w:val="00C514E3"/>
    <w:rsid w:val="00CC18F0"/>
    <w:rsid w:val="00CF5996"/>
    <w:rsid w:val="00D9261D"/>
    <w:rsid w:val="00E31394"/>
    <w:rsid w:val="00FC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F451B"/>
  <w15:chartTrackingRefBased/>
  <w15:docId w15:val="{327D5D95-0029-43FD-AADF-BD2CA8B2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D3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D3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B7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B7D36"/>
    <w:rPr>
      <w:sz w:val="18"/>
      <w:szCs w:val="18"/>
    </w:rPr>
  </w:style>
  <w:style w:type="table" w:styleId="TableGrid">
    <w:name w:val="Table Grid"/>
    <w:basedOn w:val="TableNormal"/>
    <w:uiPriority w:val="39"/>
    <w:rsid w:val="005B7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B7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Yuqi</dc:creator>
  <cp:keywords/>
  <dc:description/>
  <cp:lastModifiedBy>Pratt, Lucas</cp:lastModifiedBy>
  <cp:revision>2</cp:revision>
  <dcterms:created xsi:type="dcterms:W3CDTF">2020-11-22T19:45:00Z</dcterms:created>
  <dcterms:modified xsi:type="dcterms:W3CDTF">2020-11-22T19:45:00Z</dcterms:modified>
</cp:coreProperties>
</file>