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5D474" w14:textId="77777777" w:rsidR="00981D1E" w:rsidRDefault="00981D1E" w:rsidP="00981D1E">
      <w:pPr>
        <w:keepNext/>
        <w:keepLines/>
        <w:spacing w:before="100" w:beforeAutospacing="1" w:after="100" w:afterAutospacing="1" w:line="360" w:lineRule="auto"/>
        <w:outlineLvl w:val="0"/>
        <w:rPr>
          <w:rFonts w:ascii="Times New Roman" w:eastAsia="Times New Roman" w:hAnsi="Times New Roman" w:cs="Times New Roman"/>
          <w:b/>
          <w:color w:val="000000" w:themeColor="text1"/>
          <w:sz w:val="24"/>
          <w:szCs w:val="24"/>
          <w:lang w:eastAsia="en-GB"/>
        </w:rPr>
      </w:pPr>
      <w:bookmarkStart w:id="0" w:name="_Hlk49961802"/>
      <w:bookmarkStart w:id="1" w:name="_Hlk49961965"/>
      <w:r w:rsidRPr="009968F7">
        <w:rPr>
          <w:rFonts w:ascii="Times New Roman" w:eastAsia="Times New Roman" w:hAnsi="Times New Roman" w:cs="Times New Roman"/>
          <w:b/>
          <w:color w:val="000000"/>
          <w:sz w:val="32"/>
          <w:szCs w:val="32"/>
          <w:lang w:val="en-GB" w:eastAsia="en-GB"/>
        </w:rPr>
        <w:t>Supplementary</w:t>
      </w:r>
      <w:r>
        <w:rPr>
          <w:rFonts w:ascii="Times New Roman" w:eastAsia="Times New Roman" w:hAnsi="Times New Roman" w:cs="Times New Roman"/>
          <w:b/>
          <w:color w:val="000000" w:themeColor="text1"/>
          <w:sz w:val="24"/>
          <w:szCs w:val="24"/>
          <w:lang w:eastAsia="en-GB"/>
        </w:rPr>
        <w:t xml:space="preserve"> </w:t>
      </w:r>
      <w:r w:rsidRPr="009968F7">
        <w:rPr>
          <w:rFonts w:ascii="Times New Roman" w:eastAsia="Times New Roman" w:hAnsi="Times New Roman" w:cs="Times New Roman"/>
          <w:b/>
          <w:color w:val="000000"/>
          <w:sz w:val="32"/>
          <w:szCs w:val="32"/>
          <w:lang w:val="en-GB" w:eastAsia="en-GB"/>
        </w:rPr>
        <w:t>Material</w:t>
      </w:r>
    </w:p>
    <w:p w14:paraId="4BAF8F7D" w14:textId="77777777" w:rsidR="00981D1E" w:rsidRPr="00AB3624" w:rsidRDefault="00981D1E" w:rsidP="00981D1E">
      <w:pPr>
        <w:pStyle w:val="Heading1"/>
        <w:keepLines w:val="0"/>
        <w:spacing w:before="0" w:line="480" w:lineRule="auto"/>
        <w:rPr>
          <w:rFonts w:ascii="Arial" w:eastAsia="Times New Roman" w:hAnsi="Arial" w:cs="Times New Roman"/>
          <w:color w:val="auto"/>
          <w:sz w:val="20"/>
          <w:szCs w:val="24"/>
        </w:rPr>
      </w:pPr>
      <w:r w:rsidRPr="00AB3624">
        <w:rPr>
          <w:rFonts w:ascii="Arial" w:eastAsia="Times New Roman" w:hAnsi="Arial" w:cs="Times New Roman"/>
          <w:color w:val="auto"/>
          <w:sz w:val="20"/>
          <w:szCs w:val="24"/>
        </w:rPr>
        <w:t>ORIGINAL RESEARCH</w:t>
      </w:r>
    </w:p>
    <w:p w14:paraId="2920863A" w14:textId="77777777" w:rsidR="00981D1E" w:rsidRPr="00AB3624" w:rsidRDefault="00981D1E" w:rsidP="00981D1E">
      <w:pPr>
        <w:pStyle w:val="Heading1"/>
        <w:keepLines w:val="0"/>
        <w:spacing w:before="0" w:line="480" w:lineRule="auto"/>
        <w:rPr>
          <w:rFonts w:ascii="Arial" w:eastAsia="Times New Roman" w:hAnsi="Arial" w:cs="Times New Roman"/>
          <w:color w:val="auto"/>
          <w:sz w:val="20"/>
          <w:szCs w:val="24"/>
        </w:rPr>
      </w:pPr>
      <w:r w:rsidRPr="00AB3624">
        <w:rPr>
          <w:rFonts w:ascii="Arial" w:eastAsia="Times New Roman" w:hAnsi="Arial" w:cs="Times New Roman"/>
          <w:color w:val="auto"/>
          <w:sz w:val="20"/>
          <w:szCs w:val="24"/>
        </w:rPr>
        <w:t xml:space="preserve">Milanesi et al.   </w:t>
      </w:r>
    </w:p>
    <w:p w14:paraId="5FCA3469" w14:textId="77777777" w:rsidR="00981D1E" w:rsidRPr="00D5261F" w:rsidRDefault="00981D1E" w:rsidP="00981D1E">
      <w:pPr>
        <w:pStyle w:val="Heading1"/>
        <w:keepLines w:val="0"/>
        <w:spacing w:after="60" w:line="480" w:lineRule="auto"/>
        <w:rPr>
          <w:rFonts w:ascii="Arial" w:eastAsia="Times New Roman" w:hAnsi="Arial" w:cs="Arial"/>
          <w:bCs/>
          <w:color w:val="auto"/>
          <w:kern w:val="32"/>
        </w:rPr>
      </w:pPr>
      <w:r w:rsidRPr="00D5261F">
        <w:rPr>
          <w:rFonts w:ascii="Arial" w:eastAsia="Times New Roman" w:hAnsi="Arial" w:cs="Arial"/>
          <w:bCs/>
          <w:color w:val="auto"/>
          <w:kern w:val="32"/>
        </w:rPr>
        <w:t>Distinctive under-expression profile of inflammatory and redox genes in the blood of elderly patients with cardiovascular disease</w:t>
      </w:r>
    </w:p>
    <w:p w14:paraId="098C198F" w14:textId="77777777" w:rsidR="00513AC4" w:rsidRDefault="00513AC4" w:rsidP="00513AC4">
      <w:pPr>
        <w:jc w:val="both"/>
        <w:rPr>
          <w:rFonts w:ascii="Arial" w:hAnsi="Arial" w:cs="Arial"/>
          <w:sz w:val="20"/>
          <w:szCs w:val="20"/>
          <w:lang w:val="es-ES"/>
        </w:rPr>
      </w:pPr>
      <w:bookmarkStart w:id="2" w:name="_Hlk49962870"/>
      <w:bookmarkEnd w:id="0"/>
      <w:bookmarkEnd w:id="1"/>
      <w:r>
        <w:rPr>
          <w:rFonts w:ascii="Arial" w:hAnsi="Arial" w:cs="Arial"/>
          <w:sz w:val="20"/>
          <w:szCs w:val="20"/>
          <w:lang w:val="es-ES"/>
        </w:rPr>
        <w:t>Elena Milanesi</w:t>
      </w:r>
      <w:r>
        <w:rPr>
          <w:rFonts w:ascii="Arial" w:hAnsi="Arial" w:cs="Arial"/>
          <w:sz w:val="20"/>
          <w:szCs w:val="20"/>
          <w:vertAlign w:val="superscript"/>
          <w:lang w:val="es-ES"/>
        </w:rPr>
        <w:t>1</w:t>
      </w:r>
      <w:r>
        <w:rPr>
          <w:rFonts w:ascii="Arial" w:hAnsi="Arial" w:cs="Arial"/>
          <w:sz w:val="20"/>
          <w:szCs w:val="20"/>
          <w:lang w:val="es-ES"/>
        </w:rPr>
        <w:t>, Gina Manda</w:t>
      </w:r>
      <w:r>
        <w:rPr>
          <w:rFonts w:ascii="Arial" w:hAnsi="Arial" w:cs="Arial"/>
          <w:sz w:val="20"/>
          <w:szCs w:val="20"/>
          <w:vertAlign w:val="superscript"/>
          <w:lang w:val="es-ES"/>
        </w:rPr>
        <w:t>1</w:t>
      </w:r>
      <w:r>
        <w:rPr>
          <w:rFonts w:ascii="Arial" w:hAnsi="Arial" w:cs="Arial"/>
          <w:sz w:val="20"/>
          <w:szCs w:val="20"/>
          <w:lang w:val="es-ES"/>
        </w:rPr>
        <w:t>, Maria Dobre</w:t>
      </w:r>
      <w:r>
        <w:rPr>
          <w:rFonts w:ascii="Arial" w:hAnsi="Arial" w:cs="Arial"/>
          <w:sz w:val="20"/>
          <w:szCs w:val="20"/>
          <w:vertAlign w:val="superscript"/>
          <w:lang w:val="es-ES"/>
        </w:rPr>
        <w:t>1</w:t>
      </w:r>
      <w:r>
        <w:rPr>
          <w:rFonts w:ascii="Arial" w:hAnsi="Arial" w:cs="Arial"/>
          <w:sz w:val="20"/>
          <w:szCs w:val="20"/>
          <w:lang w:val="es-ES"/>
        </w:rPr>
        <w:t>, Elena Codrici</w:t>
      </w:r>
      <w:r>
        <w:rPr>
          <w:rFonts w:ascii="Arial" w:hAnsi="Arial" w:cs="Arial"/>
          <w:sz w:val="20"/>
          <w:szCs w:val="20"/>
          <w:vertAlign w:val="superscript"/>
          <w:lang w:val="es-ES"/>
        </w:rPr>
        <w:t>1</w:t>
      </w:r>
      <w:r>
        <w:rPr>
          <w:rFonts w:ascii="Arial" w:hAnsi="Arial" w:cs="Arial"/>
          <w:sz w:val="20"/>
          <w:szCs w:val="20"/>
          <w:lang w:val="es-ES"/>
        </w:rPr>
        <w:t xml:space="preserve">, </w:t>
      </w:r>
      <w:proofErr w:type="spellStart"/>
      <w:r>
        <w:rPr>
          <w:rFonts w:ascii="Arial" w:hAnsi="Arial" w:cs="Arial"/>
          <w:sz w:val="20"/>
          <w:szCs w:val="20"/>
          <w:lang w:val="es-ES"/>
        </w:rPr>
        <w:t>Ionela</w:t>
      </w:r>
      <w:proofErr w:type="spellEnd"/>
      <w:r>
        <w:rPr>
          <w:rFonts w:ascii="Arial" w:hAnsi="Arial" w:cs="Arial"/>
          <w:sz w:val="20"/>
          <w:szCs w:val="20"/>
          <w:lang w:val="es-ES"/>
        </w:rPr>
        <w:t xml:space="preserve"> V. Neagoe</w:t>
      </w:r>
      <w:r>
        <w:rPr>
          <w:rFonts w:ascii="Arial" w:hAnsi="Arial" w:cs="Arial"/>
          <w:sz w:val="20"/>
          <w:szCs w:val="20"/>
          <w:vertAlign w:val="superscript"/>
          <w:lang w:val="es-ES"/>
        </w:rPr>
        <w:t>1</w:t>
      </w:r>
      <w:r>
        <w:rPr>
          <w:rFonts w:ascii="Arial" w:hAnsi="Arial" w:cs="Arial"/>
          <w:sz w:val="20"/>
          <w:szCs w:val="20"/>
          <w:lang w:val="es-ES"/>
        </w:rPr>
        <w:t xml:space="preserve">, </w:t>
      </w:r>
      <w:proofErr w:type="spellStart"/>
      <w:r>
        <w:rPr>
          <w:rFonts w:ascii="Arial" w:hAnsi="Arial" w:cs="Arial"/>
          <w:sz w:val="20"/>
          <w:szCs w:val="20"/>
          <w:lang w:val="es-ES"/>
        </w:rPr>
        <w:t>Bogdan</w:t>
      </w:r>
      <w:proofErr w:type="spellEnd"/>
      <w:r>
        <w:rPr>
          <w:rFonts w:ascii="Arial" w:hAnsi="Arial" w:cs="Arial"/>
          <w:sz w:val="20"/>
          <w:szCs w:val="20"/>
          <w:lang w:val="es-ES"/>
        </w:rPr>
        <w:t xml:space="preserve"> O. Popescu</w:t>
      </w:r>
      <w:r>
        <w:rPr>
          <w:rFonts w:ascii="Arial" w:hAnsi="Arial" w:cs="Arial"/>
          <w:sz w:val="20"/>
          <w:szCs w:val="20"/>
          <w:vertAlign w:val="superscript"/>
          <w:lang w:val="es-ES"/>
        </w:rPr>
        <w:t>1,2,3</w:t>
      </w:r>
      <w:r>
        <w:rPr>
          <w:rFonts w:ascii="Arial" w:hAnsi="Arial" w:cs="Arial"/>
          <w:sz w:val="20"/>
          <w:szCs w:val="20"/>
          <w:lang w:val="es-ES"/>
        </w:rPr>
        <w:t xml:space="preserve">, </w:t>
      </w:r>
      <w:proofErr w:type="spellStart"/>
      <w:r>
        <w:rPr>
          <w:rFonts w:ascii="Arial" w:hAnsi="Arial" w:cs="Arial"/>
          <w:sz w:val="20"/>
          <w:szCs w:val="20"/>
          <w:lang w:val="es-ES"/>
        </w:rPr>
        <w:t>Ovidiu</w:t>
      </w:r>
      <w:proofErr w:type="spellEnd"/>
      <w:r>
        <w:rPr>
          <w:rFonts w:ascii="Arial" w:hAnsi="Arial" w:cs="Arial"/>
          <w:sz w:val="20"/>
          <w:szCs w:val="20"/>
          <w:lang w:val="es-ES"/>
        </w:rPr>
        <w:t xml:space="preserve"> A. Bajenaru</w:t>
      </w:r>
      <w:r>
        <w:rPr>
          <w:rFonts w:ascii="Arial" w:hAnsi="Arial" w:cs="Arial"/>
          <w:sz w:val="20"/>
          <w:szCs w:val="20"/>
          <w:vertAlign w:val="superscript"/>
          <w:lang w:val="es-ES"/>
        </w:rPr>
        <w:t>†2,4</w:t>
      </w:r>
      <w:r>
        <w:rPr>
          <w:rFonts w:ascii="Arial" w:hAnsi="Arial" w:cs="Arial"/>
          <w:sz w:val="20"/>
          <w:szCs w:val="20"/>
          <w:lang w:val="es-ES"/>
        </w:rPr>
        <w:t>, Luiza Spiru</w:t>
      </w:r>
      <w:r>
        <w:rPr>
          <w:rFonts w:ascii="Arial" w:hAnsi="Arial" w:cs="Arial"/>
          <w:sz w:val="20"/>
          <w:szCs w:val="20"/>
          <w:vertAlign w:val="superscript"/>
          <w:lang w:val="es-ES"/>
        </w:rPr>
        <w:t>2,5</w:t>
      </w:r>
      <w:r>
        <w:rPr>
          <w:rFonts w:ascii="Arial" w:hAnsi="Arial" w:cs="Arial"/>
          <w:sz w:val="20"/>
          <w:szCs w:val="20"/>
          <w:lang w:val="es-ES"/>
        </w:rPr>
        <w:t>, Catalina Tudose</w:t>
      </w:r>
      <w:r>
        <w:rPr>
          <w:rFonts w:ascii="Arial" w:hAnsi="Arial" w:cs="Arial"/>
          <w:sz w:val="20"/>
          <w:szCs w:val="20"/>
          <w:vertAlign w:val="superscript"/>
          <w:lang w:val="es-ES"/>
        </w:rPr>
        <w:t>2,6</w:t>
      </w:r>
      <w:r>
        <w:rPr>
          <w:rFonts w:ascii="Arial" w:hAnsi="Arial" w:cs="Arial"/>
          <w:sz w:val="20"/>
          <w:szCs w:val="20"/>
          <w:lang w:val="es-ES"/>
        </w:rPr>
        <w:t>, Gabriel I. Prada</w:t>
      </w:r>
      <w:r>
        <w:rPr>
          <w:rFonts w:ascii="Arial" w:hAnsi="Arial" w:cs="Arial"/>
          <w:sz w:val="20"/>
          <w:szCs w:val="20"/>
          <w:vertAlign w:val="superscript"/>
          <w:lang w:val="es-ES"/>
        </w:rPr>
        <w:t>2,7</w:t>
      </w:r>
      <w:r>
        <w:rPr>
          <w:rFonts w:ascii="Arial" w:hAnsi="Arial" w:cs="Arial"/>
          <w:sz w:val="20"/>
          <w:szCs w:val="20"/>
          <w:lang w:val="es-ES"/>
        </w:rPr>
        <w:t>, Eugenia I. Davidescu</w:t>
      </w:r>
      <w:r>
        <w:rPr>
          <w:rFonts w:ascii="Arial" w:hAnsi="Arial" w:cs="Arial"/>
          <w:sz w:val="20"/>
          <w:szCs w:val="20"/>
          <w:vertAlign w:val="superscript"/>
          <w:lang w:val="es-ES"/>
        </w:rPr>
        <w:t>2,3</w:t>
      </w:r>
      <w:r>
        <w:rPr>
          <w:rFonts w:ascii="Arial" w:hAnsi="Arial" w:cs="Arial"/>
          <w:sz w:val="20"/>
          <w:szCs w:val="20"/>
          <w:lang w:val="es-ES"/>
        </w:rPr>
        <w:t>, Gerard Piñol-Ripoll</w:t>
      </w:r>
      <w:r>
        <w:rPr>
          <w:rFonts w:ascii="Arial" w:hAnsi="Arial" w:cs="Arial"/>
          <w:sz w:val="20"/>
          <w:szCs w:val="20"/>
          <w:vertAlign w:val="superscript"/>
          <w:lang w:val="es-ES"/>
        </w:rPr>
        <w:t>8</w:t>
      </w:r>
      <w:r>
        <w:rPr>
          <w:rFonts w:ascii="Arial" w:hAnsi="Arial" w:cs="Arial"/>
          <w:sz w:val="20"/>
          <w:szCs w:val="20"/>
          <w:lang w:val="es-ES"/>
        </w:rPr>
        <w:t>, Antonio Cuadrado</w:t>
      </w:r>
      <w:r>
        <w:rPr>
          <w:rFonts w:ascii="Arial" w:hAnsi="Arial" w:cs="Arial"/>
          <w:sz w:val="20"/>
          <w:szCs w:val="20"/>
          <w:vertAlign w:val="superscript"/>
          <w:lang w:val="es-ES"/>
        </w:rPr>
        <w:t>1,9,10,11,12</w:t>
      </w:r>
    </w:p>
    <w:p w14:paraId="5EBD2976" w14:textId="77777777" w:rsidR="00513AC4" w:rsidRDefault="00513AC4" w:rsidP="00513AC4">
      <w:pPr>
        <w:jc w:val="both"/>
        <w:rPr>
          <w:rFonts w:ascii="Times New Roman" w:hAnsi="Times New Roman" w:cs="Times New Roman"/>
          <w:sz w:val="24"/>
          <w:szCs w:val="24"/>
          <w:vertAlign w:val="superscript"/>
          <w:lang w:val="es-ES"/>
        </w:rPr>
      </w:pPr>
    </w:p>
    <w:p w14:paraId="19EC7BA5" w14:textId="77777777" w:rsidR="00513AC4" w:rsidRDefault="00513AC4" w:rsidP="00513AC4">
      <w:pPr>
        <w:jc w:val="both"/>
        <w:rPr>
          <w:lang w:val="en-GB"/>
        </w:rPr>
      </w:pPr>
      <w:r>
        <w:rPr>
          <w:rFonts w:ascii="Arial" w:hAnsi="Arial" w:cs="Arial"/>
          <w:sz w:val="20"/>
          <w:szCs w:val="20"/>
          <w:vertAlign w:val="superscript"/>
        </w:rPr>
        <w:t xml:space="preserve">1 </w:t>
      </w:r>
      <w:r>
        <w:rPr>
          <w:rFonts w:ascii="Arial" w:hAnsi="Arial" w:cs="Arial"/>
          <w:sz w:val="20"/>
          <w:szCs w:val="20"/>
        </w:rPr>
        <w:t xml:space="preserve">“Victor Babes” National Institute of Pathology, Bucharest 050096, Romania; </w:t>
      </w:r>
      <w:r>
        <w:rPr>
          <w:rFonts w:ascii="Arial" w:hAnsi="Arial" w:cs="Arial"/>
          <w:sz w:val="20"/>
          <w:szCs w:val="20"/>
          <w:vertAlign w:val="superscript"/>
        </w:rPr>
        <w:t>2</w:t>
      </w:r>
      <w:r>
        <w:rPr>
          <w:rFonts w:ascii="Arial" w:hAnsi="Arial" w:cs="Arial"/>
          <w:sz w:val="20"/>
          <w:szCs w:val="20"/>
        </w:rPr>
        <w:t xml:space="preserve"> “Carol Davila” University of Medicine and Pharmacy, Bucharest 020021, Romania; </w:t>
      </w:r>
      <w:r>
        <w:rPr>
          <w:rFonts w:ascii="Arial" w:hAnsi="Arial" w:cs="Arial"/>
          <w:sz w:val="20"/>
          <w:szCs w:val="20"/>
          <w:vertAlign w:val="superscript"/>
        </w:rPr>
        <w:t>3</w:t>
      </w:r>
      <w:r>
        <w:rPr>
          <w:rFonts w:ascii="Arial" w:hAnsi="Arial" w:cs="Arial"/>
          <w:sz w:val="20"/>
          <w:szCs w:val="20"/>
        </w:rPr>
        <w:t xml:space="preserve"> Neurology Department, Clinical Hospital </w:t>
      </w:r>
      <w:proofErr w:type="spellStart"/>
      <w:r>
        <w:rPr>
          <w:rFonts w:ascii="Arial" w:hAnsi="Arial" w:cs="Arial"/>
          <w:sz w:val="20"/>
          <w:szCs w:val="20"/>
        </w:rPr>
        <w:t>Colentina</w:t>
      </w:r>
      <w:proofErr w:type="spellEnd"/>
      <w:r>
        <w:rPr>
          <w:rFonts w:ascii="Arial" w:hAnsi="Arial" w:cs="Arial"/>
          <w:sz w:val="20"/>
          <w:szCs w:val="20"/>
        </w:rPr>
        <w:t xml:space="preserve">, Bucharest 020125, Romania; </w:t>
      </w:r>
      <w:r>
        <w:rPr>
          <w:rFonts w:ascii="Arial" w:hAnsi="Arial" w:cs="Arial"/>
          <w:sz w:val="20"/>
          <w:szCs w:val="20"/>
          <w:vertAlign w:val="superscript"/>
        </w:rPr>
        <w:t>4</w:t>
      </w:r>
      <w:r>
        <w:rPr>
          <w:rFonts w:ascii="Arial" w:hAnsi="Arial" w:cs="Arial"/>
          <w:sz w:val="20"/>
          <w:szCs w:val="20"/>
        </w:rPr>
        <w:t xml:space="preserve"> University Emergency Hospital, Bucharest 050098, Romania; </w:t>
      </w:r>
      <w:r>
        <w:rPr>
          <w:rFonts w:ascii="Arial" w:hAnsi="Arial" w:cs="Arial"/>
          <w:sz w:val="20"/>
          <w:szCs w:val="20"/>
          <w:vertAlign w:val="superscript"/>
        </w:rPr>
        <w:t>5</w:t>
      </w:r>
      <w:r>
        <w:rPr>
          <w:rFonts w:ascii="Arial" w:hAnsi="Arial" w:cs="Arial"/>
          <w:sz w:val="20"/>
          <w:szCs w:val="20"/>
        </w:rPr>
        <w:t xml:space="preserve"> “Ana Aslan” International Foundation, Excellence Center for Memory Diseases and Longevity Medicine, Bucharest 050064, Romania; </w:t>
      </w:r>
      <w:r>
        <w:rPr>
          <w:rFonts w:ascii="Arial" w:hAnsi="Arial" w:cs="Arial"/>
          <w:sz w:val="20"/>
          <w:szCs w:val="20"/>
          <w:vertAlign w:val="superscript"/>
        </w:rPr>
        <w:t>6</w:t>
      </w:r>
      <w:r>
        <w:rPr>
          <w:rFonts w:ascii="Arial" w:hAnsi="Arial" w:cs="Arial"/>
          <w:sz w:val="20"/>
          <w:szCs w:val="20"/>
        </w:rPr>
        <w:t xml:space="preserve"> "Prof. Dr. Al. </w:t>
      </w:r>
      <w:proofErr w:type="spellStart"/>
      <w:r>
        <w:rPr>
          <w:rFonts w:ascii="Arial" w:hAnsi="Arial" w:cs="Arial"/>
          <w:sz w:val="20"/>
          <w:szCs w:val="20"/>
        </w:rPr>
        <w:t>Obregia</w:t>
      </w:r>
      <w:proofErr w:type="spellEnd"/>
      <w:r>
        <w:rPr>
          <w:rFonts w:ascii="Arial" w:hAnsi="Arial" w:cs="Arial"/>
          <w:sz w:val="20"/>
          <w:szCs w:val="20"/>
        </w:rPr>
        <w:t xml:space="preserve">" Psychiatry Clinical Hospital &amp; The Memory Center of the Romanian Alzheimer Society, Bucharest 041914, Romania; </w:t>
      </w:r>
      <w:r>
        <w:rPr>
          <w:rFonts w:ascii="Arial" w:hAnsi="Arial" w:cs="Arial"/>
          <w:sz w:val="20"/>
          <w:szCs w:val="20"/>
          <w:vertAlign w:val="superscript"/>
        </w:rPr>
        <w:t>7</w:t>
      </w:r>
      <w:r>
        <w:rPr>
          <w:rFonts w:ascii="Arial" w:hAnsi="Arial" w:cs="Arial"/>
          <w:sz w:val="20"/>
          <w:szCs w:val="20"/>
        </w:rPr>
        <w:t xml:space="preserve"> “Ana Aslan” National Institute of Gerontology and Geriatrics, Bucharest 011241, Romania; </w:t>
      </w:r>
      <w:r>
        <w:rPr>
          <w:rFonts w:ascii="Arial" w:hAnsi="Arial" w:cs="Arial"/>
          <w:sz w:val="20"/>
          <w:szCs w:val="20"/>
          <w:vertAlign w:val="superscript"/>
        </w:rPr>
        <w:t xml:space="preserve">8 </w:t>
      </w:r>
      <w:proofErr w:type="spellStart"/>
      <w:r>
        <w:rPr>
          <w:rFonts w:ascii="Arial" w:hAnsi="Arial" w:cs="Arial"/>
          <w:sz w:val="20"/>
          <w:szCs w:val="20"/>
        </w:rPr>
        <w:t>Unitat</w:t>
      </w:r>
      <w:proofErr w:type="spellEnd"/>
      <w:r>
        <w:rPr>
          <w:rFonts w:ascii="Arial" w:hAnsi="Arial" w:cs="Arial"/>
          <w:sz w:val="20"/>
          <w:szCs w:val="20"/>
        </w:rPr>
        <w:t xml:space="preserve"> </w:t>
      </w:r>
      <w:proofErr w:type="spellStart"/>
      <w:r>
        <w:rPr>
          <w:rFonts w:ascii="Arial" w:hAnsi="Arial" w:cs="Arial"/>
          <w:sz w:val="20"/>
          <w:szCs w:val="20"/>
        </w:rPr>
        <w:t>Trastons</w:t>
      </w:r>
      <w:proofErr w:type="spellEnd"/>
      <w:r>
        <w:rPr>
          <w:rFonts w:ascii="Arial" w:hAnsi="Arial" w:cs="Arial"/>
          <w:sz w:val="20"/>
          <w:szCs w:val="20"/>
        </w:rPr>
        <w:t xml:space="preserve"> </w:t>
      </w:r>
      <w:proofErr w:type="spellStart"/>
      <w:r>
        <w:rPr>
          <w:rFonts w:ascii="Arial" w:hAnsi="Arial" w:cs="Arial"/>
          <w:sz w:val="20"/>
          <w:szCs w:val="20"/>
        </w:rPr>
        <w:t>Cognitius</w:t>
      </w:r>
      <w:proofErr w:type="spellEnd"/>
      <w:r>
        <w:rPr>
          <w:rFonts w:ascii="Arial" w:hAnsi="Arial" w:cs="Arial"/>
          <w:sz w:val="20"/>
          <w:szCs w:val="20"/>
        </w:rPr>
        <w:t xml:space="preserve">, Hospital </w:t>
      </w:r>
      <w:proofErr w:type="spellStart"/>
      <w:r>
        <w:rPr>
          <w:rFonts w:ascii="Arial" w:hAnsi="Arial" w:cs="Arial"/>
          <w:sz w:val="20"/>
          <w:szCs w:val="20"/>
        </w:rPr>
        <w:t>Universitari</w:t>
      </w:r>
      <w:proofErr w:type="spellEnd"/>
      <w:r>
        <w:rPr>
          <w:rFonts w:ascii="Arial" w:hAnsi="Arial" w:cs="Arial"/>
          <w:sz w:val="20"/>
          <w:szCs w:val="20"/>
        </w:rPr>
        <w:t xml:space="preserve"> Santa Maria-</w:t>
      </w:r>
      <w:proofErr w:type="spellStart"/>
      <w:r>
        <w:rPr>
          <w:rFonts w:ascii="Arial" w:hAnsi="Arial" w:cs="Arial"/>
          <w:sz w:val="20"/>
          <w:szCs w:val="20"/>
        </w:rPr>
        <w:t>IRBLLeida</w:t>
      </w:r>
      <w:proofErr w:type="spellEnd"/>
      <w:r>
        <w:rPr>
          <w:rFonts w:ascii="Arial" w:hAnsi="Arial" w:cs="Arial"/>
          <w:sz w:val="20"/>
          <w:szCs w:val="20"/>
        </w:rPr>
        <w:t xml:space="preserve">, Lleida 25198, Spain; </w:t>
      </w:r>
      <w:r>
        <w:rPr>
          <w:rFonts w:ascii="Arial" w:hAnsi="Arial" w:cs="Arial"/>
          <w:sz w:val="20"/>
          <w:szCs w:val="20"/>
          <w:vertAlign w:val="superscript"/>
        </w:rPr>
        <w:t>9</w:t>
      </w:r>
      <w:r>
        <w:rPr>
          <w:rFonts w:ascii="Arial" w:hAnsi="Arial" w:cs="Arial"/>
          <w:sz w:val="20"/>
          <w:szCs w:val="20"/>
        </w:rPr>
        <w:t xml:space="preserve"> Instituto de </w:t>
      </w:r>
      <w:proofErr w:type="spellStart"/>
      <w:r>
        <w:rPr>
          <w:rFonts w:ascii="Arial" w:hAnsi="Arial" w:cs="Arial"/>
          <w:sz w:val="20"/>
          <w:szCs w:val="20"/>
        </w:rPr>
        <w:t>Investigaciones</w:t>
      </w:r>
      <w:proofErr w:type="spellEnd"/>
      <w:r>
        <w:rPr>
          <w:rFonts w:ascii="Arial" w:hAnsi="Arial" w:cs="Arial"/>
          <w:sz w:val="20"/>
          <w:szCs w:val="20"/>
        </w:rPr>
        <w:t xml:space="preserve"> </w:t>
      </w:r>
      <w:proofErr w:type="spellStart"/>
      <w:r>
        <w:rPr>
          <w:rFonts w:ascii="Arial" w:hAnsi="Arial" w:cs="Arial"/>
          <w:sz w:val="20"/>
          <w:szCs w:val="20"/>
        </w:rPr>
        <w:t>Biomédicas</w:t>
      </w:r>
      <w:proofErr w:type="spellEnd"/>
      <w:r>
        <w:rPr>
          <w:rFonts w:ascii="Arial" w:hAnsi="Arial" w:cs="Arial"/>
          <w:sz w:val="20"/>
          <w:szCs w:val="20"/>
        </w:rPr>
        <w:t xml:space="preserve"> "Alberto Sols" UAM-CSIC, Madrid 28029, Spain; </w:t>
      </w:r>
      <w:r>
        <w:rPr>
          <w:rFonts w:ascii="Arial" w:hAnsi="Arial" w:cs="Arial"/>
          <w:sz w:val="20"/>
          <w:szCs w:val="20"/>
          <w:vertAlign w:val="superscript"/>
        </w:rPr>
        <w:t>10</w:t>
      </w:r>
      <w:r>
        <w:rPr>
          <w:rFonts w:ascii="Arial" w:hAnsi="Arial" w:cs="Arial"/>
          <w:sz w:val="20"/>
          <w:szCs w:val="20"/>
        </w:rPr>
        <w:t xml:space="preserve"> Department of Biochemistry, Faculty of Medicine, Autonomous University of Madrid, Madrid 28049, Spain; </w:t>
      </w:r>
      <w:r>
        <w:rPr>
          <w:rFonts w:ascii="Arial" w:hAnsi="Arial" w:cs="Arial"/>
          <w:sz w:val="20"/>
          <w:szCs w:val="20"/>
          <w:vertAlign w:val="superscript"/>
        </w:rPr>
        <w:t>11</w:t>
      </w:r>
      <w:r>
        <w:rPr>
          <w:rFonts w:ascii="Arial" w:hAnsi="Arial" w:cs="Arial"/>
          <w:sz w:val="20"/>
          <w:szCs w:val="20"/>
        </w:rPr>
        <w:t xml:space="preserve"> Instituto de </w:t>
      </w:r>
      <w:proofErr w:type="spellStart"/>
      <w:r>
        <w:rPr>
          <w:rFonts w:ascii="Arial" w:hAnsi="Arial" w:cs="Arial"/>
          <w:sz w:val="20"/>
          <w:szCs w:val="20"/>
        </w:rPr>
        <w:t>Investigación</w:t>
      </w:r>
      <w:proofErr w:type="spellEnd"/>
      <w:r>
        <w:rPr>
          <w:rFonts w:ascii="Arial" w:hAnsi="Arial" w:cs="Arial"/>
          <w:sz w:val="20"/>
          <w:szCs w:val="20"/>
        </w:rPr>
        <w:t xml:space="preserve"> Sanitaria La Paz (</w:t>
      </w:r>
      <w:proofErr w:type="spellStart"/>
      <w:r>
        <w:rPr>
          <w:rFonts w:ascii="Arial" w:hAnsi="Arial" w:cs="Arial"/>
          <w:sz w:val="20"/>
          <w:szCs w:val="20"/>
        </w:rPr>
        <w:t>IdiPaz</w:t>
      </w:r>
      <w:proofErr w:type="spellEnd"/>
      <w:r>
        <w:rPr>
          <w:rFonts w:ascii="Arial" w:hAnsi="Arial" w:cs="Arial"/>
          <w:sz w:val="20"/>
          <w:szCs w:val="20"/>
        </w:rPr>
        <w:t xml:space="preserve">), Madrid 28046, Spain; </w:t>
      </w:r>
      <w:r>
        <w:rPr>
          <w:rFonts w:ascii="Arial" w:hAnsi="Arial" w:cs="Arial"/>
          <w:sz w:val="20"/>
          <w:szCs w:val="20"/>
          <w:vertAlign w:val="superscript"/>
        </w:rPr>
        <w:t>12</w:t>
      </w:r>
      <w:r>
        <w:rPr>
          <w:rFonts w:ascii="Arial" w:hAnsi="Arial" w:cs="Arial"/>
          <w:sz w:val="20"/>
          <w:szCs w:val="20"/>
        </w:rPr>
        <w:t xml:space="preserve"> Centro de </w:t>
      </w:r>
      <w:proofErr w:type="spellStart"/>
      <w:r>
        <w:rPr>
          <w:rFonts w:ascii="Arial" w:hAnsi="Arial" w:cs="Arial"/>
          <w:sz w:val="20"/>
          <w:szCs w:val="20"/>
        </w:rPr>
        <w:t>Investigación</w:t>
      </w:r>
      <w:proofErr w:type="spellEnd"/>
      <w:r>
        <w:rPr>
          <w:rFonts w:ascii="Arial" w:hAnsi="Arial" w:cs="Arial"/>
          <w:sz w:val="20"/>
          <w:szCs w:val="20"/>
        </w:rPr>
        <w:t xml:space="preserve"> </w:t>
      </w:r>
      <w:proofErr w:type="spellStart"/>
      <w:r>
        <w:rPr>
          <w:rFonts w:ascii="Arial" w:hAnsi="Arial" w:cs="Arial"/>
          <w:sz w:val="20"/>
          <w:szCs w:val="20"/>
        </w:rPr>
        <w:t>Biomédica</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Red </w:t>
      </w:r>
      <w:proofErr w:type="spellStart"/>
      <w:r>
        <w:rPr>
          <w:rFonts w:ascii="Arial" w:hAnsi="Arial" w:cs="Arial"/>
          <w:sz w:val="20"/>
          <w:szCs w:val="20"/>
        </w:rPr>
        <w:t>Sobre</w:t>
      </w:r>
      <w:proofErr w:type="spellEnd"/>
      <w:r>
        <w:rPr>
          <w:rFonts w:ascii="Arial" w:hAnsi="Arial" w:cs="Arial"/>
          <w:sz w:val="20"/>
          <w:szCs w:val="20"/>
        </w:rPr>
        <w:t xml:space="preserve"> </w:t>
      </w:r>
      <w:proofErr w:type="spellStart"/>
      <w:r>
        <w:rPr>
          <w:rFonts w:ascii="Arial" w:hAnsi="Arial" w:cs="Arial"/>
          <w:sz w:val="20"/>
          <w:szCs w:val="20"/>
        </w:rPr>
        <w:t>Enfermedades</w:t>
      </w:r>
      <w:proofErr w:type="spellEnd"/>
      <w:r>
        <w:rPr>
          <w:rFonts w:ascii="Arial" w:hAnsi="Arial" w:cs="Arial"/>
          <w:sz w:val="20"/>
          <w:szCs w:val="20"/>
        </w:rPr>
        <w:t xml:space="preserve"> </w:t>
      </w:r>
      <w:proofErr w:type="spellStart"/>
      <w:r>
        <w:rPr>
          <w:rFonts w:ascii="Arial" w:hAnsi="Arial" w:cs="Arial"/>
          <w:sz w:val="20"/>
          <w:szCs w:val="20"/>
        </w:rPr>
        <w:t>Neurodegenerativas</w:t>
      </w:r>
      <w:proofErr w:type="spellEnd"/>
      <w:r>
        <w:rPr>
          <w:rFonts w:ascii="Arial" w:hAnsi="Arial" w:cs="Arial"/>
          <w:sz w:val="20"/>
          <w:szCs w:val="20"/>
        </w:rPr>
        <w:t xml:space="preserve"> (CIBERNED), ISCIII, Madrid 28031, Spain. † Prof. Ovidiu A. </w:t>
      </w:r>
      <w:proofErr w:type="spellStart"/>
      <w:r>
        <w:rPr>
          <w:rFonts w:ascii="Arial" w:hAnsi="Arial" w:cs="Arial"/>
          <w:sz w:val="20"/>
          <w:szCs w:val="20"/>
        </w:rPr>
        <w:t>Bajenaru</w:t>
      </w:r>
      <w:proofErr w:type="spellEnd"/>
      <w:r>
        <w:rPr>
          <w:rFonts w:ascii="Arial" w:hAnsi="Arial" w:cs="Arial"/>
          <w:sz w:val="20"/>
          <w:szCs w:val="20"/>
        </w:rPr>
        <w:t xml:space="preserve"> passed away on</w:t>
      </w:r>
      <w:r>
        <w:t xml:space="preserve"> 03.09.2020.</w:t>
      </w:r>
    </w:p>
    <w:p w14:paraId="7FC86C2F" w14:textId="77777777" w:rsidR="00AB3624" w:rsidRDefault="00AB3624" w:rsidP="00AB3624">
      <w:pPr>
        <w:jc w:val="both"/>
        <w:rPr>
          <w:rFonts w:ascii="Arial" w:eastAsia="Times New Roman" w:hAnsi="Arial" w:cs="Arial"/>
          <w:color w:val="000000"/>
          <w:sz w:val="20"/>
          <w:szCs w:val="20"/>
          <w:shd w:val="clear" w:color="auto" w:fill="FFFFFF"/>
        </w:rPr>
      </w:pPr>
    </w:p>
    <w:p w14:paraId="46EB3B70" w14:textId="77777777" w:rsidR="00AB3624" w:rsidRPr="00F97779" w:rsidRDefault="00AB3624" w:rsidP="00AB3624">
      <w:pPr>
        <w:spacing w:after="0" w:line="240" w:lineRule="auto"/>
        <w:jc w:val="both"/>
        <w:rPr>
          <w:rFonts w:ascii="Arial" w:eastAsia="Times New Roman" w:hAnsi="Arial" w:cs="Arial"/>
          <w:color w:val="000000"/>
          <w:sz w:val="20"/>
          <w:szCs w:val="20"/>
          <w:shd w:val="clear" w:color="auto" w:fill="FFFFFF"/>
        </w:rPr>
      </w:pPr>
      <w:r w:rsidRPr="00F97779">
        <w:rPr>
          <w:rFonts w:ascii="Arial" w:eastAsia="Times New Roman" w:hAnsi="Arial" w:cs="Arial"/>
          <w:color w:val="000000"/>
          <w:sz w:val="20"/>
          <w:szCs w:val="20"/>
          <w:shd w:val="clear" w:color="auto" w:fill="FFFFFF"/>
        </w:rPr>
        <w:t>Correspondence:</w:t>
      </w:r>
    </w:p>
    <w:p w14:paraId="495414F9"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Gina Manda</w:t>
      </w:r>
    </w:p>
    <w:p w14:paraId="39B573C4"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“Victor Babes” National Institute of Pathology,</w:t>
      </w:r>
      <w:r>
        <w:rPr>
          <w:rFonts w:ascii="Arial" w:eastAsia="Times New Roman" w:hAnsi="Arial" w:cs="Arial"/>
          <w:color w:val="1C1D1E"/>
          <w:sz w:val="20"/>
          <w:szCs w:val="20"/>
        </w:rPr>
        <w:t xml:space="preserve"> </w:t>
      </w:r>
      <w:r w:rsidRPr="00F97779">
        <w:rPr>
          <w:rFonts w:ascii="Arial" w:eastAsia="Times New Roman" w:hAnsi="Arial" w:cs="Arial"/>
          <w:color w:val="1C1D1E"/>
          <w:sz w:val="20"/>
          <w:szCs w:val="20"/>
        </w:rPr>
        <w:t xml:space="preserve">99-101 </w:t>
      </w:r>
      <w:proofErr w:type="spellStart"/>
      <w:r w:rsidRPr="00F97779">
        <w:rPr>
          <w:rFonts w:ascii="Arial" w:eastAsia="Times New Roman" w:hAnsi="Arial" w:cs="Arial"/>
          <w:color w:val="1C1D1E"/>
          <w:sz w:val="20"/>
          <w:szCs w:val="20"/>
        </w:rPr>
        <w:t>Splaiul</w:t>
      </w:r>
      <w:proofErr w:type="spellEnd"/>
      <w:r w:rsidRPr="00F97779">
        <w:rPr>
          <w:rFonts w:ascii="Arial" w:eastAsia="Times New Roman" w:hAnsi="Arial" w:cs="Arial"/>
          <w:color w:val="1C1D1E"/>
          <w:sz w:val="20"/>
          <w:szCs w:val="20"/>
        </w:rPr>
        <w:t xml:space="preserve"> </w:t>
      </w:r>
      <w:proofErr w:type="spellStart"/>
      <w:r w:rsidRPr="00F97779">
        <w:rPr>
          <w:rFonts w:ascii="Arial" w:eastAsia="Times New Roman" w:hAnsi="Arial" w:cs="Arial"/>
          <w:color w:val="1C1D1E"/>
          <w:sz w:val="20"/>
          <w:szCs w:val="20"/>
        </w:rPr>
        <w:t>Independentei</w:t>
      </w:r>
      <w:proofErr w:type="spellEnd"/>
      <w:r w:rsidRPr="00F97779">
        <w:rPr>
          <w:rFonts w:ascii="Arial" w:eastAsia="Times New Roman" w:hAnsi="Arial" w:cs="Arial"/>
          <w:color w:val="1C1D1E"/>
          <w:sz w:val="20"/>
          <w:szCs w:val="20"/>
        </w:rPr>
        <w:t>,</w:t>
      </w:r>
      <w:r>
        <w:rPr>
          <w:rFonts w:ascii="Arial" w:eastAsia="Times New Roman" w:hAnsi="Arial" w:cs="Arial"/>
          <w:color w:val="1C1D1E"/>
          <w:sz w:val="20"/>
          <w:szCs w:val="20"/>
        </w:rPr>
        <w:t xml:space="preserve"> </w:t>
      </w:r>
      <w:r w:rsidRPr="00F97779">
        <w:rPr>
          <w:rFonts w:ascii="Arial" w:eastAsia="Times New Roman" w:hAnsi="Arial" w:cs="Arial"/>
          <w:color w:val="1C1D1E"/>
          <w:sz w:val="20"/>
          <w:szCs w:val="20"/>
        </w:rPr>
        <w:t>050096 Bucharest, Romania</w:t>
      </w:r>
    </w:p>
    <w:p w14:paraId="012701D8"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Tel: +40 744246887</w:t>
      </w:r>
    </w:p>
    <w:p w14:paraId="507E7490"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Fax: +40 21 3194528</w:t>
      </w:r>
    </w:p>
    <w:p w14:paraId="1E4AA1E4"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 xml:space="preserve">Email: </w:t>
      </w:r>
      <w:hyperlink r:id="rId7" w:history="1">
        <w:r w:rsidRPr="00F97779">
          <w:rPr>
            <w:rStyle w:val="Hyperlink"/>
            <w:rFonts w:ascii="Arial" w:eastAsia="Times New Roman" w:hAnsi="Arial" w:cs="Arial"/>
            <w:sz w:val="20"/>
            <w:szCs w:val="20"/>
          </w:rPr>
          <w:t>gina.manda@gmail.com</w:t>
        </w:r>
      </w:hyperlink>
    </w:p>
    <w:p w14:paraId="15752F88" w14:textId="77777777" w:rsidR="00AB3624" w:rsidRDefault="00AB3624" w:rsidP="00AB3624">
      <w:pPr>
        <w:shd w:val="clear" w:color="auto" w:fill="FFFFFF"/>
        <w:spacing w:after="0" w:line="240" w:lineRule="auto"/>
        <w:jc w:val="both"/>
        <w:rPr>
          <w:rFonts w:ascii="Arial" w:eastAsia="Times New Roman" w:hAnsi="Arial" w:cs="Arial"/>
          <w:color w:val="1C1D1E"/>
          <w:sz w:val="20"/>
          <w:szCs w:val="20"/>
          <w:lang w:val="es-ES"/>
        </w:rPr>
      </w:pPr>
    </w:p>
    <w:p w14:paraId="71DBC1BF"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lang w:val="es-ES"/>
        </w:rPr>
      </w:pPr>
      <w:r w:rsidRPr="00F97779">
        <w:rPr>
          <w:rFonts w:ascii="Arial" w:eastAsia="Times New Roman" w:hAnsi="Arial" w:cs="Arial"/>
          <w:color w:val="1C1D1E"/>
          <w:sz w:val="20"/>
          <w:szCs w:val="20"/>
          <w:lang w:val="es-ES"/>
        </w:rPr>
        <w:t>Antonio Cuadrado</w:t>
      </w:r>
    </w:p>
    <w:p w14:paraId="16A4A238" w14:textId="77777777" w:rsidR="00AB3624" w:rsidRPr="007731AC" w:rsidRDefault="00AB3624" w:rsidP="00AB3624">
      <w:pPr>
        <w:shd w:val="clear" w:color="auto" w:fill="FFFFFF"/>
        <w:spacing w:after="0" w:line="240" w:lineRule="auto"/>
        <w:jc w:val="both"/>
        <w:rPr>
          <w:rFonts w:ascii="Arial" w:eastAsia="Times New Roman" w:hAnsi="Arial" w:cs="Arial"/>
          <w:color w:val="1C1D1E"/>
          <w:sz w:val="20"/>
          <w:szCs w:val="20"/>
          <w:lang w:val="es-ES"/>
        </w:rPr>
      </w:pPr>
      <w:r w:rsidRPr="00F97779">
        <w:rPr>
          <w:rFonts w:ascii="Arial" w:eastAsia="Times New Roman" w:hAnsi="Arial" w:cs="Arial"/>
          <w:color w:val="1C1D1E"/>
          <w:sz w:val="20"/>
          <w:szCs w:val="20"/>
          <w:lang w:val="es-ES"/>
        </w:rPr>
        <w:t xml:space="preserve">Instituto de Investigaciones Biomédicas "Alberto </w:t>
      </w:r>
      <w:proofErr w:type="spellStart"/>
      <w:r w:rsidRPr="00F97779">
        <w:rPr>
          <w:rFonts w:ascii="Arial" w:eastAsia="Times New Roman" w:hAnsi="Arial" w:cs="Arial"/>
          <w:color w:val="1C1D1E"/>
          <w:sz w:val="20"/>
          <w:szCs w:val="20"/>
          <w:lang w:val="es-ES"/>
        </w:rPr>
        <w:t>Sols</w:t>
      </w:r>
      <w:proofErr w:type="spellEnd"/>
      <w:r w:rsidRPr="00F97779">
        <w:rPr>
          <w:rFonts w:ascii="Arial" w:eastAsia="Times New Roman" w:hAnsi="Arial" w:cs="Arial"/>
          <w:color w:val="1C1D1E"/>
          <w:sz w:val="20"/>
          <w:szCs w:val="20"/>
          <w:lang w:val="es-ES"/>
        </w:rPr>
        <w:t xml:space="preserve">" UAM-CSIC, </w:t>
      </w:r>
      <w:r w:rsidRPr="007731AC">
        <w:rPr>
          <w:rFonts w:ascii="Arial" w:eastAsia="Times New Roman" w:hAnsi="Arial" w:cs="Arial"/>
          <w:color w:val="1C1D1E"/>
          <w:sz w:val="20"/>
          <w:szCs w:val="20"/>
          <w:lang w:val="es-ES"/>
        </w:rPr>
        <w:t xml:space="preserve">C/ Arturo </w:t>
      </w:r>
      <w:proofErr w:type="spellStart"/>
      <w:r w:rsidRPr="007731AC">
        <w:rPr>
          <w:rFonts w:ascii="Arial" w:eastAsia="Times New Roman" w:hAnsi="Arial" w:cs="Arial"/>
          <w:color w:val="1C1D1E"/>
          <w:sz w:val="20"/>
          <w:szCs w:val="20"/>
          <w:lang w:val="es-ES"/>
        </w:rPr>
        <w:t>Duperier</w:t>
      </w:r>
      <w:proofErr w:type="spellEnd"/>
      <w:r w:rsidRPr="007731AC">
        <w:rPr>
          <w:rFonts w:ascii="Arial" w:eastAsia="Times New Roman" w:hAnsi="Arial" w:cs="Arial"/>
          <w:color w:val="1C1D1E"/>
          <w:sz w:val="20"/>
          <w:szCs w:val="20"/>
          <w:lang w:val="es-ES"/>
        </w:rPr>
        <w:t xml:space="preserve"> 4</w:t>
      </w:r>
    </w:p>
    <w:p w14:paraId="44EFEC20"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28029 Madrid, Spain</w:t>
      </w:r>
    </w:p>
    <w:p w14:paraId="434260CA" w14:textId="77777777" w:rsidR="00AB3624"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Tel: +34 638 29 65 85</w:t>
      </w:r>
    </w:p>
    <w:p w14:paraId="64880510" w14:textId="77777777" w:rsidR="00AB3624" w:rsidRPr="00F97779" w:rsidRDefault="00AB3624" w:rsidP="00AB3624">
      <w:pPr>
        <w:shd w:val="clear" w:color="auto" w:fill="FFFFFF"/>
        <w:spacing w:after="0" w:line="240" w:lineRule="auto"/>
        <w:jc w:val="both"/>
        <w:rPr>
          <w:rFonts w:ascii="Arial" w:eastAsia="Times New Roman" w:hAnsi="Arial" w:cs="Arial"/>
          <w:color w:val="1C1D1E"/>
          <w:sz w:val="20"/>
          <w:szCs w:val="20"/>
        </w:rPr>
      </w:pPr>
      <w:r w:rsidRPr="007731AC">
        <w:rPr>
          <w:rFonts w:ascii="Arial" w:eastAsia="Times New Roman" w:hAnsi="Arial" w:cs="Arial"/>
          <w:color w:val="1C1D1E"/>
          <w:sz w:val="20"/>
          <w:szCs w:val="20"/>
        </w:rPr>
        <w:t>Fax:</w:t>
      </w:r>
      <w:r>
        <w:rPr>
          <w:rFonts w:ascii="Arial" w:eastAsia="Times New Roman" w:hAnsi="Arial" w:cs="Arial"/>
          <w:color w:val="1C1D1E"/>
          <w:sz w:val="20"/>
          <w:szCs w:val="20"/>
        </w:rPr>
        <w:t xml:space="preserve"> +34 915 85 44 01</w:t>
      </w:r>
    </w:p>
    <w:p w14:paraId="5137354A" w14:textId="77777777" w:rsidR="00AB3624" w:rsidRDefault="00AB3624" w:rsidP="00AB3624">
      <w:pPr>
        <w:shd w:val="clear" w:color="auto" w:fill="FFFFFF"/>
        <w:spacing w:after="0" w:line="240" w:lineRule="auto"/>
        <w:jc w:val="both"/>
        <w:rPr>
          <w:rFonts w:ascii="Arial" w:eastAsia="Times New Roman" w:hAnsi="Arial" w:cs="Arial"/>
          <w:color w:val="1C1D1E"/>
          <w:sz w:val="20"/>
          <w:szCs w:val="20"/>
        </w:rPr>
      </w:pPr>
      <w:r w:rsidRPr="00F97779">
        <w:rPr>
          <w:rFonts w:ascii="Arial" w:eastAsia="Times New Roman" w:hAnsi="Arial" w:cs="Arial"/>
          <w:color w:val="1C1D1E"/>
          <w:sz w:val="20"/>
          <w:szCs w:val="20"/>
        </w:rPr>
        <w:t xml:space="preserve">Email: </w:t>
      </w:r>
      <w:hyperlink r:id="rId8" w:history="1">
        <w:r w:rsidRPr="00F97779">
          <w:rPr>
            <w:rStyle w:val="Hyperlink"/>
            <w:rFonts w:ascii="Arial" w:eastAsia="Times New Roman" w:hAnsi="Arial" w:cs="Arial"/>
            <w:sz w:val="20"/>
            <w:szCs w:val="20"/>
          </w:rPr>
          <w:t>antonio.cuadrado@uam.es</w:t>
        </w:r>
      </w:hyperlink>
    </w:p>
    <w:p w14:paraId="303A65C5" w14:textId="77777777" w:rsidR="00981D1E" w:rsidRDefault="00981D1E">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3DC6E4" w14:textId="467B90EC" w:rsidR="009B15C3" w:rsidRPr="00A361AD" w:rsidRDefault="009B15C3" w:rsidP="00A361AD">
      <w:pPr>
        <w:spacing w:after="120" w:line="480" w:lineRule="auto"/>
        <w:jc w:val="both"/>
        <w:rPr>
          <w:rFonts w:ascii="Arial" w:eastAsia="Times New Roman" w:hAnsi="Arial" w:cs="Arial"/>
          <w:color w:val="1C1D1E"/>
          <w:sz w:val="20"/>
          <w:szCs w:val="20"/>
          <w:lang w:eastAsia="en-GB"/>
        </w:rPr>
      </w:pPr>
      <w:r w:rsidRPr="00A361AD">
        <w:rPr>
          <w:rFonts w:ascii="Arial" w:hAnsi="Arial" w:cs="Arial"/>
          <w:b/>
          <w:bCs/>
          <w:sz w:val="20"/>
          <w:szCs w:val="20"/>
        </w:rPr>
        <w:lastRenderedPageBreak/>
        <w:t xml:space="preserve">Supplementary Table 1 </w:t>
      </w:r>
      <w:r w:rsidRPr="00A361AD">
        <w:rPr>
          <w:rFonts w:ascii="Arial" w:hAnsi="Arial" w:cs="Arial"/>
          <w:bCs/>
          <w:sz w:val="20"/>
          <w:szCs w:val="20"/>
        </w:rPr>
        <w:t>Genes involved in inflammation</w:t>
      </w:r>
      <w:r w:rsidR="009F2B40" w:rsidRPr="00A361AD">
        <w:rPr>
          <w:rFonts w:ascii="Arial" w:hAnsi="Arial" w:cs="Arial"/>
          <w:b/>
          <w:bCs/>
          <w:sz w:val="20"/>
          <w:szCs w:val="20"/>
        </w:rPr>
        <w:t xml:space="preserve"> (</w:t>
      </w:r>
      <w:r w:rsidRPr="00A361AD">
        <w:rPr>
          <w:rFonts w:ascii="Arial" w:eastAsia="Times New Roman" w:hAnsi="Arial" w:cs="Arial"/>
          <w:color w:val="1C1D1E"/>
          <w:sz w:val="20"/>
          <w:szCs w:val="20"/>
          <w:lang w:eastAsia="en-GB"/>
        </w:rPr>
        <w:t xml:space="preserve">RT² Profiler™ PCR Array Human </w:t>
      </w:r>
      <w:proofErr w:type="spellStart"/>
      <w:r w:rsidRPr="00A361AD">
        <w:rPr>
          <w:rFonts w:ascii="Arial" w:eastAsia="Times New Roman" w:hAnsi="Arial" w:cs="Arial"/>
          <w:color w:val="1C1D1E"/>
          <w:sz w:val="20"/>
          <w:szCs w:val="20"/>
          <w:lang w:eastAsia="en-GB"/>
        </w:rPr>
        <w:t>NFkB</w:t>
      </w:r>
      <w:proofErr w:type="spellEnd"/>
      <w:r w:rsidRPr="00A361AD">
        <w:rPr>
          <w:rFonts w:ascii="Arial" w:eastAsia="Times New Roman" w:hAnsi="Arial" w:cs="Arial"/>
          <w:color w:val="1C1D1E"/>
          <w:sz w:val="20"/>
          <w:szCs w:val="20"/>
          <w:lang w:eastAsia="en-GB"/>
        </w:rPr>
        <w:t xml:space="preserve"> Signaling Pathway (PAHS-025Z, Qiagen) and redox metabolism (RT² Profiler™ PCR Array Human Oxidative Stress Plus (PAHS-065Y, Qiagen)</w:t>
      </w:r>
    </w:p>
    <w:tbl>
      <w:tblPr>
        <w:tblStyle w:val="TableGrid"/>
        <w:tblW w:w="0" w:type="auto"/>
        <w:tblLook w:val="04A0" w:firstRow="1" w:lastRow="0" w:firstColumn="1" w:lastColumn="0" w:noHBand="0" w:noVBand="1"/>
      </w:tblPr>
      <w:tblGrid>
        <w:gridCol w:w="8495"/>
      </w:tblGrid>
      <w:tr w:rsidR="009B15C3" w:rsidRPr="00A361AD" w14:paraId="2AD1D82C" w14:textId="77777777" w:rsidTr="00E06104">
        <w:tc>
          <w:tcPr>
            <w:tcW w:w="8495" w:type="dxa"/>
          </w:tcPr>
          <w:bookmarkEnd w:id="2"/>
          <w:p w14:paraId="5803F4C4" w14:textId="77777777" w:rsidR="009B15C3" w:rsidRPr="00A361AD" w:rsidRDefault="009B15C3" w:rsidP="00830F5F">
            <w:pPr>
              <w:spacing w:after="0" w:line="240" w:lineRule="auto"/>
              <w:rPr>
                <w:rFonts w:ascii="Arial" w:hAnsi="Arial" w:cs="Arial"/>
                <w:i/>
                <w:sz w:val="20"/>
                <w:szCs w:val="20"/>
              </w:rPr>
            </w:pPr>
            <w:r w:rsidRPr="00A361AD">
              <w:rPr>
                <w:rFonts w:ascii="Arial" w:hAnsi="Arial" w:cs="Arial"/>
                <w:b/>
                <w:bCs/>
                <w:i/>
                <w:iCs/>
                <w:sz w:val="20"/>
                <w:szCs w:val="20"/>
              </w:rPr>
              <w:t>Ligands and receptors:</w:t>
            </w:r>
            <w:r w:rsidR="009F2B40" w:rsidRPr="00A361AD">
              <w:rPr>
                <w:rFonts w:ascii="Arial" w:hAnsi="Arial" w:cs="Arial"/>
                <w:b/>
                <w:bCs/>
                <w:i/>
                <w:iCs/>
                <w:sz w:val="20"/>
                <w:szCs w:val="20"/>
              </w:rPr>
              <w:t xml:space="preserve"> </w:t>
            </w:r>
            <w:r w:rsidRPr="00A361AD">
              <w:rPr>
                <w:rFonts w:ascii="Arial" w:hAnsi="Arial" w:cs="Arial"/>
                <w:i/>
                <w:sz w:val="20"/>
                <w:szCs w:val="20"/>
              </w:rPr>
              <w:t>CD40 (TNFRSF5), CD83, EGFR, FASLG (TNFSF6), IL10, IL1A, IL1B, IL1R1, IL8, LTBR, NOD1 (CARD4), TLR1, TLR2, TLR3, TLR4, TLR6, TLR9, TNF, TNFRSF1A, TNFRSF10A, TNFRSF10B, TNFSF10.</w:t>
            </w:r>
          </w:p>
        </w:tc>
      </w:tr>
      <w:tr w:rsidR="009B15C3" w:rsidRPr="00A361AD" w14:paraId="0720569F" w14:textId="77777777" w:rsidTr="00E06104">
        <w:tc>
          <w:tcPr>
            <w:tcW w:w="8495" w:type="dxa"/>
          </w:tcPr>
          <w:p w14:paraId="4F5EE913" w14:textId="409AE94A" w:rsidR="009B15C3" w:rsidRPr="00A361AD" w:rsidRDefault="009B15C3" w:rsidP="00830F5F">
            <w:pPr>
              <w:spacing w:after="0" w:line="240" w:lineRule="auto"/>
              <w:rPr>
                <w:rFonts w:ascii="Arial" w:hAnsi="Arial" w:cs="Arial"/>
                <w:i/>
                <w:sz w:val="20"/>
                <w:szCs w:val="20"/>
              </w:rPr>
            </w:pPr>
            <w:r w:rsidRPr="00A361AD">
              <w:rPr>
                <w:rFonts w:ascii="Arial" w:hAnsi="Arial" w:cs="Arial"/>
                <w:b/>
                <w:bCs/>
                <w:i/>
                <w:iCs/>
                <w:sz w:val="20"/>
                <w:szCs w:val="20"/>
              </w:rPr>
              <w:t xml:space="preserve">Downstream </w:t>
            </w:r>
            <w:r w:rsidR="00835997" w:rsidRPr="00A361AD">
              <w:rPr>
                <w:rFonts w:ascii="Arial" w:hAnsi="Arial" w:cs="Arial"/>
                <w:b/>
                <w:bCs/>
                <w:i/>
                <w:iCs/>
                <w:sz w:val="20"/>
                <w:szCs w:val="20"/>
              </w:rPr>
              <w:t>signa</w:t>
            </w:r>
            <w:r w:rsidR="00AA3774" w:rsidRPr="00A361AD">
              <w:rPr>
                <w:rFonts w:ascii="Arial" w:hAnsi="Arial" w:cs="Arial"/>
                <w:b/>
                <w:bCs/>
                <w:i/>
                <w:iCs/>
                <w:sz w:val="20"/>
                <w:szCs w:val="20"/>
              </w:rPr>
              <w:t>l</w:t>
            </w:r>
            <w:r w:rsidR="00835997" w:rsidRPr="00A361AD">
              <w:rPr>
                <w:rFonts w:ascii="Arial" w:hAnsi="Arial" w:cs="Arial"/>
                <w:b/>
                <w:bCs/>
                <w:i/>
                <w:iCs/>
                <w:sz w:val="20"/>
                <w:szCs w:val="20"/>
              </w:rPr>
              <w:t>ling</w:t>
            </w:r>
            <w:r w:rsidRPr="00A361AD">
              <w:rPr>
                <w:rFonts w:ascii="Arial" w:hAnsi="Arial" w:cs="Arial"/>
                <w:b/>
                <w:bCs/>
                <w:i/>
                <w:iCs/>
                <w:sz w:val="20"/>
                <w:szCs w:val="20"/>
              </w:rPr>
              <w:t>:</w:t>
            </w:r>
            <w:r w:rsidR="009F2B40" w:rsidRPr="00A361AD">
              <w:rPr>
                <w:rFonts w:ascii="Arial" w:hAnsi="Arial" w:cs="Arial"/>
                <w:b/>
                <w:bCs/>
                <w:i/>
                <w:iCs/>
                <w:sz w:val="20"/>
                <w:szCs w:val="20"/>
              </w:rPr>
              <w:t xml:space="preserve"> </w:t>
            </w:r>
            <w:r w:rsidRPr="00A361AD">
              <w:rPr>
                <w:rFonts w:ascii="Arial" w:hAnsi="Arial" w:cs="Arial"/>
                <w:i/>
                <w:sz w:val="20"/>
                <w:szCs w:val="20"/>
              </w:rPr>
              <w:t xml:space="preserve">BIRC2 (c-IAP2), FADD, IRAK1, IRAK2, IRF1, MYD88, RIPK1, TBK1, TICAM1 (TRIF), TNFAIP3, TRADD, TRAF2, TRAF3, TRAF6. </w:t>
            </w:r>
          </w:p>
        </w:tc>
      </w:tr>
      <w:tr w:rsidR="009B15C3" w:rsidRPr="00A361AD" w14:paraId="05A282B3" w14:textId="77777777" w:rsidTr="00E06104">
        <w:tc>
          <w:tcPr>
            <w:tcW w:w="8495" w:type="dxa"/>
          </w:tcPr>
          <w:p w14:paraId="7EA7C7A2" w14:textId="77777777" w:rsidR="009B15C3" w:rsidRPr="00A361AD" w:rsidRDefault="009B15C3" w:rsidP="00830F5F">
            <w:pPr>
              <w:spacing w:after="0" w:line="240" w:lineRule="auto"/>
              <w:rPr>
                <w:rFonts w:ascii="Arial" w:hAnsi="Arial" w:cs="Arial"/>
                <w:i/>
                <w:sz w:val="20"/>
                <w:szCs w:val="20"/>
              </w:rPr>
            </w:pPr>
            <w:r w:rsidRPr="00A361AD">
              <w:rPr>
                <w:rFonts w:ascii="Arial" w:hAnsi="Arial" w:cs="Arial"/>
                <w:b/>
                <w:bCs/>
                <w:i/>
                <w:iCs/>
                <w:sz w:val="20"/>
                <w:szCs w:val="20"/>
              </w:rPr>
              <w:t>Cytoplasmic sequestering/releasing of NF-</w:t>
            </w:r>
            <w:proofErr w:type="spellStart"/>
            <w:r w:rsidRPr="00A361AD">
              <w:rPr>
                <w:rFonts w:ascii="Arial" w:hAnsi="Arial" w:cs="Arial"/>
                <w:b/>
                <w:bCs/>
                <w:i/>
                <w:iCs/>
                <w:sz w:val="20"/>
                <w:szCs w:val="20"/>
              </w:rPr>
              <w:t>κB</w:t>
            </w:r>
            <w:proofErr w:type="spellEnd"/>
            <w:r w:rsidRPr="00A361AD">
              <w:rPr>
                <w:rFonts w:ascii="Arial" w:hAnsi="Arial" w:cs="Arial"/>
                <w:b/>
                <w:bCs/>
                <w:i/>
                <w:iCs/>
                <w:sz w:val="20"/>
                <w:szCs w:val="20"/>
              </w:rPr>
              <w:t>:</w:t>
            </w:r>
            <w:r w:rsidR="009F2B40" w:rsidRPr="00A361AD">
              <w:rPr>
                <w:rFonts w:ascii="Arial" w:hAnsi="Arial" w:cs="Arial"/>
                <w:b/>
                <w:bCs/>
                <w:i/>
                <w:iCs/>
                <w:sz w:val="20"/>
                <w:szCs w:val="20"/>
              </w:rPr>
              <w:t xml:space="preserve"> </w:t>
            </w:r>
            <w:r w:rsidRPr="00A361AD">
              <w:rPr>
                <w:rFonts w:ascii="Arial" w:hAnsi="Arial" w:cs="Arial"/>
                <w:i/>
                <w:sz w:val="20"/>
                <w:szCs w:val="20"/>
              </w:rPr>
              <w:t>BCL3, CHUK (</w:t>
            </w:r>
            <w:proofErr w:type="spellStart"/>
            <w:r w:rsidRPr="00A361AD">
              <w:rPr>
                <w:rFonts w:ascii="Arial" w:hAnsi="Arial" w:cs="Arial"/>
                <w:i/>
                <w:sz w:val="20"/>
                <w:szCs w:val="20"/>
              </w:rPr>
              <w:t>IKKa</w:t>
            </w:r>
            <w:proofErr w:type="spellEnd"/>
            <w:r w:rsidRPr="00A361AD">
              <w:rPr>
                <w:rFonts w:ascii="Arial" w:hAnsi="Arial" w:cs="Arial"/>
                <w:i/>
                <w:sz w:val="20"/>
                <w:szCs w:val="20"/>
              </w:rPr>
              <w:t>), IKBKB, IKBKG, NFKBIA, NFKBIE.</w:t>
            </w:r>
          </w:p>
        </w:tc>
      </w:tr>
      <w:tr w:rsidR="009B15C3" w:rsidRPr="00A361AD" w14:paraId="38628406" w14:textId="77777777" w:rsidTr="00E06104">
        <w:tc>
          <w:tcPr>
            <w:tcW w:w="8495" w:type="dxa"/>
          </w:tcPr>
          <w:p w14:paraId="467CAF6B" w14:textId="77777777" w:rsidR="009B15C3" w:rsidRPr="00A361AD" w:rsidRDefault="009B15C3" w:rsidP="00830F5F">
            <w:pPr>
              <w:spacing w:after="0" w:line="240" w:lineRule="auto"/>
              <w:rPr>
                <w:rFonts w:ascii="Arial" w:hAnsi="Arial" w:cs="Arial"/>
                <w:sz w:val="20"/>
                <w:szCs w:val="20"/>
              </w:rPr>
            </w:pPr>
            <w:r w:rsidRPr="00A361AD">
              <w:rPr>
                <w:rFonts w:ascii="Arial" w:hAnsi="Arial" w:cs="Arial"/>
                <w:b/>
                <w:bCs/>
                <w:i/>
                <w:iCs/>
                <w:sz w:val="20"/>
                <w:szCs w:val="20"/>
              </w:rPr>
              <w:t>Transcription factors:</w:t>
            </w:r>
            <w:r w:rsidRPr="00A361AD">
              <w:rPr>
                <w:rFonts w:ascii="Arial" w:hAnsi="Arial" w:cs="Arial"/>
                <w:sz w:val="20"/>
                <w:szCs w:val="20"/>
              </w:rPr>
              <w:t xml:space="preserve"> </w:t>
            </w:r>
            <w:r w:rsidRPr="00A361AD">
              <w:rPr>
                <w:rFonts w:ascii="Arial" w:hAnsi="Arial" w:cs="Arial"/>
                <w:i/>
                <w:sz w:val="20"/>
                <w:szCs w:val="20"/>
              </w:rPr>
              <w:t>NFKB1, NFKB2, REL, RELA, RELB.</w:t>
            </w:r>
          </w:p>
        </w:tc>
      </w:tr>
      <w:tr w:rsidR="009B15C3" w:rsidRPr="00A361AD" w14:paraId="735D57E3" w14:textId="77777777" w:rsidTr="00E06104">
        <w:tc>
          <w:tcPr>
            <w:tcW w:w="8495" w:type="dxa"/>
          </w:tcPr>
          <w:p w14:paraId="366FA017" w14:textId="77777777" w:rsidR="009B15C3" w:rsidRPr="00A361AD" w:rsidRDefault="009B15C3" w:rsidP="00830F5F">
            <w:pPr>
              <w:spacing w:after="0" w:line="240" w:lineRule="auto"/>
              <w:rPr>
                <w:rFonts w:ascii="Arial" w:hAnsi="Arial" w:cs="Arial"/>
                <w:sz w:val="20"/>
                <w:szCs w:val="20"/>
              </w:rPr>
            </w:pPr>
            <w:r w:rsidRPr="00A361AD">
              <w:rPr>
                <w:rFonts w:ascii="Arial" w:hAnsi="Arial" w:cs="Arial"/>
                <w:b/>
                <w:bCs/>
                <w:i/>
                <w:iCs/>
                <w:sz w:val="20"/>
                <w:szCs w:val="20"/>
              </w:rPr>
              <w:t>General immune response:</w:t>
            </w:r>
            <w:r w:rsidR="009F2B40" w:rsidRPr="00A361AD">
              <w:rPr>
                <w:rFonts w:ascii="Arial" w:hAnsi="Arial" w:cs="Arial"/>
                <w:b/>
                <w:bCs/>
                <w:i/>
                <w:iCs/>
                <w:sz w:val="20"/>
                <w:szCs w:val="20"/>
              </w:rPr>
              <w:t xml:space="preserve"> </w:t>
            </w:r>
            <w:r w:rsidRPr="00A361AD">
              <w:rPr>
                <w:rFonts w:ascii="Arial" w:hAnsi="Arial" w:cs="Arial"/>
                <w:i/>
                <w:sz w:val="20"/>
                <w:szCs w:val="20"/>
              </w:rPr>
              <w:t>CCL2 (MCP-1), CCL5 (RANTES), CSF1 (MCSF), CSF2 (GM-CSF), CSF3 (GCSF), ICAM1, IFNA1, IFNG, IL8, LTA (TNFB), TNF.</w:t>
            </w:r>
            <w:r w:rsidRPr="00A361AD">
              <w:rPr>
                <w:rFonts w:ascii="Arial" w:hAnsi="Arial" w:cs="Arial"/>
                <w:sz w:val="20"/>
                <w:szCs w:val="20"/>
              </w:rPr>
              <w:t xml:space="preserve"> </w:t>
            </w:r>
          </w:p>
        </w:tc>
      </w:tr>
      <w:tr w:rsidR="009B15C3" w:rsidRPr="00A361AD" w14:paraId="59D351D6" w14:textId="77777777" w:rsidTr="00E06104">
        <w:tc>
          <w:tcPr>
            <w:tcW w:w="8495" w:type="dxa"/>
          </w:tcPr>
          <w:p w14:paraId="5F018EE2" w14:textId="77777777" w:rsidR="009B15C3" w:rsidRPr="00A361AD" w:rsidRDefault="009B15C3" w:rsidP="00830F5F">
            <w:pPr>
              <w:spacing w:after="0" w:line="240" w:lineRule="auto"/>
              <w:rPr>
                <w:rFonts w:ascii="Arial" w:hAnsi="Arial" w:cs="Arial"/>
                <w:sz w:val="20"/>
                <w:szCs w:val="20"/>
              </w:rPr>
            </w:pPr>
            <w:r w:rsidRPr="00A361AD">
              <w:rPr>
                <w:rFonts w:ascii="Arial" w:hAnsi="Arial" w:cs="Arial"/>
                <w:b/>
                <w:bCs/>
                <w:i/>
                <w:iCs/>
                <w:sz w:val="20"/>
                <w:szCs w:val="20"/>
              </w:rPr>
              <w:t>Apoptosis:</w:t>
            </w:r>
            <w:r w:rsidR="009F2B40" w:rsidRPr="00A361AD">
              <w:rPr>
                <w:rFonts w:ascii="Arial" w:hAnsi="Arial" w:cs="Arial"/>
                <w:b/>
                <w:bCs/>
                <w:i/>
                <w:iCs/>
                <w:sz w:val="20"/>
                <w:szCs w:val="20"/>
              </w:rPr>
              <w:t xml:space="preserve"> </w:t>
            </w:r>
            <w:r w:rsidRPr="00A361AD">
              <w:rPr>
                <w:rFonts w:ascii="Arial" w:hAnsi="Arial" w:cs="Arial"/>
                <w:i/>
                <w:sz w:val="20"/>
                <w:szCs w:val="20"/>
              </w:rPr>
              <w:t>AGT, BCL2A1 (BCL-X), BCL2L1, BIRC3 (c-IAP1).</w:t>
            </w:r>
            <w:r w:rsidRPr="00A361AD">
              <w:rPr>
                <w:rFonts w:ascii="Arial" w:hAnsi="Arial" w:cs="Arial"/>
                <w:sz w:val="20"/>
                <w:szCs w:val="20"/>
              </w:rPr>
              <w:t xml:space="preserve"> </w:t>
            </w:r>
          </w:p>
        </w:tc>
      </w:tr>
      <w:tr w:rsidR="009B15C3" w:rsidRPr="00A361AD" w14:paraId="2B357CD0" w14:textId="77777777" w:rsidTr="00E06104">
        <w:tc>
          <w:tcPr>
            <w:tcW w:w="8495" w:type="dxa"/>
          </w:tcPr>
          <w:p w14:paraId="1AF76180" w14:textId="77777777" w:rsidR="009B15C3" w:rsidRPr="00A361AD" w:rsidRDefault="009B15C3" w:rsidP="00830F5F">
            <w:pPr>
              <w:spacing w:after="0" w:line="240" w:lineRule="auto"/>
              <w:rPr>
                <w:rFonts w:ascii="Arial" w:hAnsi="Arial" w:cs="Arial"/>
                <w:b/>
                <w:bCs/>
                <w:i/>
                <w:iCs/>
                <w:sz w:val="20"/>
                <w:szCs w:val="20"/>
              </w:rPr>
            </w:pPr>
            <w:r w:rsidRPr="00A361AD">
              <w:rPr>
                <w:rFonts w:ascii="Arial" w:hAnsi="Arial" w:cs="Arial"/>
                <w:b/>
                <w:bCs/>
                <w:i/>
                <w:iCs/>
                <w:sz w:val="20"/>
                <w:szCs w:val="20"/>
              </w:rPr>
              <w:t>Other factors involved in the NF-</w:t>
            </w:r>
            <w:proofErr w:type="spellStart"/>
            <w:r w:rsidRPr="00A361AD">
              <w:rPr>
                <w:rFonts w:ascii="Arial" w:hAnsi="Arial" w:cs="Arial"/>
                <w:b/>
                <w:bCs/>
                <w:i/>
                <w:iCs/>
                <w:sz w:val="20"/>
                <w:szCs w:val="20"/>
              </w:rPr>
              <w:t>κB</w:t>
            </w:r>
            <w:proofErr w:type="spellEnd"/>
            <w:r w:rsidRPr="00A361AD">
              <w:rPr>
                <w:rFonts w:ascii="Arial" w:hAnsi="Arial" w:cs="Arial"/>
                <w:b/>
                <w:bCs/>
                <w:i/>
                <w:iCs/>
                <w:sz w:val="20"/>
                <w:szCs w:val="20"/>
              </w:rPr>
              <w:t xml:space="preserve"> pathway: </w:t>
            </w:r>
          </w:p>
          <w:p w14:paraId="1F642E6A" w14:textId="77777777" w:rsidR="009B15C3" w:rsidRPr="00A361AD" w:rsidRDefault="009B15C3" w:rsidP="00830F5F">
            <w:pPr>
              <w:spacing w:after="0" w:line="240" w:lineRule="auto"/>
              <w:rPr>
                <w:rFonts w:ascii="Arial" w:hAnsi="Arial" w:cs="Arial"/>
                <w:i/>
                <w:sz w:val="20"/>
                <w:szCs w:val="20"/>
              </w:rPr>
            </w:pPr>
            <w:r w:rsidRPr="00A361AD">
              <w:rPr>
                <w:rFonts w:ascii="Arial" w:hAnsi="Arial" w:cs="Arial"/>
                <w:sz w:val="20"/>
                <w:szCs w:val="20"/>
              </w:rPr>
              <w:t xml:space="preserve">Kinases: </w:t>
            </w:r>
            <w:r w:rsidRPr="00A361AD">
              <w:rPr>
                <w:rFonts w:ascii="Arial" w:hAnsi="Arial" w:cs="Arial"/>
                <w:i/>
                <w:sz w:val="20"/>
                <w:szCs w:val="20"/>
              </w:rPr>
              <w:t xml:space="preserve">AKT1, MAP3K1, RAF1. </w:t>
            </w:r>
          </w:p>
          <w:p w14:paraId="615553D9" w14:textId="77777777" w:rsidR="009B15C3" w:rsidRPr="00A361AD" w:rsidRDefault="009B15C3" w:rsidP="00830F5F">
            <w:pPr>
              <w:spacing w:after="0" w:line="240" w:lineRule="auto"/>
              <w:rPr>
                <w:rFonts w:ascii="Arial" w:hAnsi="Arial" w:cs="Arial"/>
                <w:i/>
                <w:sz w:val="20"/>
                <w:szCs w:val="20"/>
              </w:rPr>
            </w:pPr>
            <w:r w:rsidRPr="00A361AD">
              <w:rPr>
                <w:rFonts w:ascii="Arial" w:hAnsi="Arial" w:cs="Arial"/>
                <w:sz w:val="20"/>
                <w:szCs w:val="20"/>
              </w:rPr>
              <w:t xml:space="preserve">Transcription factors: </w:t>
            </w:r>
            <w:r w:rsidRPr="00A361AD">
              <w:rPr>
                <w:rFonts w:ascii="Arial" w:hAnsi="Arial" w:cs="Arial"/>
                <w:i/>
                <w:sz w:val="20"/>
                <w:szCs w:val="20"/>
              </w:rPr>
              <w:t xml:space="preserve">ATF1, EGR1, ELK1, FOS, JUN, STAT1. </w:t>
            </w:r>
          </w:p>
          <w:p w14:paraId="217EA6A4" w14:textId="77777777" w:rsidR="009B15C3" w:rsidRPr="00A361AD" w:rsidRDefault="009B15C3" w:rsidP="00830F5F">
            <w:pPr>
              <w:spacing w:after="0" w:line="240" w:lineRule="auto"/>
              <w:rPr>
                <w:rFonts w:ascii="Arial" w:hAnsi="Arial" w:cs="Arial"/>
                <w:b/>
                <w:i/>
                <w:sz w:val="20"/>
                <w:szCs w:val="20"/>
              </w:rPr>
            </w:pPr>
            <w:r w:rsidRPr="00A361AD">
              <w:rPr>
                <w:rFonts w:ascii="Arial" w:hAnsi="Arial" w:cs="Arial"/>
                <w:sz w:val="20"/>
                <w:szCs w:val="20"/>
              </w:rPr>
              <w:t xml:space="preserve">Other genes: </w:t>
            </w:r>
            <w:r w:rsidRPr="00A361AD">
              <w:rPr>
                <w:rFonts w:ascii="Arial" w:hAnsi="Arial" w:cs="Arial"/>
                <w:i/>
                <w:sz w:val="20"/>
                <w:szCs w:val="20"/>
              </w:rPr>
              <w:t>CARD11, CASP1 (ICE), CASP8, CFLAR (CASPER), HMOX1, MALT1, PSIP1, RHOA, TIMP1.</w:t>
            </w:r>
          </w:p>
          <w:p w14:paraId="12CBB042" w14:textId="77777777" w:rsidR="009B15C3" w:rsidRPr="00A361AD" w:rsidRDefault="009B15C3" w:rsidP="00830F5F">
            <w:pPr>
              <w:spacing w:after="0" w:line="240" w:lineRule="auto"/>
              <w:rPr>
                <w:rFonts w:ascii="Arial" w:hAnsi="Arial" w:cs="Arial"/>
                <w:i/>
                <w:sz w:val="20"/>
                <w:szCs w:val="20"/>
              </w:rPr>
            </w:pPr>
            <w:r w:rsidRPr="00A361AD">
              <w:rPr>
                <w:rFonts w:ascii="Arial" w:hAnsi="Arial" w:cs="Arial"/>
                <w:sz w:val="20"/>
                <w:szCs w:val="20"/>
              </w:rPr>
              <w:t xml:space="preserve">Pathway Activity Signature Genes: </w:t>
            </w:r>
            <w:r w:rsidRPr="00A361AD">
              <w:rPr>
                <w:rFonts w:ascii="Arial" w:hAnsi="Arial" w:cs="Arial"/>
                <w:i/>
                <w:sz w:val="20"/>
                <w:szCs w:val="20"/>
              </w:rPr>
              <w:t xml:space="preserve"> BIRC3, CCL20, CD83, CXCL2, CXCL3, ICAM1, IL8, IRF1, NF-KB1, NF-KBIA, NF-KBIE, STX11, TIFA, TNF, TNFAIP2, TNFAIP3</w:t>
            </w:r>
            <w:r w:rsidRPr="00A361AD">
              <w:rPr>
                <w:rFonts w:ascii="Arial" w:hAnsi="Arial" w:cs="Arial"/>
                <w:sz w:val="20"/>
                <w:szCs w:val="20"/>
              </w:rPr>
              <w:t>.</w:t>
            </w:r>
          </w:p>
        </w:tc>
      </w:tr>
      <w:tr w:rsidR="009B15C3" w:rsidRPr="00A361AD" w14:paraId="4869C06C" w14:textId="77777777" w:rsidTr="00E06104">
        <w:tc>
          <w:tcPr>
            <w:tcW w:w="8495" w:type="dxa"/>
          </w:tcPr>
          <w:p w14:paraId="3E02112D" w14:textId="77777777" w:rsidR="009B15C3" w:rsidRPr="00A361AD" w:rsidRDefault="009B15C3" w:rsidP="00830F5F">
            <w:pPr>
              <w:spacing w:after="0" w:line="240" w:lineRule="auto"/>
              <w:rPr>
                <w:rFonts w:ascii="Arial" w:eastAsia="Times New Roman" w:hAnsi="Arial" w:cs="Arial"/>
                <w:b/>
                <w:bCs/>
                <w:i/>
                <w:iCs/>
                <w:sz w:val="20"/>
                <w:szCs w:val="20"/>
              </w:rPr>
            </w:pPr>
            <w:r w:rsidRPr="00A361AD">
              <w:rPr>
                <w:rFonts w:ascii="Arial" w:eastAsia="Times New Roman" w:hAnsi="Arial" w:cs="Arial"/>
                <w:b/>
                <w:bCs/>
                <w:i/>
                <w:iCs/>
                <w:sz w:val="20"/>
                <w:szCs w:val="20"/>
              </w:rPr>
              <w:t xml:space="preserve">Endogenous antioxidant systems: </w:t>
            </w:r>
          </w:p>
          <w:p w14:paraId="7059CE7A" w14:textId="77777777" w:rsidR="009B15C3" w:rsidRPr="00A361AD" w:rsidRDefault="009B15C3" w:rsidP="00830F5F">
            <w:pPr>
              <w:spacing w:after="0" w:line="240" w:lineRule="auto"/>
              <w:rPr>
                <w:rFonts w:ascii="Arial" w:eastAsia="Times New Roman" w:hAnsi="Arial" w:cs="Arial"/>
                <w:i/>
                <w:sz w:val="20"/>
                <w:szCs w:val="20"/>
              </w:rPr>
            </w:pPr>
            <w:r w:rsidRPr="00A361AD">
              <w:rPr>
                <w:rFonts w:ascii="Arial" w:eastAsia="Times New Roman" w:hAnsi="Arial" w:cs="Arial"/>
                <w:sz w:val="20"/>
                <w:szCs w:val="20"/>
              </w:rPr>
              <w:t xml:space="preserve">Glutathione peroxidases: </w:t>
            </w:r>
            <w:r w:rsidRPr="00A361AD">
              <w:rPr>
                <w:rFonts w:ascii="Arial" w:eastAsia="Times New Roman" w:hAnsi="Arial" w:cs="Arial"/>
                <w:i/>
                <w:sz w:val="20"/>
                <w:szCs w:val="20"/>
              </w:rPr>
              <w:t xml:space="preserve">GPX1, GPX2, GPX3, GPX4, GPX5, GSTP1, GSTZ1. </w:t>
            </w:r>
          </w:p>
          <w:p w14:paraId="40530413"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sz w:val="20"/>
                <w:szCs w:val="20"/>
              </w:rPr>
              <w:t xml:space="preserve">Peroxiredoxins: </w:t>
            </w:r>
            <w:r w:rsidRPr="00A361AD">
              <w:rPr>
                <w:rFonts w:ascii="Arial" w:eastAsia="Times New Roman" w:hAnsi="Arial" w:cs="Arial"/>
                <w:i/>
                <w:sz w:val="20"/>
                <w:szCs w:val="20"/>
              </w:rPr>
              <w:t>PRDX1, PRDX2, PRDX3, PRDX4, PRDX5, PRDX6 (AOP2</w:t>
            </w:r>
            <w:r w:rsidRPr="00A361AD">
              <w:rPr>
                <w:rFonts w:ascii="Arial" w:eastAsia="Times New Roman" w:hAnsi="Arial" w:cs="Arial"/>
                <w:sz w:val="20"/>
                <w:szCs w:val="20"/>
              </w:rPr>
              <w:t>).</w:t>
            </w:r>
          </w:p>
          <w:p w14:paraId="4BD01A27" w14:textId="0D46A1FE" w:rsidR="009B15C3" w:rsidRPr="00A361AD" w:rsidRDefault="009B15C3" w:rsidP="00830F5F">
            <w:pPr>
              <w:spacing w:after="0" w:line="240" w:lineRule="auto"/>
              <w:rPr>
                <w:rFonts w:ascii="Arial" w:eastAsia="Times New Roman" w:hAnsi="Arial" w:cs="Arial"/>
                <w:i/>
                <w:sz w:val="20"/>
                <w:szCs w:val="20"/>
              </w:rPr>
            </w:pPr>
            <w:r w:rsidRPr="00A361AD">
              <w:rPr>
                <w:rFonts w:ascii="Arial" w:eastAsia="Times New Roman" w:hAnsi="Arial" w:cs="Arial"/>
                <w:sz w:val="20"/>
                <w:szCs w:val="20"/>
              </w:rPr>
              <w:t xml:space="preserve">Other Peroxidases: </w:t>
            </w:r>
            <w:r w:rsidRPr="00A361AD">
              <w:rPr>
                <w:rFonts w:ascii="Arial" w:eastAsia="Times New Roman" w:hAnsi="Arial" w:cs="Arial"/>
                <w:i/>
                <w:sz w:val="20"/>
                <w:szCs w:val="20"/>
              </w:rPr>
              <w:t xml:space="preserve">CAT, CYBB, CYGB, DUOX1, DUOX2, EPX, LPO, MPO, PTGS1, PTGS2 (COX2), TPO, TTN. </w:t>
            </w:r>
          </w:p>
          <w:p w14:paraId="09882E6D"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sz w:val="20"/>
                <w:szCs w:val="20"/>
              </w:rPr>
              <w:t xml:space="preserve">Other antioxidants: </w:t>
            </w:r>
            <w:r w:rsidRPr="00A361AD">
              <w:rPr>
                <w:rFonts w:ascii="Arial" w:eastAsia="Times New Roman" w:hAnsi="Arial" w:cs="Arial"/>
                <w:i/>
                <w:sz w:val="20"/>
                <w:szCs w:val="20"/>
              </w:rPr>
              <w:t xml:space="preserve">ALB, APOE, GSR, MT3, VIMP, SOD1, SOD3, SRXN1, TXNRD1, TXNRD2. </w:t>
            </w:r>
          </w:p>
        </w:tc>
      </w:tr>
      <w:tr w:rsidR="009B15C3" w:rsidRPr="00A361AD" w14:paraId="58B441BA" w14:textId="77777777" w:rsidTr="00E06104">
        <w:tc>
          <w:tcPr>
            <w:tcW w:w="8495" w:type="dxa"/>
          </w:tcPr>
          <w:p w14:paraId="1C07CB40" w14:textId="6FAF03DE"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b/>
                <w:bCs/>
                <w:i/>
                <w:iCs/>
                <w:sz w:val="20"/>
                <w:szCs w:val="20"/>
              </w:rPr>
              <w:t xml:space="preserve">Metabolism of </w:t>
            </w:r>
            <w:r w:rsidR="00835997" w:rsidRPr="00A361AD">
              <w:rPr>
                <w:rFonts w:ascii="Arial" w:eastAsia="Times New Roman" w:hAnsi="Arial" w:cs="Arial"/>
                <w:b/>
                <w:bCs/>
                <w:i/>
                <w:iCs/>
                <w:sz w:val="20"/>
                <w:szCs w:val="20"/>
              </w:rPr>
              <w:t>reactive oxygen species</w:t>
            </w:r>
            <w:r w:rsidRPr="00A361AD">
              <w:rPr>
                <w:rFonts w:ascii="Arial" w:eastAsia="Times New Roman" w:hAnsi="Arial" w:cs="Arial"/>
                <w:b/>
                <w:bCs/>
                <w:i/>
                <w:iCs/>
                <w:sz w:val="20"/>
                <w:szCs w:val="20"/>
              </w:rPr>
              <w:t>:</w:t>
            </w:r>
          </w:p>
          <w:p w14:paraId="720D0BD2" w14:textId="77777777" w:rsidR="009B15C3" w:rsidRPr="00A361AD" w:rsidRDefault="009B15C3" w:rsidP="00830F5F">
            <w:pPr>
              <w:spacing w:after="0" w:line="240" w:lineRule="auto"/>
              <w:rPr>
                <w:rFonts w:ascii="Arial" w:eastAsia="Times New Roman" w:hAnsi="Arial" w:cs="Arial"/>
                <w:i/>
                <w:sz w:val="20"/>
                <w:szCs w:val="20"/>
              </w:rPr>
            </w:pPr>
            <w:r w:rsidRPr="00A361AD">
              <w:rPr>
                <w:rFonts w:ascii="Arial" w:eastAsia="Times New Roman" w:hAnsi="Arial" w:cs="Arial"/>
                <w:sz w:val="20"/>
                <w:szCs w:val="20"/>
              </w:rPr>
              <w:t xml:space="preserve">Superoxide </w:t>
            </w:r>
            <w:proofErr w:type="spellStart"/>
            <w:r w:rsidRPr="00A361AD">
              <w:rPr>
                <w:rFonts w:ascii="Arial" w:eastAsia="Times New Roman" w:hAnsi="Arial" w:cs="Arial"/>
                <w:sz w:val="20"/>
                <w:szCs w:val="20"/>
              </w:rPr>
              <w:t>dismutases</w:t>
            </w:r>
            <w:proofErr w:type="spellEnd"/>
            <w:r w:rsidRPr="00A361AD">
              <w:rPr>
                <w:rFonts w:ascii="Arial" w:eastAsia="Times New Roman" w:hAnsi="Arial" w:cs="Arial"/>
                <w:sz w:val="20"/>
                <w:szCs w:val="20"/>
              </w:rPr>
              <w:t xml:space="preserve">: </w:t>
            </w:r>
            <w:r w:rsidRPr="00A361AD">
              <w:rPr>
                <w:rFonts w:ascii="Arial" w:eastAsia="Times New Roman" w:hAnsi="Arial" w:cs="Arial"/>
                <w:i/>
                <w:sz w:val="20"/>
                <w:szCs w:val="20"/>
              </w:rPr>
              <w:t xml:space="preserve">SOD1, SOD2, SOD3. </w:t>
            </w:r>
          </w:p>
          <w:p w14:paraId="798B729E"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sz w:val="20"/>
                <w:szCs w:val="20"/>
              </w:rPr>
              <w:t xml:space="preserve">Other genes involved in superoxide metabolism: </w:t>
            </w:r>
            <w:r w:rsidRPr="00A361AD">
              <w:rPr>
                <w:rFonts w:ascii="Arial" w:eastAsia="Times New Roman" w:hAnsi="Arial" w:cs="Arial"/>
                <w:i/>
                <w:sz w:val="20"/>
                <w:szCs w:val="20"/>
              </w:rPr>
              <w:t>ALOX12, CCS, DUOX1, DUOX2, MT3, NCF1, NCF2, NOS2 (</w:t>
            </w:r>
            <w:proofErr w:type="spellStart"/>
            <w:r w:rsidRPr="00A361AD">
              <w:rPr>
                <w:rFonts w:ascii="Arial" w:eastAsia="Times New Roman" w:hAnsi="Arial" w:cs="Arial"/>
                <w:i/>
                <w:sz w:val="20"/>
                <w:szCs w:val="20"/>
              </w:rPr>
              <w:t>iNOS</w:t>
            </w:r>
            <w:proofErr w:type="spellEnd"/>
            <w:r w:rsidRPr="00A361AD">
              <w:rPr>
                <w:rFonts w:ascii="Arial" w:eastAsia="Times New Roman" w:hAnsi="Arial" w:cs="Arial"/>
                <w:i/>
                <w:sz w:val="20"/>
                <w:szCs w:val="20"/>
              </w:rPr>
              <w:t>), NOX4, NOX5, UCP2.</w:t>
            </w:r>
            <w:r w:rsidRPr="00A361AD">
              <w:rPr>
                <w:rFonts w:ascii="Arial" w:eastAsia="Times New Roman" w:hAnsi="Arial" w:cs="Arial"/>
                <w:sz w:val="20"/>
                <w:szCs w:val="20"/>
              </w:rPr>
              <w:t xml:space="preserve"> </w:t>
            </w:r>
          </w:p>
          <w:p w14:paraId="75B91700" w14:textId="77777777" w:rsidR="009B15C3" w:rsidRPr="00A361AD" w:rsidRDefault="009B15C3" w:rsidP="00830F5F">
            <w:pPr>
              <w:spacing w:after="0" w:line="240" w:lineRule="auto"/>
              <w:rPr>
                <w:rFonts w:ascii="Arial" w:eastAsia="Times New Roman" w:hAnsi="Arial" w:cs="Arial"/>
                <w:i/>
                <w:sz w:val="20"/>
                <w:szCs w:val="20"/>
              </w:rPr>
            </w:pPr>
            <w:r w:rsidRPr="00A361AD">
              <w:rPr>
                <w:rFonts w:ascii="Arial" w:eastAsia="Times New Roman" w:hAnsi="Arial" w:cs="Arial"/>
                <w:sz w:val="20"/>
                <w:szCs w:val="20"/>
              </w:rPr>
              <w:t xml:space="preserve">Other genes involved in ROS metabolism: </w:t>
            </w:r>
            <w:r w:rsidRPr="00A361AD">
              <w:rPr>
                <w:rFonts w:ascii="Arial" w:eastAsia="Times New Roman" w:hAnsi="Arial" w:cs="Arial"/>
                <w:i/>
                <w:sz w:val="20"/>
                <w:szCs w:val="20"/>
              </w:rPr>
              <w:t xml:space="preserve">AOX1, BNIP3, EPHX2, MPV17, SFTPD. </w:t>
            </w:r>
          </w:p>
        </w:tc>
      </w:tr>
      <w:tr w:rsidR="009B15C3" w:rsidRPr="00A361AD" w14:paraId="3D0FC9BF" w14:textId="77777777" w:rsidTr="00E06104">
        <w:tc>
          <w:tcPr>
            <w:tcW w:w="8495" w:type="dxa"/>
          </w:tcPr>
          <w:p w14:paraId="164A579C"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b/>
                <w:bCs/>
                <w:i/>
                <w:iCs/>
                <w:sz w:val="20"/>
                <w:szCs w:val="20"/>
              </w:rPr>
              <w:t>Oxidative stress responsive genes</w:t>
            </w:r>
            <w:r w:rsidRPr="00A361AD">
              <w:rPr>
                <w:rFonts w:ascii="Arial" w:eastAsia="Times New Roman" w:hAnsi="Arial" w:cs="Arial"/>
                <w:sz w:val="20"/>
                <w:szCs w:val="20"/>
              </w:rPr>
              <w:t>:</w:t>
            </w:r>
            <w:r w:rsidRPr="00A361AD">
              <w:rPr>
                <w:rFonts w:ascii="Arial" w:eastAsia="Times New Roman" w:hAnsi="Arial" w:cs="Arial"/>
                <w:i/>
                <w:sz w:val="20"/>
                <w:szCs w:val="20"/>
              </w:rPr>
              <w:t xml:space="preserve"> APOE, ATOX1, CAT, CCL5 (RANTES), CYGB, DHCR24, DUOX1, DUOX2, DUSP1 (PTPN16), EPX, FOXM1, FTH1, GCLC, GCLM, GPX1, GPX2, GPX3, GPX4, GPX5, GSR, GSS, HMOX1, HSPA1A, KRT1, LPO, MBL2, MPO, MSRA, NQO1, NUDT1, PDLIM1, PRDX2, PRDX5, PRDX6 (AOP2), PRNP, RNF7, VIMP, SEPP1, SIRT2, SOD1, SOD2, SQSTM1, SRXN1, TPO, TTN, TXN, TXNRD1, TXNRD2.</w:t>
            </w:r>
            <w:r w:rsidRPr="00A361AD">
              <w:rPr>
                <w:rFonts w:ascii="Arial" w:eastAsia="Times New Roman" w:hAnsi="Arial" w:cs="Arial"/>
                <w:sz w:val="20"/>
                <w:szCs w:val="20"/>
              </w:rPr>
              <w:t xml:space="preserve"> </w:t>
            </w:r>
          </w:p>
        </w:tc>
      </w:tr>
      <w:tr w:rsidR="009B15C3" w:rsidRPr="00A361AD" w14:paraId="3272F6E5" w14:textId="77777777" w:rsidTr="00E06104">
        <w:tc>
          <w:tcPr>
            <w:tcW w:w="8495" w:type="dxa"/>
          </w:tcPr>
          <w:p w14:paraId="21BB8891"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b/>
                <w:bCs/>
                <w:i/>
                <w:iCs/>
                <w:sz w:val="20"/>
                <w:szCs w:val="20"/>
              </w:rPr>
              <w:t>Oxygen transporters</w:t>
            </w:r>
            <w:r w:rsidRPr="00A361AD">
              <w:rPr>
                <w:rFonts w:ascii="Arial" w:eastAsia="Times New Roman" w:hAnsi="Arial" w:cs="Arial"/>
                <w:sz w:val="20"/>
                <w:szCs w:val="20"/>
              </w:rPr>
              <w:t xml:space="preserve">: </w:t>
            </w:r>
            <w:r w:rsidRPr="00A361AD">
              <w:rPr>
                <w:rFonts w:ascii="Arial" w:eastAsia="Times New Roman" w:hAnsi="Arial" w:cs="Arial"/>
                <w:i/>
                <w:sz w:val="20"/>
                <w:szCs w:val="20"/>
              </w:rPr>
              <w:t>CYGB, MB.</w:t>
            </w:r>
          </w:p>
        </w:tc>
      </w:tr>
      <w:tr w:rsidR="009B15C3" w:rsidRPr="00A361AD" w14:paraId="02653EB8" w14:textId="77777777" w:rsidTr="00E06104">
        <w:tc>
          <w:tcPr>
            <w:tcW w:w="8495" w:type="dxa"/>
          </w:tcPr>
          <w:p w14:paraId="7F768F52" w14:textId="77777777" w:rsidR="009B15C3" w:rsidRPr="00A361AD" w:rsidRDefault="009B15C3" w:rsidP="00830F5F">
            <w:pPr>
              <w:spacing w:after="0" w:line="240" w:lineRule="auto"/>
              <w:rPr>
                <w:rFonts w:ascii="Arial" w:eastAsia="Times New Roman" w:hAnsi="Arial" w:cs="Arial"/>
                <w:sz w:val="20"/>
                <w:szCs w:val="20"/>
              </w:rPr>
            </w:pPr>
            <w:r w:rsidRPr="00A361AD">
              <w:rPr>
                <w:rFonts w:ascii="Arial" w:eastAsia="Times New Roman" w:hAnsi="Arial" w:cs="Arial"/>
                <w:b/>
                <w:bCs/>
                <w:i/>
                <w:iCs/>
                <w:sz w:val="20"/>
                <w:szCs w:val="20"/>
              </w:rPr>
              <w:t xml:space="preserve">Pathway activity signature genes: </w:t>
            </w:r>
            <w:r w:rsidRPr="00A361AD">
              <w:rPr>
                <w:rFonts w:ascii="Arial" w:eastAsia="Times New Roman" w:hAnsi="Arial" w:cs="Arial"/>
                <w:i/>
                <w:sz w:val="20"/>
                <w:szCs w:val="20"/>
              </w:rPr>
              <w:t>AKR1C2, BAG2, FHL2, GCLM, GLA, HMOX1, HSP90AA1, LHPP, NCOA7, NQO1, PTGR1, SLC7A11, SPINK1, TRAPPC6A, TXN, TXNRD1.</w:t>
            </w:r>
          </w:p>
        </w:tc>
      </w:tr>
    </w:tbl>
    <w:p w14:paraId="63161998" w14:textId="16512661" w:rsidR="00EE3B12" w:rsidRPr="00A361AD" w:rsidRDefault="009B15C3" w:rsidP="00EE3B12">
      <w:pPr>
        <w:spacing w:after="0" w:line="480" w:lineRule="auto"/>
        <w:jc w:val="both"/>
        <w:rPr>
          <w:rFonts w:ascii="Arial" w:hAnsi="Arial" w:cs="Arial"/>
          <w:sz w:val="20"/>
          <w:szCs w:val="20"/>
        </w:rPr>
      </w:pPr>
      <w:r w:rsidRPr="000A2F91">
        <w:rPr>
          <w:rFonts w:ascii="Times New Roman" w:hAnsi="Times New Roman" w:cs="Times New Roman"/>
          <w:b/>
          <w:bCs/>
          <w:sz w:val="24"/>
          <w:szCs w:val="24"/>
        </w:rPr>
        <w:br w:type="page"/>
      </w:r>
      <w:bookmarkStart w:id="3" w:name="_Hlk49962967"/>
      <w:bookmarkStart w:id="4" w:name="_Hlk49962910"/>
      <w:r w:rsidR="00EE3B12" w:rsidRPr="00A361AD">
        <w:rPr>
          <w:rFonts w:ascii="Arial" w:hAnsi="Arial" w:cs="Arial"/>
          <w:b/>
          <w:bCs/>
          <w:sz w:val="20"/>
          <w:szCs w:val="20"/>
        </w:rPr>
        <w:lastRenderedPageBreak/>
        <w:t xml:space="preserve">Supplementary Table </w:t>
      </w:r>
      <w:r w:rsidR="00EE3B12" w:rsidRPr="0061540F">
        <w:rPr>
          <w:rFonts w:ascii="Arial" w:hAnsi="Arial" w:cs="Arial"/>
          <w:b/>
          <w:bCs/>
          <w:sz w:val="20"/>
          <w:szCs w:val="20"/>
        </w:rPr>
        <w:t>2</w:t>
      </w:r>
      <w:r w:rsidR="00EE3B12" w:rsidRPr="00A361AD">
        <w:rPr>
          <w:rFonts w:ascii="Arial" w:hAnsi="Arial" w:cs="Arial"/>
          <w:b/>
          <w:bCs/>
          <w:sz w:val="20"/>
          <w:szCs w:val="20"/>
        </w:rPr>
        <w:t xml:space="preserve"> </w:t>
      </w:r>
      <w:r w:rsidR="00EE3B12" w:rsidRPr="00A361AD">
        <w:rPr>
          <w:rFonts w:ascii="Arial" w:hAnsi="Arial" w:cs="Arial"/>
          <w:sz w:val="20"/>
          <w:szCs w:val="20"/>
        </w:rPr>
        <w:t xml:space="preserve">Cardiovascular markers in the serum of a sub-group of elderly subjects (24 CVD patients and 22 controls), assessed by protein multiplexing using the </w:t>
      </w:r>
      <w:r w:rsidR="00EE3B12" w:rsidRPr="00A361AD">
        <w:rPr>
          <w:rFonts w:ascii="Arial" w:hAnsi="Arial" w:cs="Arial"/>
          <w:color w:val="222222"/>
          <w:sz w:val="20"/>
          <w:szCs w:val="20"/>
          <w:shd w:val="clear" w:color="auto" w:fill="FFFFFF"/>
        </w:rPr>
        <w:t xml:space="preserve">MILLIPLEX MAP Human Cardiovascular Disease (CVD) Magnetic Bead Panel 1 (Merck Millipore) on the Luminex 200 equipment. </w:t>
      </w:r>
      <w:r w:rsidR="00EE3B12" w:rsidRPr="00A361AD">
        <w:rPr>
          <w:rFonts w:ascii="Arial" w:hAnsi="Arial" w:cs="Arial"/>
          <w:sz w:val="20"/>
          <w:szCs w:val="20"/>
        </w:rPr>
        <w:t>Results are presented as mean concentration ± standard error of the mean (SEM). The Mann-Whitney U test was used for comparisons between groups</w:t>
      </w:r>
    </w:p>
    <w:bookmarkEnd w:id="3"/>
    <w:p w14:paraId="61E0C9FD" w14:textId="77777777" w:rsidR="00EE3B12" w:rsidRPr="000A2F91" w:rsidRDefault="00EE3B12" w:rsidP="00EE3B12">
      <w:pPr>
        <w:jc w:val="both"/>
        <w:rPr>
          <w:rFonts w:ascii="Times New Roman" w:hAnsi="Times New Roman" w:cs="Times New Roman"/>
          <w:i/>
          <w:iCs/>
          <w:sz w:val="24"/>
          <w:szCs w:val="24"/>
        </w:rPr>
      </w:pPr>
    </w:p>
    <w:tbl>
      <w:tblPr>
        <w:tblStyle w:val="TableGrid"/>
        <w:tblW w:w="5000" w:type="pct"/>
        <w:tblLook w:val="04A0" w:firstRow="1" w:lastRow="0" w:firstColumn="1" w:lastColumn="0" w:noHBand="0" w:noVBand="1"/>
      </w:tblPr>
      <w:tblGrid>
        <w:gridCol w:w="1439"/>
        <w:gridCol w:w="1486"/>
        <w:gridCol w:w="1539"/>
        <w:gridCol w:w="828"/>
        <w:gridCol w:w="1539"/>
        <w:gridCol w:w="828"/>
        <w:gridCol w:w="836"/>
      </w:tblGrid>
      <w:tr w:rsidR="00EE3B12" w:rsidRPr="000A2F91" w14:paraId="478B0A14" w14:textId="77777777" w:rsidTr="00235CCE">
        <w:tc>
          <w:tcPr>
            <w:tcW w:w="1823" w:type="pct"/>
            <w:gridSpan w:val="2"/>
            <w:vAlign w:val="center"/>
          </w:tcPr>
          <w:p w14:paraId="07B1CCB9" w14:textId="77777777" w:rsidR="00EE3B12" w:rsidRPr="00E06104" w:rsidRDefault="00EE3B12" w:rsidP="00830F5F">
            <w:pPr>
              <w:spacing w:after="0" w:line="360" w:lineRule="auto"/>
              <w:jc w:val="center"/>
              <w:rPr>
                <w:rFonts w:ascii="Arial" w:hAnsi="Arial" w:cs="Arial"/>
                <w:b/>
                <w:sz w:val="20"/>
                <w:szCs w:val="20"/>
              </w:rPr>
            </w:pPr>
            <w:r w:rsidRPr="00E06104">
              <w:rPr>
                <w:rFonts w:ascii="Arial" w:hAnsi="Arial" w:cs="Arial"/>
                <w:b/>
                <w:sz w:val="20"/>
                <w:szCs w:val="20"/>
              </w:rPr>
              <w:t>Serum cardiovascular markers</w:t>
            </w:r>
          </w:p>
        </w:tc>
        <w:tc>
          <w:tcPr>
            <w:tcW w:w="1285" w:type="pct"/>
            <w:gridSpan w:val="2"/>
            <w:vAlign w:val="center"/>
          </w:tcPr>
          <w:p w14:paraId="4B079891" w14:textId="77777777" w:rsidR="00EE3B12" w:rsidRPr="00E06104" w:rsidRDefault="00EE3B12" w:rsidP="00830F5F">
            <w:pPr>
              <w:spacing w:after="0" w:line="360" w:lineRule="auto"/>
              <w:jc w:val="center"/>
              <w:rPr>
                <w:rFonts w:ascii="Arial" w:hAnsi="Arial" w:cs="Arial"/>
                <w:b/>
                <w:sz w:val="20"/>
                <w:szCs w:val="20"/>
              </w:rPr>
            </w:pPr>
            <w:r w:rsidRPr="00E06104">
              <w:rPr>
                <w:rFonts w:ascii="Arial" w:hAnsi="Arial" w:cs="Arial"/>
                <w:b/>
                <w:sz w:val="20"/>
                <w:szCs w:val="20"/>
              </w:rPr>
              <w:t>CVD patients (n=24)</w:t>
            </w:r>
          </w:p>
        </w:tc>
        <w:tc>
          <w:tcPr>
            <w:tcW w:w="1335" w:type="pct"/>
            <w:gridSpan w:val="2"/>
            <w:vAlign w:val="center"/>
          </w:tcPr>
          <w:p w14:paraId="7D74D7D3" w14:textId="77777777" w:rsidR="00EE3B12" w:rsidRPr="00E06104" w:rsidRDefault="00EE3B12" w:rsidP="00830F5F">
            <w:pPr>
              <w:spacing w:after="0" w:line="360" w:lineRule="auto"/>
              <w:jc w:val="center"/>
              <w:rPr>
                <w:rFonts w:ascii="Arial" w:hAnsi="Arial" w:cs="Arial"/>
                <w:b/>
                <w:sz w:val="20"/>
                <w:szCs w:val="20"/>
              </w:rPr>
            </w:pPr>
            <w:r w:rsidRPr="00E06104">
              <w:rPr>
                <w:rFonts w:ascii="Arial" w:hAnsi="Arial" w:cs="Arial"/>
                <w:b/>
                <w:sz w:val="20"/>
                <w:szCs w:val="20"/>
              </w:rPr>
              <w:t>Controls (n=22)</w:t>
            </w:r>
          </w:p>
        </w:tc>
        <w:tc>
          <w:tcPr>
            <w:tcW w:w="557" w:type="pct"/>
            <w:vMerge w:val="restart"/>
            <w:vAlign w:val="center"/>
          </w:tcPr>
          <w:p w14:paraId="0688C21A" w14:textId="77777777" w:rsidR="00EE3B12" w:rsidRPr="00E06104" w:rsidRDefault="00EE3B12" w:rsidP="00830F5F">
            <w:pPr>
              <w:spacing w:after="0" w:line="360" w:lineRule="auto"/>
              <w:jc w:val="center"/>
              <w:rPr>
                <w:rFonts w:ascii="Arial" w:hAnsi="Arial" w:cs="Arial"/>
                <w:b/>
                <w:sz w:val="20"/>
                <w:szCs w:val="20"/>
              </w:rPr>
            </w:pPr>
            <w:r w:rsidRPr="00E06104">
              <w:rPr>
                <w:rFonts w:ascii="Arial" w:hAnsi="Arial" w:cs="Arial"/>
                <w:b/>
                <w:i/>
                <w:iCs/>
                <w:sz w:val="20"/>
                <w:szCs w:val="20"/>
              </w:rPr>
              <w:t>p-value</w:t>
            </w:r>
          </w:p>
        </w:tc>
      </w:tr>
      <w:tr w:rsidR="00EE3B12" w:rsidRPr="000A2F91" w14:paraId="361671D0" w14:textId="77777777" w:rsidTr="00235CCE">
        <w:trPr>
          <w:trHeight w:val="1070"/>
        </w:trPr>
        <w:tc>
          <w:tcPr>
            <w:tcW w:w="894" w:type="pct"/>
            <w:vAlign w:val="center"/>
          </w:tcPr>
          <w:p w14:paraId="3C0E88AB" w14:textId="77777777" w:rsidR="00EE3B12" w:rsidRPr="00E06104" w:rsidRDefault="00EE3B12" w:rsidP="00830F5F">
            <w:pPr>
              <w:spacing w:after="0" w:line="360" w:lineRule="auto"/>
              <w:rPr>
                <w:rFonts w:ascii="Arial" w:hAnsi="Arial" w:cs="Arial"/>
                <w:b/>
                <w:i/>
                <w:iCs/>
                <w:sz w:val="20"/>
                <w:szCs w:val="20"/>
              </w:rPr>
            </w:pPr>
            <w:r w:rsidRPr="00E06104">
              <w:rPr>
                <w:rFonts w:ascii="Arial" w:hAnsi="Arial" w:cs="Arial"/>
                <w:b/>
                <w:i/>
                <w:iCs/>
                <w:sz w:val="20"/>
                <w:szCs w:val="20"/>
              </w:rPr>
              <w:t>Abbreviation</w:t>
            </w:r>
          </w:p>
        </w:tc>
        <w:tc>
          <w:tcPr>
            <w:tcW w:w="928" w:type="pct"/>
            <w:vAlign w:val="center"/>
          </w:tcPr>
          <w:p w14:paraId="149DD513" w14:textId="77777777" w:rsidR="00EE3B12" w:rsidRPr="00E06104" w:rsidRDefault="00EE3B12" w:rsidP="00830F5F">
            <w:pPr>
              <w:spacing w:after="0" w:line="360" w:lineRule="auto"/>
              <w:rPr>
                <w:rFonts w:ascii="Arial" w:hAnsi="Arial" w:cs="Arial"/>
                <w:b/>
                <w:i/>
                <w:iCs/>
                <w:sz w:val="20"/>
                <w:szCs w:val="20"/>
              </w:rPr>
            </w:pPr>
            <w:r w:rsidRPr="00E06104">
              <w:rPr>
                <w:rFonts w:ascii="Arial" w:hAnsi="Arial" w:cs="Arial"/>
                <w:b/>
                <w:i/>
                <w:iCs/>
                <w:sz w:val="20"/>
                <w:szCs w:val="20"/>
              </w:rPr>
              <w:t>Molecule</w:t>
            </w:r>
          </w:p>
        </w:tc>
        <w:tc>
          <w:tcPr>
            <w:tcW w:w="762" w:type="pct"/>
            <w:vAlign w:val="center"/>
          </w:tcPr>
          <w:p w14:paraId="06040249" w14:textId="77777777" w:rsidR="00EE3B12" w:rsidRPr="00E06104" w:rsidRDefault="00EE3B12" w:rsidP="00830F5F">
            <w:pPr>
              <w:spacing w:after="0" w:line="360" w:lineRule="auto"/>
              <w:jc w:val="center"/>
              <w:rPr>
                <w:rFonts w:ascii="Arial" w:hAnsi="Arial" w:cs="Arial"/>
                <w:b/>
                <w:i/>
                <w:iCs/>
                <w:sz w:val="20"/>
                <w:szCs w:val="20"/>
              </w:rPr>
            </w:pPr>
            <w:r w:rsidRPr="00E06104">
              <w:rPr>
                <w:rFonts w:ascii="Arial" w:hAnsi="Arial" w:cs="Arial"/>
                <w:b/>
                <w:i/>
                <w:iCs/>
                <w:sz w:val="20"/>
                <w:szCs w:val="20"/>
              </w:rPr>
              <w:t>Mean concentration (</w:t>
            </w:r>
            <w:proofErr w:type="spellStart"/>
            <w:r w:rsidRPr="00E06104">
              <w:rPr>
                <w:rFonts w:ascii="Arial" w:hAnsi="Arial" w:cs="Arial"/>
                <w:b/>
                <w:i/>
                <w:iCs/>
                <w:sz w:val="20"/>
                <w:szCs w:val="20"/>
              </w:rPr>
              <w:t>pg</w:t>
            </w:r>
            <w:proofErr w:type="spellEnd"/>
            <w:r w:rsidRPr="00E06104">
              <w:rPr>
                <w:rFonts w:ascii="Arial" w:hAnsi="Arial" w:cs="Arial"/>
                <w:b/>
                <w:i/>
                <w:iCs/>
                <w:sz w:val="20"/>
                <w:szCs w:val="20"/>
              </w:rPr>
              <w:t>/mL)</w:t>
            </w:r>
          </w:p>
        </w:tc>
        <w:tc>
          <w:tcPr>
            <w:tcW w:w="523" w:type="pct"/>
            <w:vAlign w:val="center"/>
          </w:tcPr>
          <w:p w14:paraId="62D86FD4" w14:textId="77777777" w:rsidR="00EE3B12" w:rsidRPr="00E06104" w:rsidRDefault="00EE3B12" w:rsidP="00830F5F">
            <w:pPr>
              <w:spacing w:after="0" w:line="360" w:lineRule="auto"/>
              <w:jc w:val="center"/>
              <w:rPr>
                <w:rFonts w:ascii="Arial" w:hAnsi="Arial" w:cs="Arial"/>
                <w:b/>
                <w:i/>
                <w:iCs/>
                <w:sz w:val="20"/>
                <w:szCs w:val="20"/>
              </w:rPr>
            </w:pPr>
            <w:r w:rsidRPr="00E06104">
              <w:rPr>
                <w:rFonts w:ascii="Arial" w:hAnsi="Arial" w:cs="Arial"/>
                <w:b/>
                <w:i/>
                <w:iCs/>
                <w:sz w:val="20"/>
                <w:szCs w:val="20"/>
              </w:rPr>
              <w:t>SEM</w:t>
            </w:r>
          </w:p>
        </w:tc>
        <w:tc>
          <w:tcPr>
            <w:tcW w:w="860" w:type="pct"/>
            <w:vAlign w:val="center"/>
          </w:tcPr>
          <w:p w14:paraId="2446F288" w14:textId="77777777" w:rsidR="00EE3B12" w:rsidRPr="00E06104" w:rsidRDefault="00EE3B12" w:rsidP="00830F5F">
            <w:pPr>
              <w:spacing w:after="0" w:line="360" w:lineRule="auto"/>
              <w:jc w:val="center"/>
              <w:rPr>
                <w:rFonts w:ascii="Arial" w:hAnsi="Arial" w:cs="Arial"/>
                <w:b/>
                <w:i/>
                <w:iCs/>
                <w:sz w:val="20"/>
                <w:szCs w:val="20"/>
              </w:rPr>
            </w:pPr>
            <w:r w:rsidRPr="00E06104">
              <w:rPr>
                <w:rFonts w:ascii="Arial" w:hAnsi="Arial" w:cs="Arial"/>
                <w:b/>
                <w:i/>
                <w:iCs/>
                <w:sz w:val="20"/>
                <w:szCs w:val="20"/>
              </w:rPr>
              <w:t>Mean concentration</w:t>
            </w:r>
          </w:p>
          <w:p w14:paraId="50D30F11" w14:textId="77777777" w:rsidR="00EE3B12" w:rsidRPr="00E06104" w:rsidRDefault="00EE3B12" w:rsidP="00830F5F">
            <w:pPr>
              <w:spacing w:after="0" w:line="360" w:lineRule="auto"/>
              <w:jc w:val="center"/>
              <w:rPr>
                <w:rFonts w:ascii="Arial" w:hAnsi="Arial" w:cs="Arial"/>
                <w:b/>
                <w:i/>
                <w:iCs/>
                <w:sz w:val="20"/>
                <w:szCs w:val="20"/>
              </w:rPr>
            </w:pPr>
            <w:r w:rsidRPr="00E06104">
              <w:rPr>
                <w:rFonts w:ascii="Arial" w:hAnsi="Arial" w:cs="Arial"/>
                <w:b/>
                <w:i/>
                <w:iCs/>
                <w:sz w:val="20"/>
                <w:szCs w:val="20"/>
              </w:rPr>
              <w:t>(</w:t>
            </w:r>
            <w:proofErr w:type="spellStart"/>
            <w:r w:rsidRPr="00E06104">
              <w:rPr>
                <w:rFonts w:ascii="Arial" w:hAnsi="Arial" w:cs="Arial"/>
                <w:b/>
                <w:i/>
                <w:iCs/>
                <w:sz w:val="20"/>
                <w:szCs w:val="20"/>
              </w:rPr>
              <w:t>pg</w:t>
            </w:r>
            <w:proofErr w:type="spellEnd"/>
            <w:r w:rsidRPr="00E06104">
              <w:rPr>
                <w:rFonts w:ascii="Arial" w:hAnsi="Arial" w:cs="Arial"/>
                <w:b/>
                <w:i/>
                <w:iCs/>
                <w:sz w:val="20"/>
                <w:szCs w:val="20"/>
              </w:rPr>
              <w:t>/mL)</w:t>
            </w:r>
          </w:p>
        </w:tc>
        <w:tc>
          <w:tcPr>
            <w:tcW w:w="475" w:type="pct"/>
            <w:vAlign w:val="center"/>
          </w:tcPr>
          <w:p w14:paraId="4BF5D9D7" w14:textId="77777777" w:rsidR="00EE3B12" w:rsidRPr="00E06104" w:rsidRDefault="00EE3B12" w:rsidP="00830F5F">
            <w:pPr>
              <w:spacing w:after="0" w:line="360" w:lineRule="auto"/>
              <w:jc w:val="center"/>
              <w:rPr>
                <w:rFonts w:ascii="Arial" w:hAnsi="Arial" w:cs="Arial"/>
                <w:b/>
                <w:i/>
                <w:iCs/>
                <w:sz w:val="20"/>
                <w:szCs w:val="20"/>
              </w:rPr>
            </w:pPr>
            <w:r w:rsidRPr="00E06104">
              <w:rPr>
                <w:rFonts w:ascii="Arial" w:hAnsi="Arial" w:cs="Arial"/>
                <w:b/>
                <w:i/>
                <w:iCs/>
                <w:sz w:val="20"/>
                <w:szCs w:val="20"/>
              </w:rPr>
              <w:t>SEM</w:t>
            </w:r>
          </w:p>
        </w:tc>
        <w:tc>
          <w:tcPr>
            <w:tcW w:w="557" w:type="pct"/>
            <w:vMerge/>
            <w:vAlign w:val="center"/>
          </w:tcPr>
          <w:p w14:paraId="31B2DEB4" w14:textId="77777777" w:rsidR="00EE3B12" w:rsidRPr="00E06104" w:rsidRDefault="00EE3B12" w:rsidP="00830F5F">
            <w:pPr>
              <w:spacing w:after="0" w:line="360" w:lineRule="auto"/>
              <w:jc w:val="center"/>
              <w:rPr>
                <w:rFonts w:ascii="Arial" w:hAnsi="Arial" w:cs="Arial"/>
                <w:b/>
                <w:i/>
                <w:iCs/>
                <w:sz w:val="20"/>
                <w:szCs w:val="20"/>
              </w:rPr>
            </w:pPr>
          </w:p>
        </w:tc>
      </w:tr>
      <w:tr w:rsidR="00EE3B12" w:rsidRPr="000A2F91" w14:paraId="470CEC8B" w14:textId="77777777" w:rsidTr="00235CCE">
        <w:tc>
          <w:tcPr>
            <w:tcW w:w="894" w:type="pct"/>
            <w:vAlign w:val="center"/>
          </w:tcPr>
          <w:p w14:paraId="16190AE9"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CK_MB</w:t>
            </w:r>
          </w:p>
        </w:tc>
        <w:tc>
          <w:tcPr>
            <w:tcW w:w="928" w:type="pct"/>
            <w:vAlign w:val="center"/>
          </w:tcPr>
          <w:p w14:paraId="59C45805" w14:textId="77777777" w:rsidR="00EE3B12" w:rsidRPr="00E06104" w:rsidRDefault="00EE3B12" w:rsidP="00830F5F">
            <w:pPr>
              <w:shd w:val="clear" w:color="auto" w:fill="FFFFFF"/>
              <w:spacing w:after="0" w:line="360" w:lineRule="auto"/>
              <w:rPr>
                <w:rFonts w:ascii="Arial" w:hAnsi="Arial" w:cs="Arial"/>
                <w:bCs/>
                <w:sz w:val="20"/>
                <w:szCs w:val="20"/>
              </w:rPr>
            </w:pPr>
            <w:r w:rsidRPr="00E06104">
              <w:rPr>
                <w:rFonts w:ascii="Arial" w:hAnsi="Arial" w:cs="Arial"/>
                <w:bCs/>
                <w:sz w:val="20"/>
                <w:szCs w:val="20"/>
              </w:rPr>
              <w:t>Creatinine kinase - MB isoenzyme</w:t>
            </w:r>
            <w:r>
              <w:rPr>
                <w:rFonts w:ascii="Arial" w:hAnsi="Arial" w:cs="Arial"/>
                <w:bCs/>
                <w:sz w:val="20"/>
                <w:szCs w:val="20"/>
              </w:rPr>
              <w:fldChar w:fldCharType="begin" w:fldLock="1"/>
            </w:r>
            <w:r>
              <w:rPr>
                <w:rFonts w:ascii="Arial" w:hAnsi="Arial" w:cs="Arial"/>
                <w:bCs/>
                <w:sz w:val="20"/>
                <w:szCs w:val="20"/>
              </w:rPr>
              <w:instrText>ADDIN CSL_CITATION {"citationItems":[{"id":"ITEM-1","itemData":{"DOI":"10.1111/j.0954-6820.1979.tb00693.x","ISSN":"00016101","author":[{"dropping-particle":"","family":"Nordlander","given":"Rolf","non-dropping-particle":"","parse-names":false,"suffix":""}],"container-title":"Acta Medica Scandinavica","id":"ITEM-1","issue":"S623","issued":{"date-parts":[["2009","4","24"]]},"page":"18-26","title":"Enzymes in acute myocardial infarction. Diagnosis with special reference to creatine kinase MB isoenzyme","type":"article-journal","volume":"205"},"uris":["http://www.mendeley.com/documents/?uuid=b304b7bc-ee0a-4b60-8e5b-e372dbdc9083"]}],"mendeley":{"formattedCitation":"&lt;sup&gt;1&lt;/sup&gt;","plainTextFormattedCitation":"1","previouslyFormattedCitation":"&lt;sup&gt;1&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1</w:t>
            </w:r>
            <w:r>
              <w:rPr>
                <w:rFonts w:ascii="Arial" w:hAnsi="Arial" w:cs="Arial"/>
                <w:bCs/>
                <w:sz w:val="20"/>
                <w:szCs w:val="20"/>
              </w:rPr>
              <w:fldChar w:fldCharType="end"/>
            </w:r>
            <w:r w:rsidRPr="00E06104">
              <w:rPr>
                <w:rFonts w:ascii="Arial" w:hAnsi="Arial" w:cs="Arial"/>
                <w:bCs/>
                <w:sz w:val="20"/>
                <w:szCs w:val="20"/>
              </w:rPr>
              <w:t xml:space="preserve"> </w:t>
            </w:r>
          </w:p>
        </w:tc>
        <w:tc>
          <w:tcPr>
            <w:tcW w:w="762" w:type="pct"/>
            <w:vAlign w:val="center"/>
          </w:tcPr>
          <w:p w14:paraId="5C71ADAD"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6462.9</w:t>
            </w:r>
          </w:p>
        </w:tc>
        <w:tc>
          <w:tcPr>
            <w:tcW w:w="523" w:type="pct"/>
            <w:vAlign w:val="center"/>
          </w:tcPr>
          <w:p w14:paraId="1020BB57"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920.3</w:t>
            </w:r>
          </w:p>
        </w:tc>
        <w:tc>
          <w:tcPr>
            <w:tcW w:w="860" w:type="pct"/>
            <w:vAlign w:val="center"/>
          </w:tcPr>
          <w:p w14:paraId="52BFA4E3"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6255.9</w:t>
            </w:r>
          </w:p>
        </w:tc>
        <w:tc>
          <w:tcPr>
            <w:tcW w:w="475" w:type="pct"/>
            <w:vAlign w:val="center"/>
          </w:tcPr>
          <w:p w14:paraId="1D257FB8"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1123.4</w:t>
            </w:r>
          </w:p>
        </w:tc>
        <w:tc>
          <w:tcPr>
            <w:tcW w:w="557" w:type="pct"/>
            <w:vAlign w:val="center"/>
          </w:tcPr>
          <w:p w14:paraId="42A174D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0.717</w:t>
            </w:r>
          </w:p>
        </w:tc>
      </w:tr>
      <w:tr w:rsidR="00EE3B12" w:rsidRPr="000A2F91" w14:paraId="65BC32AB" w14:textId="77777777" w:rsidTr="00235CCE">
        <w:tc>
          <w:tcPr>
            <w:tcW w:w="894" w:type="pct"/>
            <w:vAlign w:val="center"/>
          </w:tcPr>
          <w:p w14:paraId="55DB7B6B"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TROPONIN1</w:t>
            </w:r>
          </w:p>
        </w:tc>
        <w:tc>
          <w:tcPr>
            <w:tcW w:w="928" w:type="pct"/>
            <w:vAlign w:val="center"/>
          </w:tcPr>
          <w:p w14:paraId="601A996D" w14:textId="77777777" w:rsidR="00EE3B12" w:rsidRPr="00E06104" w:rsidRDefault="00EE3B12" w:rsidP="00830F5F">
            <w:pPr>
              <w:spacing w:after="0" w:line="360" w:lineRule="auto"/>
              <w:rPr>
                <w:rFonts w:ascii="Arial" w:eastAsia="Times New Roman" w:hAnsi="Arial" w:cs="Arial"/>
                <w:color w:val="000000" w:themeColor="text1"/>
                <w:sz w:val="20"/>
                <w:szCs w:val="20"/>
                <w:lang w:eastAsia="en-GB"/>
              </w:rPr>
            </w:pPr>
            <w:r w:rsidRPr="00E06104">
              <w:rPr>
                <w:rFonts w:ascii="Arial" w:hAnsi="Arial" w:cs="Arial"/>
                <w:bCs/>
                <w:sz w:val="20"/>
                <w:szCs w:val="20"/>
              </w:rPr>
              <w:t>Troponine</w:t>
            </w:r>
            <w:r>
              <w:rPr>
                <w:rFonts w:ascii="Arial" w:hAnsi="Arial" w:cs="Arial"/>
                <w:bCs/>
                <w:sz w:val="20"/>
                <w:szCs w:val="20"/>
              </w:rPr>
              <w:fldChar w:fldCharType="begin" w:fldLock="1"/>
            </w:r>
            <w:r>
              <w:rPr>
                <w:rFonts w:ascii="Arial" w:hAnsi="Arial" w:cs="Arial"/>
                <w:bCs/>
                <w:sz w:val="20"/>
                <w:szCs w:val="20"/>
              </w:rPr>
              <w:instrText>ADDIN CSL_CITATION {"citationItems":[{"id":"ITEM-1","itemData":{"DOI":"10.1136/jcp.2003.015420","ISSN":"0021-9746","author":[{"dropping-particle":"","family":"Sharma","given":"S","non-dropping-particle":"","parse-names":false,"suffix":""}],"container-title":"Journal of Clinical Pathology","id":"ITEM-1","issue":"10","issued":{"date-parts":[["2004","10","1"]]},"page":"1025-1026","title":"Cardiac troponins","type":"article-journal","volume":"57"},"uris":["http://www.mendeley.com/documents/?uuid=0de98010-1bb2-493c-9f10-148c1680ee82"]}],"mendeley":{"formattedCitation":"&lt;sup&gt;2&lt;/sup&gt;","plainTextFormattedCitation":"2","previouslyFormattedCitation":"&lt;sup&gt;2&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2</w:t>
            </w:r>
            <w:r>
              <w:rPr>
                <w:rFonts w:ascii="Arial" w:hAnsi="Arial" w:cs="Arial"/>
                <w:bCs/>
                <w:sz w:val="20"/>
                <w:szCs w:val="20"/>
              </w:rPr>
              <w:fldChar w:fldCharType="end"/>
            </w:r>
            <w:r w:rsidRPr="00E06104">
              <w:rPr>
                <w:rFonts w:ascii="Arial" w:hAnsi="Arial" w:cs="Arial"/>
                <w:bCs/>
                <w:sz w:val="20"/>
                <w:szCs w:val="20"/>
              </w:rPr>
              <w:t xml:space="preserve"> </w:t>
            </w:r>
          </w:p>
        </w:tc>
        <w:tc>
          <w:tcPr>
            <w:tcW w:w="762" w:type="pct"/>
            <w:vAlign w:val="center"/>
          </w:tcPr>
          <w:p w14:paraId="777CD777"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22.2</w:t>
            </w:r>
          </w:p>
        </w:tc>
        <w:tc>
          <w:tcPr>
            <w:tcW w:w="523" w:type="pct"/>
            <w:vAlign w:val="center"/>
          </w:tcPr>
          <w:p w14:paraId="0B62ED84"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13.1</w:t>
            </w:r>
          </w:p>
        </w:tc>
        <w:tc>
          <w:tcPr>
            <w:tcW w:w="860" w:type="pct"/>
            <w:vAlign w:val="center"/>
          </w:tcPr>
          <w:p w14:paraId="6D3E890A"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142.4</w:t>
            </w:r>
          </w:p>
        </w:tc>
        <w:tc>
          <w:tcPr>
            <w:tcW w:w="475" w:type="pct"/>
            <w:vAlign w:val="center"/>
          </w:tcPr>
          <w:p w14:paraId="131C254B"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133.7</w:t>
            </w:r>
          </w:p>
        </w:tc>
        <w:tc>
          <w:tcPr>
            <w:tcW w:w="557" w:type="pct"/>
            <w:vAlign w:val="center"/>
          </w:tcPr>
          <w:p w14:paraId="39CF6E03"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0.647</w:t>
            </w:r>
          </w:p>
        </w:tc>
      </w:tr>
      <w:tr w:rsidR="00EE3B12" w:rsidRPr="000A2F91" w14:paraId="26C7EC46" w14:textId="77777777" w:rsidTr="00235CCE">
        <w:tc>
          <w:tcPr>
            <w:tcW w:w="894" w:type="pct"/>
            <w:vAlign w:val="center"/>
          </w:tcPr>
          <w:p w14:paraId="7FF0B231"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CXCL6</w:t>
            </w:r>
          </w:p>
        </w:tc>
        <w:tc>
          <w:tcPr>
            <w:tcW w:w="928" w:type="pct"/>
            <w:vAlign w:val="center"/>
          </w:tcPr>
          <w:p w14:paraId="4FF10D77" w14:textId="77777777" w:rsidR="00EE3B12" w:rsidRPr="00E06104" w:rsidRDefault="00EE3B12" w:rsidP="00830F5F">
            <w:pPr>
              <w:spacing w:after="0" w:line="360" w:lineRule="auto"/>
              <w:rPr>
                <w:rFonts w:ascii="Arial" w:hAnsi="Arial" w:cs="Arial"/>
                <w:bCs/>
                <w:sz w:val="20"/>
                <w:szCs w:val="20"/>
              </w:rPr>
            </w:pPr>
            <w:r w:rsidRPr="00E06104">
              <w:rPr>
                <w:rFonts w:ascii="Arial" w:hAnsi="Arial" w:cs="Arial"/>
                <w:bCs/>
                <w:sz w:val="20"/>
                <w:szCs w:val="20"/>
              </w:rPr>
              <w:t>CXC chemokine (granulocyte chemotactic protein 2)</w:t>
            </w:r>
            <w:r>
              <w:rPr>
                <w:rFonts w:ascii="Arial" w:hAnsi="Arial" w:cs="Arial"/>
                <w:bCs/>
                <w:sz w:val="20"/>
                <w:szCs w:val="20"/>
                <w:vertAlign w:val="superscript"/>
              </w:rPr>
              <w:fldChar w:fldCharType="begin" w:fldLock="1"/>
            </w:r>
            <w:r>
              <w:rPr>
                <w:rFonts w:ascii="Arial" w:hAnsi="Arial" w:cs="Arial"/>
                <w:bCs/>
                <w:sz w:val="20"/>
                <w:szCs w:val="20"/>
                <w:vertAlign w:val="superscript"/>
              </w:rPr>
              <w:instrText>ADDIN CSL_CITATION {"citationItems":[{"id":"ITEM-1","itemData":{"DOI":"10.1038/s41598-017-11976-6","ISSN":"2045-2322","author":[{"dropping-particle":"","family":"Torán","given":"José Luis","non-dropping-particle":"","parse-names":false,"suffix":""},{"dropping-particle":"","family":"Aguilar","given":"Susana","non-dropping-particle":"","parse-names":false,"suffix":""},{"dropping-particle":"","family":"López","given":"Juan Antonio","non-dropping-particle":"","parse-names":false,"suffix":""},{"dropping-particle":"","family":"Torroja","given":"Carlos","non-dropping-particle":"","parse-names":false,"suffix":""},{"dropping-particle":"","family":"Quintana","given":"Juan Antonio","non-dropping-particle":"","parse-names":false,"suffix":""},{"dropping-particle":"","family":"Santiago","given":"Cesar","non-dropping-particle":"","parse-names":false,"suffix":""},{"dropping-particle":"","family":"Abad","given":"José Luis","non-dropping-particle":"","parse-names":false,"suffix":""},{"dropping-particle":"","family":"Gomes-Alves","given":"Patricia","non-dropping-particle":"","parse-names":false,"suffix":""},{"dropping-particle":"","family":"Gonzalez","given":"Andrés","non-dropping-particle":"","parse-names":false,"suffix":""},{"dropping-particle":"","family":"Bernal","given":"Juan Antonio","non-dropping-particle":"","parse-names":false,"suffix":""},{"dropping-particle":"","family":"Jiménez-Borreguero","given":"Luis Jesús","non-dropping-particle":"","parse-names":false,"suffix":""},{"dropping-particle":"","family":"Alves","given":"Paula Marques","non-dropping-particle":"","parse-names":false,"suffix":""},{"dropping-particle":"","family":"R-Borlado","given":"Luis","non-dropping-particle":"","parse-names":false,"suffix":""},{"dropping-particle":"","family":"Vázquez","given":"Jesús","non-dropping-particle":"","parse-names":false,"suffix":""},{"dropping-particle":"","family":"Bernad","given":"Antonio","non-dropping-particle":"","parse-names":false,"suffix":""}],"container-title":"Scientific Reports","id":"ITEM-1","issue":"1","issued":{"date-parts":[["2017","12","2"]]},"page":"12490","title":"CXCL6 is an important paracrine factor in the pro-angiogenic human cardiac progenitor-like cell secretome","type":"article-journal","volume":"7"},"uris":["http://www.mendeley.com/documents/?uuid=06d223dc-cddd-4c29-8089-1d9e60ed6912"]}],"mendeley":{"formattedCitation":"&lt;sup&gt;3&lt;/sup&gt;","plainTextFormattedCitation":"3","previouslyFormattedCitation":"&lt;sup&gt;3&lt;/sup&gt;"},"properties":{"noteIndex":0},"schema":"https://github.com/citation-style-language/schema/raw/master/csl-citation.json"}</w:instrText>
            </w:r>
            <w:r>
              <w:rPr>
                <w:rFonts w:ascii="Arial" w:hAnsi="Arial" w:cs="Arial"/>
                <w:bCs/>
                <w:sz w:val="20"/>
                <w:szCs w:val="20"/>
                <w:vertAlign w:val="superscript"/>
              </w:rPr>
              <w:fldChar w:fldCharType="separate"/>
            </w:r>
            <w:r w:rsidRPr="00DA1E0C">
              <w:rPr>
                <w:rFonts w:ascii="Arial" w:hAnsi="Arial" w:cs="Arial"/>
                <w:bCs/>
                <w:noProof/>
                <w:sz w:val="20"/>
                <w:szCs w:val="20"/>
                <w:vertAlign w:val="superscript"/>
              </w:rPr>
              <w:t>3</w:t>
            </w:r>
            <w:r>
              <w:rPr>
                <w:rFonts w:ascii="Arial" w:hAnsi="Arial" w:cs="Arial"/>
                <w:bCs/>
                <w:sz w:val="20"/>
                <w:szCs w:val="20"/>
                <w:vertAlign w:val="superscript"/>
              </w:rPr>
              <w:fldChar w:fldCharType="end"/>
            </w:r>
          </w:p>
        </w:tc>
        <w:tc>
          <w:tcPr>
            <w:tcW w:w="762" w:type="pct"/>
            <w:vAlign w:val="center"/>
          </w:tcPr>
          <w:p w14:paraId="6D9E7E3F"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195.0</w:t>
            </w:r>
          </w:p>
        </w:tc>
        <w:tc>
          <w:tcPr>
            <w:tcW w:w="523" w:type="pct"/>
            <w:vAlign w:val="center"/>
          </w:tcPr>
          <w:p w14:paraId="745E25ED"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14.7</w:t>
            </w:r>
          </w:p>
        </w:tc>
        <w:tc>
          <w:tcPr>
            <w:tcW w:w="860" w:type="pct"/>
            <w:vAlign w:val="center"/>
          </w:tcPr>
          <w:p w14:paraId="5AE1FCCB"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200.2</w:t>
            </w:r>
          </w:p>
        </w:tc>
        <w:tc>
          <w:tcPr>
            <w:tcW w:w="475" w:type="pct"/>
            <w:vAlign w:val="center"/>
          </w:tcPr>
          <w:p w14:paraId="2AABCFCA"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12.2</w:t>
            </w:r>
          </w:p>
        </w:tc>
        <w:tc>
          <w:tcPr>
            <w:tcW w:w="557" w:type="pct"/>
            <w:vAlign w:val="center"/>
          </w:tcPr>
          <w:p w14:paraId="1C4F3C45"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0.468</w:t>
            </w:r>
          </w:p>
        </w:tc>
      </w:tr>
      <w:tr w:rsidR="00EE3B12" w:rsidRPr="000A2F91" w14:paraId="734D4B5C" w14:textId="77777777" w:rsidTr="00235CCE">
        <w:tc>
          <w:tcPr>
            <w:tcW w:w="894" w:type="pct"/>
            <w:vAlign w:val="center"/>
          </w:tcPr>
          <w:p w14:paraId="5EBFFEA9"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CXCL16</w:t>
            </w:r>
          </w:p>
        </w:tc>
        <w:tc>
          <w:tcPr>
            <w:tcW w:w="928" w:type="pct"/>
            <w:vAlign w:val="center"/>
          </w:tcPr>
          <w:p w14:paraId="0699934F" w14:textId="77777777" w:rsidR="00EE3B12" w:rsidRPr="00E06104" w:rsidRDefault="00EE3B12" w:rsidP="00830F5F">
            <w:pPr>
              <w:spacing w:after="0" w:line="360" w:lineRule="auto"/>
              <w:rPr>
                <w:rFonts w:ascii="Arial" w:hAnsi="Arial" w:cs="Arial"/>
                <w:bCs/>
                <w:sz w:val="20"/>
                <w:szCs w:val="20"/>
              </w:rPr>
            </w:pPr>
            <w:r w:rsidRPr="00E06104">
              <w:rPr>
                <w:rFonts w:ascii="Arial" w:hAnsi="Arial" w:cs="Arial"/>
                <w:bCs/>
                <w:sz w:val="20"/>
                <w:szCs w:val="20"/>
              </w:rPr>
              <w:t>CXC chemokine</w:t>
            </w:r>
            <w:r>
              <w:rPr>
                <w:rFonts w:ascii="Arial" w:hAnsi="Arial" w:cs="Arial"/>
                <w:bCs/>
                <w:sz w:val="20"/>
                <w:szCs w:val="20"/>
              </w:rPr>
              <w:fldChar w:fldCharType="begin" w:fldLock="1"/>
            </w:r>
            <w:r>
              <w:rPr>
                <w:rFonts w:ascii="Arial" w:hAnsi="Arial" w:cs="Arial"/>
                <w:bCs/>
                <w:sz w:val="20"/>
                <w:szCs w:val="20"/>
              </w:rPr>
              <w:instrText>ADDIN CSL_CITATION {"citationItems":[{"id":"ITEM-1","itemData":{"DOI":"10.1016/j.ijcard.2014.08.033","ISSN":"01675273","author":[{"dropping-particle":"","family":"Borst","given":"Oliver","non-dropping-particle":"","parse-names":false,"suffix":""},{"dropping-particle":"","family":"Schaub","given":"Malte","non-dropping-particle":"","parse-names":false,"suffix":""},{"dropping-particle":"","family":"Walker","given":"Britta","non-dropping-particle":"","parse-names":false,"suffix":""},{"dropping-particle":"","family":"Sauter","given":"Martina","non-dropping-particle":"","parse-names":false,"suffix":""},{"dropping-particle":"","family":"Muenzer","given":"Patrick","non-dropping-particle":"","parse-names":false,"suffix":""},{"dropping-particle":"","family":"Gramlich","given":"Michael","non-dropping-particle":"","parse-names":false,"suffix":""},{"dropping-particle":"","family":"Mueller","given":"Karin","non-dropping-particle":"","parse-names":false,"suffix":""},{"dropping-particle":"","family":"Geisler","given":"Tobias","non-dropping-particle":"","parse-names":false,"suffix":""},{"dropping-particle":"","family":"Lang","given":"Florian","non-dropping-particle":"","parse-names":false,"suffix":""},{"dropping-particle":"","family":"Klingel","given":"Karin","non-dropping-particle":"","parse-names":false,"suffix":""},{"dropping-particle":"","family":"Kandolf","given":"Reinhard","non-dropping-particle":"","parse-names":false,"suffix":""},{"dropping-particle":"","family":"Bigalke","given":"Boris","non-dropping-particle":"","parse-names":false,"suffix":""},{"dropping-particle":"","family":"Gawaz","given":"Meinrad","non-dropping-particle":"","parse-names":false,"suffix":""},{"dropping-particle":"","family":"Zuern","given":"Christine S.","non-dropping-particle":"","parse-names":false,"suffix":""}],"container-title":"International Journal of Cardiology","id":"ITEM-1","issue":"3","issued":{"date-parts":[["2014","10"]]},"page":"896-903","title":"CXCL16 is a novel diagnostic marker and predictor of mortality in inflammatory cardiomyopathy and heart failure","type":"article-journal","volume":"176"},"uris":["http://www.mendeley.com/documents/?uuid=a2c7b710-cce2-4f5e-9c0a-0ddc91e80318"]},{"id":"ITEM-2","itemData":{"DOI":"10.1161/CIRCRESAHA.112.276444","ISSN":"0009-7330","author":[{"dropping-particle":"","family":"Borst","given":"Oliver","non-dropping-particle":"","parse-names":false,"suffix":""},{"dropping-particle":"","family":"Münzer","given":"Patrick","non-dropping-particle":"","parse-names":false,"suffix":""},{"dropping-particle":"","family":"Gatidis","given":"Sergios","non-dropping-particle":"","parse-names":false,"suffix":""},{"dropping-particle":"","family":"Schmidt","given":"Eva-Maria","non-dropping-particle":"","parse-names":false,"suffix":""},{"dropping-particle":"","family":"Schönberger","given":"Tanja","non-dropping-particle":"","parse-names":false,"suffix":""},{"dropping-particle":"","family":"Schmid","given":"Evi","non-dropping-particle":"","parse-names":false,"suffix":""},{"dropping-particle":"","family":"Towhid","given":"Syeda T.","non-dropping-particle":"","parse-names":false,"suffix":""},{"dropping-particle":"","family":"Stellos","given":"Konstantinos","non-dropping-particle":"","parse-names":false,"suffix":""},{"dropping-particle":"","family":"Seizer","given":"Peter","non-dropping-particle":"","parse-names":false,"suffix":""},{"dropping-particle":"","family":"May","given":"Andreas E.","non-dropping-particle":"","parse-names":false,"suffix":""},{"dropping-particle":"","family":"Lang","given":"Florian","non-dropping-particle":"","parse-names":false,"suffix":""},{"dropping-particle":"","family":"Gawaz","given":"Meinrad","non-dropping-particle":"","parse-names":false,"suffix":""}],"container-title":"Circulation Research","id":"ITEM-2","issue":"10","issued":{"date-parts":[["2012","10","26"]]},"page":"1297-1307","title":"The Inflammatory Chemokine CXC Motif Ligand 16 Triggers Platelet Activation and Adhesion Via CXC Motif Receptor 6–Dependent Phosphatidylinositide 3-Kinase/Akt Signaling","type":"article-journal","volume":"111"},"uris":["http://www.mendeley.com/documents/?uuid=cf91cfa0-b1da-42c0-96fc-c6827dc1c59b"]}],"mendeley":{"formattedCitation":"&lt;sup&gt;4,5&lt;/sup&gt;","plainTextFormattedCitation":"4,5","previouslyFormattedCitation":"&lt;sup&gt;4,5&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4,5</w:t>
            </w:r>
            <w:r>
              <w:rPr>
                <w:rFonts w:ascii="Arial" w:hAnsi="Arial" w:cs="Arial"/>
                <w:bCs/>
                <w:sz w:val="20"/>
                <w:szCs w:val="20"/>
              </w:rPr>
              <w:fldChar w:fldCharType="end"/>
            </w:r>
          </w:p>
        </w:tc>
        <w:tc>
          <w:tcPr>
            <w:tcW w:w="762" w:type="pct"/>
            <w:vAlign w:val="center"/>
          </w:tcPr>
          <w:p w14:paraId="4CB4DF1E"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367.0</w:t>
            </w:r>
          </w:p>
        </w:tc>
        <w:tc>
          <w:tcPr>
            <w:tcW w:w="523" w:type="pct"/>
            <w:vAlign w:val="center"/>
          </w:tcPr>
          <w:p w14:paraId="51E05C30"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41.2</w:t>
            </w:r>
          </w:p>
        </w:tc>
        <w:tc>
          <w:tcPr>
            <w:tcW w:w="860" w:type="pct"/>
            <w:vAlign w:val="center"/>
          </w:tcPr>
          <w:p w14:paraId="273D728F"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355.6</w:t>
            </w:r>
          </w:p>
        </w:tc>
        <w:tc>
          <w:tcPr>
            <w:tcW w:w="475" w:type="pct"/>
            <w:vAlign w:val="center"/>
          </w:tcPr>
          <w:p w14:paraId="7B60989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24.2</w:t>
            </w:r>
          </w:p>
        </w:tc>
        <w:tc>
          <w:tcPr>
            <w:tcW w:w="557" w:type="pct"/>
            <w:vAlign w:val="center"/>
          </w:tcPr>
          <w:p w14:paraId="43CB8F82"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0.509</w:t>
            </w:r>
          </w:p>
        </w:tc>
      </w:tr>
      <w:tr w:rsidR="00EE3B12" w:rsidRPr="000A2F91" w14:paraId="15115C97" w14:textId="77777777" w:rsidTr="00235CCE">
        <w:tc>
          <w:tcPr>
            <w:tcW w:w="894" w:type="pct"/>
            <w:vAlign w:val="center"/>
          </w:tcPr>
          <w:p w14:paraId="77510027"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Endocan1</w:t>
            </w:r>
          </w:p>
        </w:tc>
        <w:tc>
          <w:tcPr>
            <w:tcW w:w="928" w:type="pct"/>
            <w:vAlign w:val="center"/>
          </w:tcPr>
          <w:p w14:paraId="797FE28F" w14:textId="77777777" w:rsidR="00EE3B12" w:rsidRPr="00E06104" w:rsidRDefault="00EE3B12" w:rsidP="00830F5F">
            <w:pPr>
              <w:spacing w:after="0" w:line="360" w:lineRule="auto"/>
              <w:rPr>
                <w:rFonts w:ascii="Arial" w:hAnsi="Arial" w:cs="Arial"/>
                <w:bCs/>
                <w:sz w:val="20"/>
                <w:szCs w:val="20"/>
              </w:rPr>
            </w:pPr>
            <w:r w:rsidRPr="00E06104">
              <w:rPr>
                <w:rFonts w:ascii="Arial" w:hAnsi="Arial" w:cs="Arial"/>
                <w:bCs/>
                <w:sz w:val="20"/>
                <w:szCs w:val="20"/>
              </w:rPr>
              <w:t>Endothelial cell-specific molecule-1</w:t>
            </w:r>
            <w:r>
              <w:rPr>
                <w:rFonts w:ascii="Arial" w:hAnsi="Arial" w:cs="Arial"/>
                <w:bCs/>
                <w:sz w:val="20"/>
                <w:szCs w:val="20"/>
              </w:rPr>
              <w:fldChar w:fldCharType="begin" w:fldLock="1"/>
            </w:r>
            <w:r>
              <w:rPr>
                <w:rFonts w:ascii="Arial" w:hAnsi="Arial" w:cs="Arial"/>
                <w:bCs/>
                <w:sz w:val="20"/>
                <w:szCs w:val="20"/>
              </w:rPr>
              <w:instrText>ADDIN CSL_CITATION {"citationItems":[{"id":"ITEM-1","itemData":{"DOI":"10.1097/MD.0000000000013407","ISSN":"0025-7974","author":[{"dropping-particle":"","family":"Zhao","given":"Tianming","non-dropping-particle":"","parse-names":false,"suffix":""},{"dropping-particle":"","family":"Kecheng","given":"Yao","non-dropping-particle":"","parse-names":false,"suffix":""},{"dropping-particle":"","family":"Zhao","given":"Xuelei","non-dropping-particle":"","parse-names":false,"suffix":""},{"dropping-particle":"","family":"Hu","given":"Xuehua","non-dropping-particle":"","parse-names":false,"suffix":""},{"dropping-particle":"","family":"Zhu","given":"Jing","non-dropping-particle":"","parse-names":false,"suffix":""},{"dropping-particle":"","family":"Wang","given":"Yingnan","non-dropping-particle":"","parse-names":false,"suffix":""},{"dropping-particle":"","family":"Ni","given":"Jixiang","non-dropping-particle":"","parse-names":false,"suffix":""}],"container-title":"Medicine","id":"ITEM-1","issue":"49","issued":{"date-parts":[["2018","12"]]},"page":"e13407","title":"The higher serum endocan levels may be a risk factor for the onset of cardiovascular disease","type":"article-journal","volume":"97"},"uris":["http://www.mendeley.com/documents/?uuid=34c7442b-398d-4a26-bfea-da4fb7193f21"]},{"id":"ITEM-2","itemData":{"DOI":"10.1155/2019/9134096","ISSN":"0278-0240","abstract":"Background . Heart failure (HF) is characterized by unfavorable prognosis. Disease trajectory of HF, however, may vary, and risk assessment of patients remains elusive. In our study, we sought to determine the prognostic impact of endocan—a novel biomarker of endothelial dysfunction and low-grade inflammation—in patients with heart failure. Methods . In outpatients with chronic HF, baseline values of endocan were determined and clinical follow-up for a minimum of 18 months obtained. A multivariate Cox proportional hazard model was built for HF-related death or hospitalization requiring inotropic support. Results . A total of 120 patients (mean age 71 years, 64% male, mean LVEF 36%) were included. During a mean follow-up of 656 ± 109 days, 50 patients (41.6%) experienced an event. On Cox multivariate analysis, endocan values emerged as an independent predictor of HF prognosis (HR, 1.471 CI 95% 1.183-1.829, p = 0.001 , for each 1 ng/mL increase) even after adjustment for age, gender, HF etiology, LVEF, NYHA class, NT-proBNP, and exercise tolerance. Conclusions . Endocan is an independent predictor of HF-related events in chronic HF individuals and represents a promising tool for risk assessment of HF patients.","author":[{"dropping-particle":"","family":"Kosir","given":"Gorazd","non-dropping-particle":"","parse-names":false,"suffix":""},{"dropping-particle":"","family":"Jug","given":"Borut","non-dropping-particle":"","parse-names":false,"suffix":""},{"dropping-particle":"","family":"Novakovic","given":"Marko","non-dropping-particle":"","parse-names":false,"suffix":""},{"dropping-particle":"","family":"Mijovski","given":"Mojca Bozic","non-dropping-particle":"","parse-names":false,"suffix":""},{"dropping-particle":"","family":"Ksela","given":"Jus","non-dropping-particle":"","parse-names":false,"suffix":""}],"container-title":"Disease Markers","id":"ITEM-2","issued":{"date-parts":[["2019","4","4"]]},"page":"1-7","title":"Endocan Is an Independent Predictor of Heart Failure-Related Mortality and Hospitalizations in Patients with Chronic Stable Heart Failure","type":"article-journal","volume":"2019"},"uris":["http://www.mendeley.com/documents/?uuid=a93240ee-b4e9-47d5-8d0f-6b1a9e1f618f"]}],"mendeley":{"formattedCitation":"&lt;sup&gt;6,7&lt;/sup&gt;","plainTextFormattedCitation":"6,7","previouslyFormattedCitation":"&lt;sup&gt;6,7&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6,7</w:t>
            </w:r>
            <w:r>
              <w:rPr>
                <w:rFonts w:ascii="Arial" w:hAnsi="Arial" w:cs="Arial"/>
                <w:bCs/>
                <w:sz w:val="20"/>
                <w:szCs w:val="20"/>
              </w:rPr>
              <w:fldChar w:fldCharType="end"/>
            </w:r>
            <w:r>
              <w:rPr>
                <w:rFonts w:ascii="Arial" w:hAnsi="Arial" w:cs="Arial"/>
                <w:bCs/>
                <w:sz w:val="20"/>
                <w:szCs w:val="20"/>
              </w:rPr>
              <w:t xml:space="preserve"> </w:t>
            </w:r>
          </w:p>
        </w:tc>
        <w:tc>
          <w:tcPr>
            <w:tcW w:w="762" w:type="pct"/>
            <w:vAlign w:val="center"/>
          </w:tcPr>
          <w:p w14:paraId="3A2374A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1240.1</w:t>
            </w:r>
          </w:p>
        </w:tc>
        <w:tc>
          <w:tcPr>
            <w:tcW w:w="523" w:type="pct"/>
            <w:vAlign w:val="center"/>
          </w:tcPr>
          <w:p w14:paraId="7D3FB389"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83.4</w:t>
            </w:r>
          </w:p>
        </w:tc>
        <w:tc>
          <w:tcPr>
            <w:tcW w:w="860" w:type="pct"/>
            <w:vAlign w:val="center"/>
          </w:tcPr>
          <w:p w14:paraId="0FD792C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1145.8</w:t>
            </w:r>
          </w:p>
        </w:tc>
        <w:tc>
          <w:tcPr>
            <w:tcW w:w="475" w:type="pct"/>
            <w:vAlign w:val="center"/>
          </w:tcPr>
          <w:p w14:paraId="5C2751AF"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101.0</w:t>
            </w:r>
          </w:p>
        </w:tc>
        <w:tc>
          <w:tcPr>
            <w:tcW w:w="557" w:type="pct"/>
            <w:vAlign w:val="center"/>
          </w:tcPr>
          <w:p w14:paraId="6B757B8A"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0.312</w:t>
            </w:r>
          </w:p>
        </w:tc>
      </w:tr>
      <w:tr w:rsidR="00EE3B12" w:rsidRPr="000A2F91" w14:paraId="77522458" w14:textId="77777777" w:rsidTr="00235CCE">
        <w:tc>
          <w:tcPr>
            <w:tcW w:w="894" w:type="pct"/>
            <w:vAlign w:val="center"/>
          </w:tcPr>
          <w:p w14:paraId="5619BF48"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FABP3</w:t>
            </w:r>
          </w:p>
        </w:tc>
        <w:tc>
          <w:tcPr>
            <w:tcW w:w="928" w:type="pct"/>
            <w:vMerge w:val="restart"/>
            <w:vAlign w:val="center"/>
          </w:tcPr>
          <w:p w14:paraId="34CC105D" w14:textId="77777777" w:rsidR="00EE3B12" w:rsidRPr="00E06104" w:rsidRDefault="00EE3B12" w:rsidP="00830F5F">
            <w:pPr>
              <w:spacing w:after="0" w:line="360" w:lineRule="auto"/>
              <w:rPr>
                <w:rFonts w:ascii="Arial" w:hAnsi="Arial" w:cs="Arial"/>
                <w:bCs/>
                <w:sz w:val="20"/>
                <w:szCs w:val="20"/>
              </w:rPr>
            </w:pPr>
            <w:r w:rsidRPr="00E06104">
              <w:rPr>
                <w:rFonts w:ascii="Arial" w:hAnsi="Arial" w:cs="Arial"/>
                <w:bCs/>
                <w:sz w:val="20"/>
                <w:szCs w:val="20"/>
              </w:rPr>
              <w:t>Fatty acid-binding proteins</w:t>
            </w:r>
            <w:r>
              <w:rPr>
                <w:rFonts w:ascii="Arial" w:hAnsi="Arial" w:cs="Arial"/>
                <w:bCs/>
                <w:sz w:val="20"/>
                <w:szCs w:val="20"/>
                <w:vertAlign w:val="superscript"/>
              </w:rPr>
              <w:fldChar w:fldCharType="begin" w:fldLock="1"/>
            </w:r>
            <w:r>
              <w:rPr>
                <w:rFonts w:ascii="Arial" w:hAnsi="Arial" w:cs="Arial"/>
                <w:bCs/>
                <w:sz w:val="20"/>
                <w:szCs w:val="20"/>
                <w:vertAlign w:val="superscript"/>
              </w:rPr>
              <w:instrText>ADDIN CSL_CITATION {"citationItems":[{"id":"ITEM-1","itemData":{"DOI":"10.5551/jat.48710","ISSN":"1340-3478","author":[{"dropping-particle":"","family":"Furuhashi","given":"Masato","non-dropping-particle":"","parse-names":false,"suffix":""}],"container-title":"Journal of Atherosclerosis and Thrombosis","id":"ITEM-1","issue":"3","issued":{"date-parts":[["2019","3","1"]]},"page":"216-232","title":"Fatty Acid-Binding Protein 4 in Cardiovascular and Metabolic Diseases","type":"article-journal","volume":"26"},"uris":["http://www.mendeley.com/documents/?uuid=92dc6056-d487-44b3-b9fb-afcef7d1da38"]}],"mendeley":{"formattedCitation":"&lt;sup&gt;8&lt;/sup&gt;","plainTextFormattedCitation":"8","previouslyFormattedCitation":"&lt;sup&gt;8&lt;/sup&gt;"},"properties":{"noteIndex":0},"schema":"https://github.com/citation-style-language/schema/raw/master/csl-citation.json"}</w:instrText>
            </w:r>
            <w:r>
              <w:rPr>
                <w:rFonts w:ascii="Arial" w:hAnsi="Arial" w:cs="Arial"/>
                <w:bCs/>
                <w:sz w:val="20"/>
                <w:szCs w:val="20"/>
                <w:vertAlign w:val="superscript"/>
              </w:rPr>
              <w:fldChar w:fldCharType="separate"/>
            </w:r>
            <w:r w:rsidRPr="00DA1E0C">
              <w:rPr>
                <w:rFonts w:ascii="Arial" w:hAnsi="Arial" w:cs="Arial"/>
                <w:bCs/>
                <w:noProof/>
                <w:sz w:val="20"/>
                <w:szCs w:val="20"/>
                <w:vertAlign w:val="superscript"/>
              </w:rPr>
              <w:t>8</w:t>
            </w:r>
            <w:r>
              <w:rPr>
                <w:rFonts w:ascii="Arial" w:hAnsi="Arial" w:cs="Arial"/>
                <w:bCs/>
                <w:sz w:val="20"/>
                <w:szCs w:val="20"/>
                <w:vertAlign w:val="superscript"/>
              </w:rPr>
              <w:fldChar w:fldCharType="end"/>
            </w:r>
          </w:p>
        </w:tc>
        <w:tc>
          <w:tcPr>
            <w:tcW w:w="762" w:type="pct"/>
            <w:vAlign w:val="center"/>
          </w:tcPr>
          <w:p w14:paraId="139C8625"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3992.4</w:t>
            </w:r>
          </w:p>
        </w:tc>
        <w:tc>
          <w:tcPr>
            <w:tcW w:w="523" w:type="pct"/>
            <w:vAlign w:val="center"/>
          </w:tcPr>
          <w:p w14:paraId="76D3026B"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466.2</w:t>
            </w:r>
          </w:p>
        </w:tc>
        <w:tc>
          <w:tcPr>
            <w:tcW w:w="860" w:type="pct"/>
            <w:vAlign w:val="center"/>
          </w:tcPr>
          <w:p w14:paraId="1810BFEE"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3196.0</w:t>
            </w:r>
          </w:p>
        </w:tc>
        <w:tc>
          <w:tcPr>
            <w:tcW w:w="475" w:type="pct"/>
            <w:vAlign w:val="center"/>
          </w:tcPr>
          <w:p w14:paraId="559FC714"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231.7</w:t>
            </w:r>
          </w:p>
        </w:tc>
        <w:tc>
          <w:tcPr>
            <w:tcW w:w="557" w:type="pct"/>
            <w:vAlign w:val="center"/>
          </w:tcPr>
          <w:p w14:paraId="6DA53E41"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0.281</w:t>
            </w:r>
          </w:p>
        </w:tc>
      </w:tr>
      <w:tr w:rsidR="00EE3B12" w:rsidRPr="000A2F91" w14:paraId="12642CDC" w14:textId="77777777" w:rsidTr="00235CCE">
        <w:trPr>
          <w:trHeight w:val="431"/>
        </w:trPr>
        <w:tc>
          <w:tcPr>
            <w:tcW w:w="894" w:type="pct"/>
            <w:vAlign w:val="center"/>
          </w:tcPr>
          <w:p w14:paraId="254930FE"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FABP4</w:t>
            </w:r>
          </w:p>
        </w:tc>
        <w:tc>
          <w:tcPr>
            <w:tcW w:w="928" w:type="pct"/>
            <w:vMerge/>
            <w:vAlign w:val="center"/>
          </w:tcPr>
          <w:p w14:paraId="03E93ED8" w14:textId="77777777" w:rsidR="00EE3B12" w:rsidRPr="00E06104" w:rsidRDefault="00EE3B12" w:rsidP="00830F5F">
            <w:pPr>
              <w:spacing w:after="0" w:line="360" w:lineRule="auto"/>
              <w:rPr>
                <w:rFonts w:ascii="Arial" w:hAnsi="Arial" w:cs="Arial"/>
                <w:bCs/>
                <w:sz w:val="20"/>
                <w:szCs w:val="20"/>
              </w:rPr>
            </w:pPr>
          </w:p>
        </w:tc>
        <w:tc>
          <w:tcPr>
            <w:tcW w:w="762" w:type="pct"/>
            <w:vAlign w:val="center"/>
          </w:tcPr>
          <w:p w14:paraId="261C8B49"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12257.4</w:t>
            </w:r>
          </w:p>
        </w:tc>
        <w:tc>
          <w:tcPr>
            <w:tcW w:w="523" w:type="pct"/>
            <w:vAlign w:val="center"/>
          </w:tcPr>
          <w:p w14:paraId="30182671"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1431.5</w:t>
            </w:r>
          </w:p>
        </w:tc>
        <w:tc>
          <w:tcPr>
            <w:tcW w:w="860" w:type="pct"/>
            <w:vAlign w:val="center"/>
          </w:tcPr>
          <w:p w14:paraId="29879C5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12536.2</w:t>
            </w:r>
          </w:p>
        </w:tc>
        <w:tc>
          <w:tcPr>
            <w:tcW w:w="475" w:type="pct"/>
            <w:vAlign w:val="center"/>
          </w:tcPr>
          <w:p w14:paraId="5286510F"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1664.3</w:t>
            </w:r>
          </w:p>
        </w:tc>
        <w:tc>
          <w:tcPr>
            <w:tcW w:w="557" w:type="pct"/>
            <w:vAlign w:val="center"/>
          </w:tcPr>
          <w:p w14:paraId="05E08BE9"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0.852</w:t>
            </w:r>
          </w:p>
        </w:tc>
      </w:tr>
      <w:tr w:rsidR="00EE3B12" w:rsidRPr="000A2F91" w14:paraId="3E6020EE" w14:textId="77777777" w:rsidTr="00235CCE">
        <w:tc>
          <w:tcPr>
            <w:tcW w:w="894" w:type="pct"/>
            <w:vAlign w:val="center"/>
          </w:tcPr>
          <w:p w14:paraId="2819A4C7"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PGF</w:t>
            </w:r>
          </w:p>
        </w:tc>
        <w:tc>
          <w:tcPr>
            <w:tcW w:w="928" w:type="pct"/>
            <w:vAlign w:val="center"/>
          </w:tcPr>
          <w:p w14:paraId="7AD32A40" w14:textId="77777777" w:rsidR="00EE3B12" w:rsidRPr="00E06104" w:rsidRDefault="00EE3B12" w:rsidP="00830F5F">
            <w:pPr>
              <w:spacing w:after="0" w:line="360" w:lineRule="auto"/>
              <w:rPr>
                <w:rFonts w:ascii="Arial" w:hAnsi="Arial" w:cs="Arial"/>
                <w:bCs/>
                <w:sz w:val="20"/>
                <w:szCs w:val="20"/>
              </w:rPr>
            </w:pPr>
            <w:r w:rsidRPr="00E06104">
              <w:rPr>
                <w:rFonts w:ascii="Arial" w:hAnsi="Arial" w:cs="Arial"/>
                <w:bCs/>
                <w:sz w:val="20"/>
                <w:szCs w:val="20"/>
              </w:rPr>
              <w:t>Placental growth factor</w:t>
            </w:r>
            <w:r>
              <w:rPr>
                <w:rFonts w:ascii="Arial" w:hAnsi="Arial" w:cs="Arial"/>
                <w:bCs/>
                <w:sz w:val="20"/>
                <w:szCs w:val="20"/>
              </w:rPr>
              <w:fldChar w:fldCharType="begin" w:fldLock="1"/>
            </w:r>
            <w:r>
              <w:rPr>
                <w:rFonts w:ascii="Arial" w:hAnsi="Arial" w:cs="Arial"/>
                <w:bCs/>
                <w:sz w:val="20"/>
                <w:szCs w:val="20"/>
              </w:rPr>
              <w:instrText>ADDIN CSL_CITATION {"citationItems":[{"id":"ITEM-1","itemData":{"DOI":"10.1016/j.jacc.2005.08.063","ISSN":"07351097","author":[{"dropping-particle":"","family":"Lenderink","given":"Timo","non-dropping-particle":"","parse-names":false,"suffix":""},{"dropping-particle":"","family":"Heeschen","given":"Christopher","non-dropping-particle":"","parse-names":false,"suffix":""},{"dropping-particle":"","family":"Fichtlscherer","given":"Stephan","non-dropping-particle":"","parse-names":false,"suffix":""},{"dropping-particle":"","family":"Dimmeler","given":"Stefanie","non-dropping-particle":"","parse-names":false,"suffix":""},{"dropping-particle":"","family":"Hamm","given":"Christian W.","non-dropping-particle":"","parse-names":false,"suffix":""},{"dropping-particle":"","family":"Zeiher","given":"Andreas M.","non-dropping-particle":"","parse-names":false,"suffix":""},{"dropping-particle":"","family":"Simoons","given":"Maarten L.","non-dropping-particle":"","parse-names":false,"suffix":""},{"dropping-particle":"","family":"Boersma","given":"Eric","non-dropping-particle":"","parse-names":false,"suffix":""}],"container-title":"Journal of the American College of Cardiology","id":"ITEM-1","issue":"2","issued":{"date-parts":[["2006","1"]]},"page":"307-311","title":"Elevated Placental Growth Factor Levels Are Associated With Adverse Outcomes at Four-Year Follow-Up in Patients With Acute Coronary Syndromes","type":"article-journal","volume":"47"},"uris":["http://www.mendeley.com/documents/?uuid=97f4ad5a-5e15-40d7-a93f-436f7aa3ceaf"]}],"mendeley":{"formattedCitation":"&lt;sup&gt;9&lt;/sup&gt;","plainTextFormattedCitation":"9","previouslyFormattedCitation":"&lt;sup&gt;9&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9</w:t>
            </w:r>
            <w:r>
              <w:rPr>
                <w:rFonts w:ascii="Arial" w:hAnsi="Arial" w:cs="Arial"/>
                <w:bCs/>
                <w:sz w:val="20"/>
                <w:szCs w:val="20"/>
              </w:rPr>
              <w:fldChar w:fldCharType="end"/>
            </w:r>
          </w:p>
        </w:tc>
        <w:tc>
          <w:tcPr>
            <w:tcW w:w="762" w:type="pct"/>
            <w:vAlign w:val="center"/>
          </w:tcPr>
          <w:p w14:paraId="1208CFCA"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6.2</w:t>
            </w:r>
          </w:p>
        </w:tc>
        <w:tc>
          <w:tcPr>
            <w:tcW w:w="523" w:type="pct"/>
            <w:vAlign w:val="center"/>
          </w:tcPr>
          <w:p w14:paraId="771839A4"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1.3</w:t>
            </w:r>
          </w:p>
        </w:tc>
        <w:tc>
          <w:tcPr>
            <w:tcW w:w="860" w:type="pct"/>
            <w:vAlign w:val="center"/>
          </w:tcPr>
          <w:p w14:paraId="776850CB"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4.4</w:t>
            </w:r>
          </w:p>
        </w:tc>
        <w:tc>
          <w:tcPr>
            <w:tcW w:w="475" w:type="pct"/>
            <w:vAlign w:val="center"/>
          </w:tcPr>
          <w:p w14:paraId="77F084A3"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1.3</w:t>
            </w:r>
          </w:p>
        </w:tc>
        <w:tc>
          <w:tcPr>
            <w:tcW w:w="557" w:type="pct"/>
            <w:vAlign w:val="center"/>
          </w:tcPr>
          <w:p w14:paraId="611D5C05"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0.215</w:t>
            </w:r>
          </w:p>
        </w:tc>
      </w:tr>
      <w:tr w:rsidR="00EE3B12" w:rsidRPr="000A2F91" w14:paraId="20B2D17E" w14:textId="77777777" w:rsidTr="00235CCE">
        <w:tc>
          <w:tcPr>
            <w:tcW w:w="894" w:type="pct"/>
            <w:vAlign w:val="center"/>
          </w:tcPr>
          <w:p w14:paraId="08DC20A2" w14:textId="77777777" w:rsidR="00EE3B12" w:rsidRPr="00E06104" w:rsidRDefault="00EE3B12" w:rsidP="00830F5F">
            <w:pPr>
              <w:spacing w:after="0" w:line="360" w:lineRule="auto"/>
              <w:rPr>
                <w:rFonts w:ascii="Arial" w:hAnsi="Arial" w:cs="Arial"/>
                <w:b/>
                <w:sz w:val="20"/>
                <w:szCs w:val="20"/>
              </w:rPr>
            </w:pPr>
            <w:r w:rsidRPr="00E06104">
              <w:rPr>
                <w:rFonts w:ascii="Arial" w:hAnsi="Arial" w:cs="Arial"/>
                <w:b/>
                <w:sz w:val="20"/>
                <w:szCs w:val="20"/>
              </w:rPr>
              <w:t>OSM</w:t>
            </w:r>
          </w:p>
        </w:tc>
        <w:tc>
          <w:tcPr>
            <w:tcW w:w="928" w:type="pct"/>
            <w:vAlign w:val="center"/>
          </w:tcPr>
          <w:p w14:paraId="7FDC95FA" w14:textId="77777777" w:rsidR="00EE3B12" w:rsidRPr="00E06104" w:rsidRDefault="00EE3B12" w:rsidP="00830F5F">
            <w:pPr>
              <w:spacing w:after="0" w:line="360" w:lineRule="auto"/>
              <w:rPr>
                <w:rFonts w:ascii="Arial" w:hAnsi="Arial" w:cs="Arial"/>
                <w:bCs/>
                <w:sz w:val="20"/>
                <w:szCs w:val="20"/>
              </w:rPr>
            </w:pPr>
            <w:proofErr w:type="spellStart"/>
            <w:r w:rsidRPr="00E06104">
              <w:rPr>
                <w:rFonts w:ascii="Arial" w:hAnsi="Arial" w:cs="Arial"/>
                <w:bCs/>
                <w:sz w:val="20"/>
                <w:szCs w:val="20"/>
              </w:rPr>
              <w:t>Oncostatin</w:t>
            </w:r>
            <w:proofErr w:type="spellEnd"/>
            <w:r w:rsidRPr="00E06104">
              <w:rPr>
                <w:rFonts w:ascii="Arial" w:hAnsi="Arial" w:cs="Arial"/>
                <w:bCs/>
                <w:sz w:val="20"/>
                <w:szCs w:val="20"/>
              </w:rPr>
              <w:t xml:space="preserve"> M</w:t>
            </w:r>
            <w:r>
              <w:rPr>
                <w:rFonts w:ascii="Arial" w:hAnsi="Arial" w:cs="Arial"/>
                <w:bCs/>
                <w:sz w:val="20"/>
                <w:szCs w:val="20"/>
              </w:rPr>
              <w:fldChar w:fldCharType="begin" w:fldLock="1"/>
            </w:r>
            <w:r>
              <w:rPr>
                <w:rFonts w:ascii="Arial" w:hAnsi="Arial" w:cs="Arial"/>
                <w:bCs/>
                <w:sz w:val="20"/>
                <w:szCs w:val="20"/>
              </w:rPr>
              <w:instrText>ADDIN CSL_CITATION {"citationItems":[{"id":"ITEM-1","itemData":{"DOI":"10.1111/jcmm.12501","ISSN":"15821838","author":[{"dropping-particle":"","family":"Sun","given":"Dongdong","non-dropping-particle":"","parse-names":false,"suffix":""},{"dropping-particle":"","family":"Li","given":"Shuang","non-dropping-particle":"","parse-names":false,"suffix":""},{"dropping-particle":"","family":"Wu","given":"Hao","non-dropping-particle":"","parse-names":false,"suffix":""},{"dropping-particle":"","family":"Zhang","given":"Mingming","non-dropping-particle":"","parse-names":false,"suffix":""},{"dropping-particle":"","family":"Zhang","given":"Xiaotian","non-dropping-particle":"","parse-names":false,"suffix":""},{"dropping-particle":"","family":"Wei","given":"Liping","non-dropping-particle":"","parse-names":false,"suffix":""},{"dropping-particle":"","family":"Qin","given":"Xing","non-dropping-particle":"","parse-names":false,"suffix":""},{"dropping-particle":"","family":"Gao","given":"Erhe","non-dropping-particle":"","parse-names":false,"suffix":""}],"container-title":"Journal of Cellular and Molecular Medicine","id":"ITEM-1","issue":"6","issued":{"date-parts":[["2015","6"]]},"page":"1296-1307","title":"Oncostatin M (OSM) protects against cardiac ischaemia/reperfusion injury in diabetic mice by regulating apoptosis, mitochondrial biogenesis and insulin sensitivity","type":"article-journal","volume":"19"},"uris":["http://www.mendeley.com/documents/?uuid=c3aa12eb-7d3a-4c7c-9c2d-6e5970e9ad68"]}],"mendeley":{"formattedCitation":"&lt;sup&gt;10&lt;/sup&gt;","plainTextFormattedCitation":"10","previouslyFormattedCitation":"&lt;sup&gt;10&lt;/sup&gt;"},"properties":{"noteIndex":0},"schema":"https://github.com/citation-style-language/schema/raw/master/csl-citation.json"}</w:instrText>
            </w:r>
            <w:r>
              <w:rPr>
                <w:rFonts w:ascii="Arial" w:hAnsi="Arial" w:cs="Arial"/>
                <w:bCs/>
                <w:sz w:val="20"/>
                <w:szCs w:val="20"/>
              </w:rPr>
              <w:fldChar w:fldCharType="separate"/>
            </w:r>
            <w:r w:rsidRPr="00DA1E0C">
              <w:rPr>
                <w:rFonts w:ascii="Arial" w:hAnsi="Arial" w:cs="Arial"/>
                <w:bCs/>
                <w:noProof/>
                <w:sz w:val="20"/>
                <w:szCs w:val="20"/>
                <w:vertAlign w:val="superscript"/>
              </w:rPr>
              <w:t>10</w:t>
            </w:r>
            <w:r>
              <w:rPr>
                <w:rFonts w:ascii="Arial" w:hAnsi="Arial" w:cs="Arial"/>
                <w:bCs/>
                <w:sz w:val="20"/>
                <w:szCs w:val="20"/>
              </w:rPr>
              <w:fldChar w:fldCharType="end"/>
            </w:r>
          </w:p>
        </w:tc>
        <w:tc>
          <w:tcPr>
            <w:tcW w:w="762" w:type="pct"/>
            <w:vAlign w:val="center"/>
          </w:tcPr>
          <w:p w14:paraId="4C72A1B0"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13.9</w:t>
            </w:r>
          </w:p>
        </w:tc>
        <w:tc>
          <w:tcPr>
            <w:tcW w:w="523" w:type="pct"/>
            <w:vAlign w:val="center"/>
          </w:tcPr>
          <w:p w14:paraId="64B1BF2B"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5.5</w:t>
            </w:r>
          </w:p>
        </w:tc>
        <w:tc>
          <w:tcPr>
            <w:tcW w:w="860" w:type="pct"/>
            <w:vAlign w:val="center"/>
          </w:tcPr>
          <w:p w14:paraId="11FFB37C"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15.7</w:t>
            </w:r>
          </w:p>
        </w:tc>
        <w:tc>
          <w:tcPr>
            <w:tcW w:w="475" w:type="pct"/>
            <w:vAlign w:val="center"/>
          </w:tcPr>
          <w:p w14:paraId="19954DE0"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6.2</w:t>
            </w:r>
          </w:p>
        </w:tc>
        <w:tc>
          <w:tcPr>
            <w:tcW w:w="557" w:type="pct"/>
            <w:vAlign w:val="center"/>
          </w:tcPr>
          <w:p w14:paraId="0FD95C33" w14:textId="77777777" w:rsidR="00EE3B12" w:rsidRPr="00E06104" w:rsidRDefault="00EE3B12" w:rsidP="00830F5F">
            <w:pPr>
              <w:spacing w:after="0" w:line="360" w:lineRule="auto"/>
              <w:jc w:val="center"/>
              <w:rPr>
                <w:rFonts w:ascii="Arial" w:hAnsi="Arial" w:cs="Arial"/>
                <w:bCs/>
                <w:sz w:val="20"/>
                <w:szCs w:val="20"/>
              </w:rPr>
            </w:pPr>
            <w:r w:rsidRPr="00E06104">
              <w:rPr>
                <w:rFonts w:ascii="Arial" w:hAnsi="Arial" w:cs="Arial"/>
                <w:bCs/>
                <w:sz w:val="20"/>
                <w:szCs w:val="20"/>
              </w:rPr>
              <w:t>0.454</w:t>
            </w:r>
          </w:p>
        </w:tc>
      </w:tr>
    </w:tbl>
    <w:p w14:paraId="47A51826" w14:textId="77777777" w:rsidR="00EE3B12" w:rsidRDefault="00EE3B12" w:rsidP="00A361AD">
      <w:pPr>
        <w:spacing w:line="480" w:lineRule="auto"/>
        <w:jc w:val="both"/>
        <w:rPr>
          <w:rFonts w:ascii="Arial" w:hAnsi="Arial" w:cs="Arial"/>
          <w:b/>
          <w:bCs/>
          <w:sz w:val="20"/>
          <w:szCs w:val="20"/>
        </w:rPr>
      </w:pPr>
    </w:p>
    <w:p w14:paraId="6E1FF30C" w14:textId="3A3B40E0" w:rsidR="00640578" w:rsidRPr="00A361AD" w:rsidRDefault="009B15C3" w:rsidP="00A361AD">
      <w:pPr>
        <w:spacing w:line="480" w:lineRule="auto"/>
        <w:jc w:val="both"/>
        <w:rPr>
          <w:rFonts w:ascii="Arial" w:hAnsi="Arial" w:cs="Arial"/>
          <w:sz w:val="20"/>
          <w:szCs w:val="20"/>
        </w:rPr>
      </w:pPr>
      <w:r w:rsidRPr="00A361AD">
        <w:rPr>
          <w:rFonts w:ascii="Arial" w:hAnsi="Arial" w:cs="Arial"/>
          <w:b/>
          <w:bCs/>
          <w:sz w:val="20"/>
          <w:szCs w:val="20"/>
        </w:rPr>
        <w:lastRenderedPageBreak/>
        <w:t>Supplemen</w:t>
      </w:r>
      <w:r w:rsidR="0031781D" w:rsidRPr="00A361AD">
        <w:rPr>
          <w:rFonts w:ascii="Arial" w:hAnsi="Arial" w:cs="Arial"/>
          <w:b/>
          <w:bCs/>
          <w:sz w:val="20"/>
          <w:szCs w:val="20"/>
        </w:rPr>
        <w:t>t</w:t>
      </w:r>
      <w:r w:rsidRPr="00A361AD">
        <w:rPr>
          <w:rFonts w:ascii="Arial" w:hAnsi="Arial" w:cs="Arial"/>
          <w:b/>
          <w:bCs/>
          <w:sz w:val="20"/>
          <w:szCs w:val="20"/>
        </w:rPr>
        <w:t xml:space="preserve">ary </w:t>
      </w:r>
      <w:r w:rsidRPr="0061540F">
        <w:rPr>
          <w:rFonts w:ascii="Arial" w:hAnsi="Arial" w:cs="Arial"/>
          <w:b/>
          <w:bCs/>
          <w:sz w:val="20"/>
          <w:szCs w:val="20"/>
        </w:rPr>
        <w:t xml:space="preserve">Table </w:t>
      </w:r>
      <w:r w:rsidR="00EE3B12" w:rsidRPr="0061540F">
        <w:rPr>
          <w:rFonts w:ascii="Arial" w:hAnsi="Arial" w:cs="Arial"/>
          <w:b/>
          <w:bCs/>
          <w:sz w:val="20"/>
          <w:szCs w:val="20"/>
        </w:rPr>
        <w:t>3</w:t>
      </w:r>
      <w:r w:rsidRPr="00A361AD">
        <w:rPr>
          <w:rFonts w:ascii="Arial" w:hAnsi="Arial" w:cs="Arial"/>
          <w:b/>
          <w:bCs/>
          <w:sz w:val="20"/>
          <w:szCs w:val="20"/>
        </w:rPr>
        <w:t xml:space="preserve"> </w:t>
      </w:r>
      <w:r w:rsidRPr="00A361AD">
        <w:rPr>
          <w:rFonts w:ascii="Arial" w:hAnsi="Arial" w:cs="Arial"/>
          <w:sz w:val="20"/>
          <w:szCs w:val="20"/>
        </w:rPr>
        <w:t>Gene expression changes in the blood of elderly patients with various co-morbidities: CVD, hypertension (HT), dyslipidemia (DL), out of which hypercholesterolemia (HC) and type 2 diabetes mellitus (T2DM), as compared to the corresponding controls (C)</w:t>
      </w:r>
      <w:r w:rsidRPr="00A361AD">
        <w:rPr>
          <w:rFonts w:ascii="Arial" w:hAnsi="Arial" w:cs="Arial"/>
          <w:b/>
          <w:bCs/>
          <w:sz w:val="20"/>
          <w:szCs w:val="20"/>
        </w:rPr>
        <w:t xml:space="preserve">. </w:t>
      </w:r>
      <w:r w:rsidRPr="00A361AD">
        <w:rPr>
          <w:rFonts w:ascii="Arial" w:hAnsi="Arial" w:cs="Arial"/>
          <w:sz w:val="20"/>
          <w:szCs w:val="20"/>
        </w:rPr>
        <w:t>Results are expressed as Fold of Regulation (FR) as follows: when the fold of change value was above 1, FR was equal to FC, and results were reported as fold up-regulation; when the FC value was less than 1, FR was expressed as the negative inverse of FC, and results were reported as fold down-regulation. The table is based on particular genes that were found down-regulated in CVD patients (absolute value of FR&gt;1.8 and p&lt;0.005,</w:t>
      </w:r>
      <w:r w:rsidR="003D2EEF" w:rsidRPr="00A361AD">
        <w:rPr>
          <w:rFonts w:ascii="Arial" w:hAnsi="Arial" w:cs="Arial"/>
          <w:sz w:val="20"/>
          <w:szCs w:val="20"/>
        </w:rPr>
        <w:t xml:space="preserve"> </w:t>
      </w:r>
      <w:r w:rsidR="002E6927" w:rsidRPr="00A361AD">
        <w:rPr>
          <w:rFonts w:ascii="Arial" w:hAnsi="Arial" w:cs="Arial"/>
          <w:sz w:val="20"/>
          <w:szCs w:val="20"/>
        </w:rPr>
        <w:t xml:space="preserve">marked in </w:t>
      </w:r>
      <w:r w:rsidR="003D2EEF" w:rsidRPr="00A361AD">
        <w:rPr>
          <w:rFonts w:ascii="Arial" w:hAnsi="Arial" w:cs="Arial"/>
          <w:sz w:val="20"/>
          <w:szCs w:val="20"/>
        </w:rPr>
        <w:t>bold</w:t>
      </w:r>
      <w:r w:rsidRPr="00A361AD">
        <w:rPr>
          <w:rFonts w:ascii="Arial" w:hAnsi="Arial" w:cs="Arial"/>
          <w:sz w:val="20"/>
          <w:szCs w:val="20"/>
        </w:rPr>
        <w:t xml:space="preserve">), and </w:t>
      </w:r>
      <w:r w:rsidR="008A56F8" w:rsidRPr="00A361AD">
        <w:rPr>
          <w:rFonts w:ascii="Arial" w:hAnsi="Arial" w:cs="Arial"/>
          <w:sz w:val="20"/>
          <w:szCs w:val="20"/>
        </w:rPr>
        <w:t>their FR values in other</w:t>
      </w:r>
      <w:r w:rsidRPr="00A361AD">
        <w:rPr>
          <w:rFonts w:ascii="Arial" w:hAnsi="Arial" w:cs="Arial"/>
          <w:sz w:val="20"/>
          <w:szCs w:val="20"/>
        </w:rPr>
        <w:t xml:space="preserve"> comorbidities (marked </w:t>
      </w:r>
      <w:r w:rsidR="002E6927" w:rsidRPr="00A361AD">
        <w:rPr>
          <w:rFonts w:ascii="Arial" w:hAnsi="Arial" w:cs="Arial"/>
          <w:sz w:val="20"/>
          <w:szCs w:val="20"/>
        </w:rPr>
        <w:t>in</w:t>
      </w:r>
      <w:r w:rsidRPr="00A361AD">
        <w:rPr>
          <w:rFonts w:ascii="Arial" w:hAnsi="Arial" w:cs="Arial"/>
          <w:sz w:val="20"/>
          <w:szCs w:val="20"/>
        </w:rPr>
        <w:t xml:space="preserve"> grey</w:t>
      </w:r>
      <w:r w:rsidR="008A56F8" w:rsidRPr="00A361AD">
        <w:rPr>
          <w:rFonts w:ascii="Arial" w:hAnsi="Arial" w:cs="Arial"/>
          <w:sz w:val="20"/>
          <w:szCs w:val="20"/>
        </w:rPr>
        <w:t xml:space="preserve"> if</w:t>
      </w:r>
      <w:r w:rsidRPr="00A361AD">
        <w:rPr>
          <w:rFonts w:ascii="Arial" w:hAnsi="Arial" w:cs="Arial"/>
          <w:sz w:val="20"/>
          <w:szCs w:val="20"/>
        </w:rPr>
        <w:t xml:space="preserve"> 1.5&lt;FR&lt;1.8 and p&lt;0.05)</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77"/>
        <w:gridCol w:w="912"/>
        <w:gridCol w:w="718"/>
        <w:gridCol w:w="716"/>
        <w:gridCol w:w="734"/>
        <w:gridCol w:w="701"/>
        <w:gridCol w:w="682"/>
        <w:gridCol w:w="775"/>
        <w:gridCol w:w="737"/>
        <w:gridCol w:w="972"/>
      </w:tblGrid>
      <w:tr w:rsidR="009B15C3" w:rsidRPr="000A2F91" w14:paraId="1FC143CD" w14:textId="77777777" w:rsidTr="00A361AD">
        <w:trPr>
          <w:trHeight w:val="673"/>
          <w:jc w:val="center"/>
        </w:trPr>
        <w:tc>
          <w:tcPr>
            <w:tcW w:w="594" w:type="pct"/>
            <w:shd w:val="clear" w:color="auto" w:fill="auto"/>
            <w:noWrap/>
            <w:vAlign w:val="bottom"/>
            <w:hideMark/>
          </w:tcPr>
          <w:bookmarkEnd w:id="4"/>
          <w:p w14:paraId="55343988" w14:textId="4F5CA81B" w:rsidR="009B15C3" w:rsidRPr="00A361AD" w:rsidRDefault="009B15C3" w:rsidP="009E0699">
            <w:pPr>
              <w:spacing w:after="0" w:line="240" w:lineRule="auto"/>
              <w:rPr>
                <w:rFonts w:ascii="Arial" w:eastAsia="Times New Roman" w:hAnsi="Arial" w:cs="Arial"/>
                <w:sz w:val="18"/>
                <w:szCs w:val="18"/>
                <w:lang w:eastAsia="en-GB"/>
              </w:rPr>
            </w:pPr>
            <w:r w:rsidRPr="00A361AD">
              <w:rPr>
                <w:rFonts w:ascii="Arial" w:hAnsi="Arial" w:cs="Arial"/>
                <w:sz w:val="18"/>
                <w:szCs w:val="18"/>
              </w:rPr>
              <w:t xml:space="preserve"> </w:t>
            </w:r>
          </w:p>
        </w:tc>
        <w:tc>
          <w:tcPr>
            <w:tcW w:w="918" w:type="pct"/>
            <w:gridSpan w:val="2"/>
            <w:shd w:val="clear" w:color="auto" w:fill="auto"/>
            <w:noWrap/>
            <w:vAlign w:val="center"/>
            <w:hideMark/>
          </w:tcPr>
          <w:p w14:paraId="4F8FFC01"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CVD (N=39) </w:t>
            </w:r>
            <w:r w:rsidRPr="00A361AD">
              <w:rPr>
                <w:rFonts w:ascii="Arial" w:eastAsia="Times New Roman" w:hAnsi="Arial" w:cs="Arial"/>
                <w:b/>
                <w:bCs/>
                <w:i/>
                <w:color w:val="000000"/>
                <w:sz w:val="18"/>
                <w:szCs w:val="18"/>
                <w:lang w:eastAsia="en-GB"/>
              </w:rPr>
              <w:t>vs</w:t>
            </w:r>
            <w:r w:rsidRPr="00A361AD">
              <w:rPr>
                <w:rFonts w:ascii="Arial" w:eastAsia="Times New Roman" w:hAnsi="Arial" w:cs="Arial"/>
                <w:b/>
                <w:bCs/>
                <w:iCs/>
                <w:color w:val="000000"/>
                <w:sz w:val="18"/>
                <w:szCs w:val="18"/>
                <w:lang w:eastAsia="en-GB"/>
              </w:rPr>
              <w:t xml:space="preserve"> </w:t>
            </w:r>
          </w:p>
          <w:p w14:paraId="61C384C8"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C (N=91)</w:t>
            </w:r>
          </w:p>
        </w:tc>
        <w:tc>
          <w:tcPr>
            <w:tcW w:w="829" w:type="pct"/>
            <w:gridSpan w:val="2"/>
            <w:shd w:val="clear" w:color="auto" w:fill="auto"/>
            <w:noWrap/>
            <w:vAlign w:val="center"/>
            <w:hideMark/>
          </w:tcPr>
          <w:p w14:paraId="24C9E55E"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HT (N=74) </w:t>
            </w:r>
            <w:r w:rsidRPr="00A361AD">
              <w:rPr>
                <w:rFonts w:ascii="Arial" w:eastAsia="Times New Roman" w:hAnsi="Arial" w:cs="Arial"/>
                <w:b/>
                <w:bCs/>
                <w:i/>
                <w:color w:val="000000"/>
                <w:sz w:val="18"/>
                <w:szCs w:val="18"/>
                <w:lang w:eastAsia="en-GB"/>
              </w:rPr>
              <w:t>vs</w:t>
            </w:r>
            <w:r w:rsidRPr="00A361AD">
              <w:rPr>
                <w:rFonts w:ascii="Arial" w:eastAsia="Times New Roman" w:hAnsi="Arial" w:cs="Arial"/>
                <w:b/>
                <w:bCs/>
                <w:iCs/>
                <w:color w:val="000000"/>
                <w:sz w:val="18"/>
                <w:szCs w:val="18"/>
                <w:lang w:eastAsia="en-GB"/>
              </w:rPr>
              <w:t xml:space="preserve"> </w:t>
            </w:r>
          </w:p>
          <w:p w14:paraId="70711286"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C (N=56) </w:t>
            </w:r>
          </w:p>
        </w:tc>
        <w:tc>
          <w:tcPr>
            <w:tcW w:w="829" w:type="pct"/>
            <w:gridSpan w:val="2"/>
            <w:shd w:val="clear" w:color="auto" w:fill="auto"/>
            <w:noWrap/>
            <w:vAlign w:val="center"/>
            <w:hideMark/>
          </w:tcPr>
          <w:p w14:paraId="3CE0948B"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DL (N=46) </w:t>
            </w:r>
            <w:r w:rsidRPr="00A361AD">
              <w:rPr>
                <w:rFonts w:ascii="Arial" w:eastAsia="Times New Roman" w:hAnsi="Arial" w:cs="Arial"/>
                <w:b/>
                <w:bCs/>
                <w:i/>
                <w:color w:val="000000"/>
                <w:sz w:val="18"/>
                <w:szCs w:val="18"/>
                <w:lang w:eastAsia="en-GB"/>
              </w:rPr>
              <w:t>vs</w:t>
            </w:r>
          </w:p>
          <w:p w14:paraId="0EAF67B3"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C (N=84) </w:t>
            </w:r>
          </w:p>
        </w:tc>
        <w:tc>
          <w:tcPr>
            <w:tcW w:w="842" w:type="pct"/>
            <w:gridSpan w:val="2"/>
            <w:shd w:val="clear" w:color="auto" w:fill="auto"/>
            <w:noWrap/>
            <w:vAlign w:val="center"/>
            <w:hideMark/>
          </w:tcPr>
          <w:p w14:paraId="7A29F146"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HC (N=33) </w:t>
            </w:r>
            <w:r w:rsidRPr="00A361AD">
              <w:rPr>
                <w:rFonts w:ascii="Arial" w:eastAsia="Times New Roman" w:hAnsi="Arial" w:cs="Arial"/>
                <w:b/>
                <w:bCs/>
                <w:i/>
                <w:color w:val="000000"/>
                <w:sz w:val="18"/>
                <w:szCs w:val="18"/>
                <w:lang w:eastAsia="en-GB"/>
              </w:rPr>
              <w:t>vs</w:t>
            </w:r>
            <w:r w:rsidRPr="00A361AD">
              <w:rPr>
                <w:rFonts w:ascii="Arial" w:eastAsia="Times New Roman" w:hAnsi="Arial" w:cs="Arial"/>
                <w:b/>
                <w:bCs/>
                <w:iCs/>
                <w:color w:val="000000"/>
                <w:sz w:val="18"/>
                <w:szCs w:val="18"/>
                <w:lang w:eastAsia="en-GB"/>
              </w:rPr>
              <w:t xml:space="preserve"> </w:t>
            </w:r>
          </w:p>
          <w:p w14:paraId="361A13ED"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C (N=97)</w:t>
            </w:r>
          </w:p>
        </w:tc>
        <w:tc>
          <w:tcPr>
            <w:tcW w:w="988" w:type="pct"/>
            <w:gridSpan w:val="2"/>
            <w:shd w:val="clear" w:color="auto" w:fill="auto"/>
            <w:noWrap/>
            <w:vAlign w:val="center"/>
            <w:hideMark/>
          </w:tcPr>
          <w:p w14:paraId="217B2A90"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 xml:space="preserve">T2DM (N=21) </w:t>
            </w:r>
            <w:r w:rsidRPr="00A361AD">
              <w:rPr>
                <w:rFonts w:ascii="Arial" w:eastAsia="Times New Roman" w:hAnsi="Arial" w:cs="Arial"/>
                <w:b/>
                <w:bCs/>
                <w:i/>
                <w:color w:val="000000"/>
                <w:sz w:val="18"/>
                <w:szCs w:val="18"/>
                <w:lang w:eastAsia="en-GB"/>
              </w:rPr>
              <w:t xml:space="preserve">vs </w:t>
            </w:r>
          </w:p>
          <w:p w14:paraId="0D1CAA63" w14:textId="77777777" w:rsidR="009B15C3" w:rsidRPr="00A361AD" w:rsidRDefault="009B15C3" w:rsidP="009E0699">
            <w:pPr>
              <w:spacing w:after="0" w:line="240" w:lineRule="auto"/>
              <w:jc w:val="center"/>
              <w:rPr>
                <w:rFonts w:ascii="Arial" w:eastAsia="Times New Roman" w:hAnsi="Arial" w:cs="Arial"/>
                <w:b/>
                <w:bCs/>
                <w:iCs/>
                <w:color w:val="000000"/>
                <w:sz w:val="18"/>
                <w:szCs w:val="18"/>
                <w:lang w:eastAsia="en-GB"/>
              </w:rPr>
            </w:pPr>
            <w:r w:rsidRPr="00A361AD">
              <w:rPr>
                <w:rFonts w:ascii="Arial" w:eastAsia="Times New Roman" w:hAnsi="Arial" w:cs="Arial"/>
                <w:b/>
                <w:bCs/>
                <w:iCs/>
                <w:color w:val="000000"/>
                <w:sz w:val="18"/>
                <w:szCs w:val="18"/>
                <w:lang w:eastAsia="en-GB"/>
              </w:rPr>
              <w:t>C (N=109)</w:t>
            </w:r>
          </w:p>
        </w:tc>
      </w:tr>
      <w:tr w:rsidR="009B15C3" w:rsidRPr="000A2F91" w14:paraId="45CC58AB" w14:textId="77777777" w:rsidTr="00A361AD">
        <w:trPr>
          <w:trHeight w:val="509"/>
          <w:jc w:val="center"/>
        </w:trPr>
        <w:tc>
          <w:tcPr>
            <w:tcW w:w="594" w:type="pct"/>
            <w:vMerge w:val="restart"/>
            <w:shd w:val="clear" w:color="000000" w:fill="FFFFFF"/>
            <w:noWrap/>
            <w:vAlign w:val="center"/>
            <w:hideMark/>
          </w:tcPr>
          <w:p w14:paraId="5452CCEA" w14:textId="77777777" w:rsidR="009B15C3" w:rsidRPr="00A361AD" w:rsidRDefault="009B15C3" w:rsidP="009E0699">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Genes</w:t>
            </w:r>
          </w:p>
        </w:tc>
        <w:tc>
          <w:tcPr>
            <w:tcW w:w="391" w:type="pct"/>
            <w:vMerge w:val="restart"/>
            <w:shd w:val="clear" w:color="auto" w:fill="auto"/>
            <w:noWrap/>
            <w:vAlign w:val="center"/>
            <w:hideMark/>
          </w:tcPr>
          <w:p w14:paraId="078C04C1" w14:textId="77777777" w:rsidR="009B15C3" w:rsidRPr="00A361AD" w:rsidRDefault="009B15C3" w:rsidP="00A361AD">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FR</w:t>
            </w:r>
          </w:p>
        </w:tc>
        <w:tc>
          <w:tcPr>
            <w:tcW w:w="527" w:type="pct"/>
            <w:vMerge w:val="restart"/>
            <w:shd w:val="clear" w:color="auto" w:fill="auto"/>
            <w:noWrap/>
            <w:vAlign w:val="center"/>
            <w:hideMark/>
          </w:tcPr>
          <w:p w14:paraId="219F0821" w14:textId="77777777" w:rsidR="009B15C3" w:rsidRPr="00A361AD" w:rsidRDefault="009B15C3" w:rsidP="00A361AD">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p</w:t>
            </w:r>
          </w:p>
        </w:tc>
        <w:tc>
          <w:tcPr>
            <w:tcW w:w="415" w:type="pct"/>
            <w:vMerge w:val="restart"/>
            <w:shd w:val="clear" w:color="auto" w:fill="auto"/>
            <w:noWrap/>
            <w:vAlign w:val="center"/>
            <w:hideMark/>
          </w:tcPr>
          <w:p w14:paraId="6D078D50" w14:textId="77777777" w:rsidR="009B15C3" w:rsidRPr="00A361AD" w:rsidRDefault="009B15C3" w:rsidP="00A361AD">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FR</w:t>
            </w:r>
          </w:p>
        </w:tc>
        <w:tc>
          <w:tcPr>
            <w:tcW w:w="414" w:type="pct"/>
            <w:vMerge w:val="restart"/>
            <w:shd w:val="clear" w:color="auto" w:fill="auto"/>
            <w:noWrap/>
            <w:vAlign w:val="center"/>
            <w:hideMark/>
          </w:tcPr>
          <w:p w14:paraId="55C52029" w14:textId="4BC7AE25" w:rsidR="009B15C3" w:rsidRPr="00A361AD" w:rsidRDefault="009B15C3" w:rsidP="00A361AD">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 xml:space="preserve">p </w:t>
            </w:r>
            <w:r w:rsidR="003D2EEF" w:rsidRPr="00A361AD">
              <w:rPr>
                <w:rFonts w:ascii="Arial" w:eastAsia="Times New Roman" w:hAnsi="Arial" w:cs="Arial"/>
                <w:b/>
                <w:bCs/>
                <w:i/>
                <w:iCs/>
                <w:color w:val="000000"/>
                <w:sz w:val="18"/>
                <w:szCs w:val="18"/>
                <w:lang w:eastAsia="en-GB"/>
              </w:rPr>
              <w:t xml:space="preserve"> </w:t>
            </w:r>
          </w:p>
        </w:tc>
        <w:tc>
          <w:tcPr>
            <w:tcW w:w="424" w:type="pct"/>
            <w:vMerge w:val="restart"/>
            <w:shd w:val="clear" w:color="auto" w:fill="auto"/>
            <w:noWrap/>
            <w:vAlign w:val="center"/>
            <w:hideMark/>
          </w:tcPr>
          <w:p w14:paraId="066FA688" w14:textId="77777777" w:rsidR="009B15C3" w:rsidRPr="00A361AD" w:rsidRDefault="009B15C3" w:rsidP="00A361AD">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FR</w:t>
            </w:r>
          </w:p>
        </w:tc>
        <w:tc>
          <w:tcPr>
            <w:tcW w:w="405" w:type="pct"/>
            <w:vMerge w:val="restart"/>
            <w:shd w:val="clear" w:color="auto" w:fill="auto"/>
            <w:noWrap/>
            <w:vAlign w:val="center"/>
            <w:hideMark/>
          </w:tcPr>
          <w:p w14:paraId="04545686" w14:textId="77777777" w:rsidR="009B15C3" w:rsidRPr="00A361AD" w:rsidRDefault="009B15C3" w:rsidP="00A361AD">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p</w:t>
            </w:r>
          </w:p>
        </w:tc>
        <w:tc>
          <w:tcPr>
            <w:tcW w:w="394" w:type="pct"/>
            <w:vMerge w:val="restart"/>
            <w:shd w:val="clear" w:color="auto" w:fill="auto"/>
            <w:noWrap/>
            <w:vAlign w:val="center"/>
            <w:hideMark/>
          </w:tcPr>
          <w:p w14:paraId="3287FF1D" w14:textId="77777777" w:rsidR="009B15C3" w:rsidRPr="00A361AD" w:rsidRDefault="009B15C3" w:rsidP="00A361AD">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FR</w:t>
            </w:r>
          </w:p>
        </w:tc>
        <w:tc>
          <w:tcPr>
            <w:tcW w:w="448" w:type="pct"/>
            <w:vMerge w:val="restart"/>
            <w:shd w:val="clear" w:color="auto" w:fill="auto"/>
            <w:noWrap/>
            <w:vAlign w:val="center"/>
            <w:hideMark/>
          </w:tcPr>
          <w:p w14:paraId="2652CA5D" w14:textId="77777777" w:rsidR="009B15C3" w:rsidRPr="00A361AD" w:rsidRDefault="009B15C3" w:rsidP="00A361AD">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p</w:t>
            </w:r>
          </w:p>
        </w:tc>
        <w:tc>
          <w:tcPr>
            <w:tcW w:w="426" w:type="pct"/>
            <w:vMerge w:val="restart"/>
            <w:shd w:val="clear" w:color="auto" w:fill="auto"/>
            <w:noWrap/>
            <w:vAlign w:val="center"/>
            <w:hideMark/>
          </w:tcPr>
          <w:p w14:paraId="512A088F" w14:textId="77777777" w:rsidR="009B15C3" w:rsidRPr="00A361AD" w:rsidRDefault="009B15C3" w:rsidP="00A361AD">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FR</w:t>
            </w:r>
          </w:p>
        </w:tc>
        <w:tc>
          <w:tcPr>
            <w:tcW w:w="562" w:type="pct"/>
            <w:vMerge w:val="restart"/>
            <w:shd w:val="clear" w:color="auto" w:fill="auto"/>
            <w:noWrap/>
            <w:vAlign w:val="center"/>
            <w:hideMark/>
          </w:tcPr>
          <w:p w14:paraId="54972752" w14:textId="77777777" w:rsidR="009B15C3" w:rsidRPr="00A361AD" w:rsidRDefault="009B15C3" w:rsidP="00A361AD">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p</w:t>
            </w:r>
          </w:p>
        </w:tc>
      </w:tr>
      <w:tr w:rsidR="009B15C3" w:rsidRPr="000A2F91" w14:paraId="76A5CCFB" w14:textId="77777777" w:rsidTr="00A361AD">
        <w:trPr>
          <w:trHeight w:val="509"/>
          <w:jc w:val="center"/>
        </w:trPr>
        <w:tc>
          <w:tcPr>
            <w:tcW w:w="594" w:type="pct"/>
            <w:vMerge/>
            <w:vAlign w:val="center"/>
            <w:hideMark/>
          </w:tcPr>
          <w:p w14:paraId="4B7276D5"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391" w:type="pct"/>
            <w:vMerge/>
            <w:vAlign w:val="center"/>
            <w:hideMark/>
          </w:tcPr>
          <w:p w14:paraId="014593A3"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527" w:type="pct"/>
            <w:vMerge/>
            <w:vAlign w:val="center"/>
            <w:hideMark/>
          </w:tcPr>
          <w:p w14:paraId="653D87EA" w14:textId="77777777" w:rsidR="009B15C3" w:rsidRPr="00A361AD" w:rsidRDefault="009B15C3" w:rsidP="009E0699">
            <w:pPr>
              <w:spacing w:after="0" w:line="240" w:lineRule="auto"/>
              <w:rPr>
                <w:rFonts w:ascii="Arial" w:eastAsia="Times New Roman" w:hAnsi="Arial" w:cs="Arial"/>
                <w:b/>
                <w:bCs/>
                <w:i/>
                <w:iCs/>
                <w:color w:val="000000"/>
                <w:sz w:val="18"/>
                <w:szCs w:val="18"/>
                <w:lang w:eastAsia="en-GB"/>
              </w:rPr>
            </w:pPr>
          </w:p>
        </w:tc>
        <w:tc>
          <w:tcPr>
            <w:tcW w:w="415" w:type="pct"/>
            <w:vMerge/>
            <w:vAlign w:val="center"/>
            <w:hideMark/>
          </w:tcPr>
          <w:p w14:paraId="04940297"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414" w:type="pct"/>
            <w:vMerge/>
            <w:vAlign w:val="center"/>
            <w:hideMark/>
          </w:tcPr>
          <w:p w14:paraId="3D340CFC" w14:textId="77777777" w:rsidR="009B15C3" w:rsidRPr="00A361AD" w:rsidRDefault="009B15C3" w:rsidP="009E0699">
            <w:pPr>
              <w:spacing w:after="0" w:line="240" w:lineRule="auto"/>
              <w:rPr>
                <w:rFonts w:ascii="Arial" w:eastAsia="Times New Roman" w:hAnsi="Arial" w:cs="Arial"/>
                <w:b/>
                <w:bCs/>
                <w:i/>
                <w:iCs/>
                <w:color w:val="000000"/>
                <w:sz w:val="18"/>
                <w:szCs w:val="18"/>
                <w:lang w:eastAsia="en-GB"/>
              </w:rPr>
            </w:pPr>
          </w:p>
        </w:tc>
        <w:tc>
          <w:tcPr>
            <w:tcW w:w="424" w:type="pct"/>
            <w:vMerge/>
            <w:vAlign w:val="center"/>
            <w:hideMark/>
          </w:tcPr>
          <w:p w14:paraId="10E2E6E2"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405" w:type="pct"/>
            <w:vMerge/>
            <w:vAlign w:val="center"/>
            <w:hideMark/>
          </w:tcPr>
          <w:p w14:paraId="6BC01C94" w14:textId="77777777" w:rsidR="009B15C3" w:rsidRPr="00A361AD" w:rsidRDefault="009B15C3" w:rsidP="009E0699">
            <w:pPr>
              <w:spacing w:after="0" w:line="240" w:lineRule="auto"/>
              <w:rPr>
                <w:rFonts w:ascii="Arial" w:eastAsia="Times New Roman" w:hAnsi="Arial" w:cs="Arial"/>
                <w:b/>
                <w:bCs/>
                <w:i/>
                <w:iCs/>
                <w:color w:val="000000"/>
                <w:sz w:val="18"/>
                <w:szCs w:val="18"/>
                <w:lang w:eastAsia="en-GB"/>
              </w:rPr>
            </w:pPr>
          </w:p>
        </w:tc>
        <w:tc>
          <w:tcPr>
            <w:tcW w:w="394" w:type="pct"/>
            <w:vMerge/>
            <w:vAlign w:val="center"/>
            <w:hideMark/>
          </w:tcPr>
          <w:p w14:paraId="4415479C"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448" w:type="pct"/>
            <w:vMerge/>
            <w:vAlign w:val="center"/>
            <w:hideMark/>
          </w:tcPr>
          <w:p w14:paraId="7F691099" w14:textId="77777777" w:rsidR="009B15C3" w:rsidRPr="00A361AD" w:rsidRDefault="009B15C3" w:rsidP="009E0699">
            <w:pPr>
              <w:spacing w:after="0" w:line="240" w:lineRule="auto"/>
              <w:rPr>
                <w:rFonts w:ascii="Arial" w:eastAsia="Times New Roman" w:hAnsi="Arial" w:cs="Arial"/>
                <w:b/>
                <w:bCs/>
                <w:i/>
                <w:iCs/>
                <w:color w:val="000000"/>
                <w:sz w:val="18"/>
                <w:szCs w:val="18"/>
                <w:lang w:eastAsia="en-GB"/>
              </w:rPr>
            </w:pPr>
          </w:p>
        </w:tc>
        <w:tc>
          <w:tcPr>
            <w:tcW w:w="426" w:type="pct"/>
            <w:vMerge/>
            <w:vAlign w:val="center"/>
            <w:hideMark/>
          </w:tcPr>
          <w:p w14:paraId="7CAEB11E" w14:textId="77777777" w:rsidR="009B15C3" w:rsidRPr="00A361AD" w:rsidRDefault="009B15C3" w:rsidP="009E0699">
            <w:pPr>
              <w:spacing w:after="0" w:line="240" w:lineRule="auto"/>
              <w:rPr>
                <w:rFonts w:ascii="Arial" w:eastAsia="Times New Roman" w:hAnsi="Arial" w:cs="Arial"/>
                <w:b/>
                <w:bCs/>
                <w:color w:val="000000"/>
                <w:sz w:val="18"/>
                <w:szCs w:val="18"/>
                <w:lang w:eastAsia="en-GB"/>
              </w:rPr>
            </w:pPr>
          </w:p>
        </w:tc>
        <w:tc>
          <w:tcPr>
            <w:tcW w:w="562" w:type="pct"/>
            <w:vMerge/>
            <w:vAlign w:val="center"/>
            <w:hideMark/>
          </w:tcPr>
          <w:p w14:paraId="54CDCFB2" w14:textId="77777777" w:rsidR="009B15C3" w:rsidRPr="00A361AD" w:rsidRDefault="009B15C3" w:rsidP="009E0699">
            <w:pPr>
              <w:spacing w:after="0" w:line="240" w:lineRule="auto"/>
              <w:rPr>
                <w:rFonts w:ascii="Arial" w:eastAsia="Times New Roman" w:hAnsi="Arial" w:cs="Arial"/>
                <w:b/>
                <w:bCs/>
                <w:i/>
                <w:iCs/>
                <w:color w:val="000000"/>
                <w:sz w:val="18"/>
                <w:szCs w:val="18"/>
                <w:lang w:eastAsia="en-GB"/>
              </w:rPr>
            </w:pPr>
          </w:p>
        </w:tc>
      </w:tr>
      <w:tr w:rsidR="009B15C3" w:rsidRPr="000A2F91" w14:paraId="43A9FBE2" w14:textId="77777777" w:rsidTr="00A361AD">
        <w:trPr>
          <w:trHeight w:val="315"/>
          <w:jc w:val="center"/>
        </w:trPr>
        <w:tc>
          <w:tcPr>
            <w:tcW w:w="5000" w:type="pct"/>
            <w:gridSpan w:val="11"/>
            <w:shd w:val="clear" w:color="auto" w:fill="auto"/>
            <w:vAlign w:val="center"/>
            <w:hideMark/>
          </w:tcPr>
          <w:p w14:paraId="51B5B9E9" w14:textId="77777777" w:rsidR="009B15C3" w:rsidRPr="00A361AD" w:rsidRDefault="009B15C3" w:rsidP="009E0699">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Inflammatory genes</w:t>
            </w:r>
          </w:p>
        </w:tc>
      </w:tr>
      <w:tr w:rsidR="009B15C3" w:rsidRPr="000A2F91" w14:paraId="5E87DFA8" w14:textId="77777777" w:rsidTr="00A361AD">
        <w:trPr>
          <w:trHeight w:val="300"/>
          <w:jc w:val="center"/>
        </w:trPr>
        <w:tc>
          <w:tcPr>
            <w:tcW w:w="594" w:type="pct"/>
            <w:shd w:val="clear" w:color="auto" w:fill="auto"/>
            <w:vAlign w:val="center"/>
            <w:hideMark/>
          </w:tcPr>
          <w:p w14:paraId="6B30D794" w14:textId="77777777" w:rsidR="009B15C3" w:rsidRPr="00A361AD" w:rsidRDefault="009B15C3" w:rsidP="00640578">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NFKB2</w:t>
            </w:r>
          </w:p>
        </w:tc>
        <w:tc>
          <w:tcPr>
            <w:tcW w:w="391" w:type="pct"/>
            <w:shd w:val="clear" w:color="auto" w:fill="auto"/>
            <w:vAlign w:val="center"/>
            <w:hideMark/>
          </w:tcPr>
          <w:p w14:paraId="4BCB37BC" w14:textId="77777777" w:rsidR="009B15C3" w:rsidRPr="00A361AD" w:rsidRDefault="009B15C3" w:rsidP="00640578">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-2.28</w:t>
            </w:r>
          </w:p>
        </w:tc>
        <w:tc>
          <w:tcPr>
            <w:tcW w:w="527" w:type="pct"/>
            <w:shd w:val="clear" w:color="auto" w:fill="auto"/>
            <w:vAlign w:val="center"/>
            <w:hideMark/>
          </w:tcPr>
          <w:p w14:paraId="4E260196" w14:textId="77777777" w:rsidR="009B15C3" w:rsidRPr="00A361AD" w:rsidRDefault="009B15C3" w:rsidP="00640578">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2317AC9D"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-1.02</w:t>
            </w:r>
          </w:p>
        </w:tc>
        <w:tc>
          <w:tcPr>
            <w:tcW w:w="414" w:type="pct"/>
            <w:shd w:val="clear" w:color="auto" w:fill="auto"/>
            <w:noWrap/>
            <w:vAlign w:val="center"/>
            <w:hideMark/>
          </w:tcPr>
          <w:p w14:paraId="5E45C3B2"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0.810</w:t>
            </w:r>
          </w:p>
        </w:tc>
        <w:tc>
          <w:tcPr>
            <w:tcW w:w="424" w:type="pct"/>
            <w:shd w:val="clear" w:color="auto" w:fill="auto"/>
            <w:noWrap/>
            <w:vAlign w:val="center"/>
          </w:tcPr>
          <w:p w14:paraId="35717A80"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1.25</w:t>
            </w:r>
          </w:p>
        </w:tc>
        <w:tc>
          <w:tcPr>
            <w:tcW w:w="405" w:type="pct"/>
            <w:shd w:val="clear" w:color="auto" w:fill="auto"/>
            <w:noWrap/>
            <w:vAlign w:val="center"/>
          </w:tcPr>
          <w:p w14:paraId="5D755D7C"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0.804</w:t>
            </w:r>
          </w:p>
        </w:tc>
        <w:tc>
          <w:tcPr>
            <w:tcW w:w="394" w:type="pct"/>
            <w:shd w:val="clear" w:color="auto" w:fill="auto"/>
            <w:noWrap/>
            <w:vAlign w:val="center"/>
          </w:tcPr>
          <w:p w14:paraId="7A9047D8"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1.62</w:t>
            </w:r>
          </w:p>
        </w:tc>
        <w:tc>
          <w:tcPr>
            <w:tcW w:w="448" w:type="pct"/>
            <w:shd w:val="clear" w:color="auto" w:fill="auto"/>
            <w:noWrap/>
            <w:vAlign w:val="center"/>
          </w:tcPr>
          <w:p w14:paraId="0C211598"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0.115</w:t>
            </w:r>
          </w:p>
        </w:tc>
        <w:tc>
          <w:tcPr>
            <w:tcW w:w="426" w:type="pct"/>
            <w:shd w:val="clear" w:color="auto" w:fill="auto"/>
            <w:noWrap/>
            <w:vAlign w:val="center"/>
            <w:hideMark/>
          </w:tcPr>
          <w:p w14:paraId="6C461FE3"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1.61</w:t>
            </w:r>
          </w:p>
        </w:tc>
        <w:tc>
          <w:tcPr>
            <w:tcW w:w="562" w:type="pct"/>
            <w:shd w:val="clear" w:color="auto" w:fill="auto"/>
            <w:noWrap/>
            <w:vAlign w:val="center"/>
            <w:hideMark/>
          </w:tcPr>
          <w:p w14:paraId="59424618" w14:textId="77777777" w:rsidR="009B15C3" w:rsidRPr="00A361AD" w:rsidRDefault="009B15C3" w:rsidP="00640578">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0.202</w:t>
            </w:r>
          </w:p>
        </w:tc>
      </w:tr>
      <w:tr w:rsidR="009B15C3" w:rsidRPr="000A2F91" w14:paraId="6E6F142C" w14:textId="77777777" w:rsidTr="00A361AD">
        <w:trPr>
          <w:trHeight w:val="359"/>
          <w:jc w:val="center"/>
        </w:trPr>
        <w:tc>
          <w:tcPr>
            <w:tcW w:w="594" w:type="pct"/>
            <w:shd w:val="clear" w:color="auto" w:fill="auto"/>
            <w:vAlign w:val="center"/>
            <w:hideMark/>
          </w:tcPr>
          <w:p w14:paraId="1D9C212D"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NFKBIA</w:t>
            </w:r>
          </w:p>
        </w:tc>
        <w:tc>
          <w:tcPr>
            <w:tcW w:w="391" w:type="pct"/>
            <w:shd w:val="clear" w:color="auto" w:fill="auto"/>
            <w:vAlign w:val="center"/>
            <w:hideMark/>
          </w:tcPr>
          <w:p w14:paraId="09B17978" w14:textId="2040E1CF"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-2.2</w:t>
            </w:r>
            <w:r w:rsidR="008A56F8" w:rsidRPr="00A361AD">
              <w:rPr>
                <w:rFonts w:ascii="Arial" w:eastAsia="Times New Roman" w:hAnsi="Arial" w:cs="Arial"/>
                <w:b/>
                <w:color w:val="000000"/>
                <w:sz w:val="18"/>
                <w:szCs w:val="18"/>
                <w:lang w:eastAsia="en-GB"/>
              </w:rPr>
              <w:t>0</w:t>
            </w:r>
          </w:p>
        </w:tc>
        <w:tc>
          <w:tcPr>
            <w:tcW w:w="527" w:type="pct"/>
            <w:shd w:val="clear" w:color="auto" w:fill="auto"/>
            <w:vAlign w:val="center"/>
            <w:hideMark/>
          </w:tcPr>
          <w:p w14:paraId="788D93F5"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6A72140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1.10</w:t>
            </w:r>
          </w:p>
        </w:tc>
        <w:tc>
          <w:tcPr>
            <w:tcW w:w="414" w:type="pct"/>
            <w:shd w:val="clear" w:color="auto" w:fill="auto"/>
            <w:noWrap/>
            <w:vAlign w:val="center"/>
            <w:hideMark/>
          </w:tcPr>
          <w:p w14:paraId="3576BA9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0.914</w:t>
            </w:r>
          </w:p>
        </w:tc>
        <w:tc>
          <w:tcPr>
            <w:tcW w:w="424" w:type="pct"/>
            <w:shd w:val="clear" w:color="auto" w:fill="auto"/>
            <w:noWrap/>
            <w:vAlign w:val="center"/>
          </w:tcPr>
          <w:p w14:paraId="26E1043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-1.01</w:t>
            </w:r>
          </w:p>
        </w:tc>
        <w:tc>
          <w:tcPr>
            <w:tcW w:w="405" w:type="pct"/>
            <w:shd w:val="clear" w:color="auto" w:fill="auto"/>
            <w:noWrap/>
            <w:vAlign w:val="center"/>
          </w:tcPr>
          <w:p w14:paraId="216C08F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0.930</w:t>
            </w:r>
          </w:p>
        </w:tc>
        <w:tc>
          <w:tcPr>
            <w:tcW w:w="394" w:type="pct"/>
            <w:shd w:val="clear" w:color="auto" w:fill="auto"/>
            <w:noWrap/>
            <w:vAlign w:val="center"/>
          </w:tcPr>
          <w:p w14:paraId="48A030F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1.25</w:t>
            </w:r>
          </w:p>
        </w:tc>
        <w:tc>
          <w:tcPr>
            <w:tcW w:w="448" w:type="pct"/>
            <w:shd w:val="clear" w:color="auto" w:fill="auto"/>
            <w:noWrap/>
            <w:vAlign w:val="center"/>
          </w:tcPr>
          <w:p w14:paraId="4484242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0.051</w:t>
            </w:r>
          </w:p>
        </w:tc>
        <w:tc>
          <w:tcPr>
            <w:tcW w:w="426" w:type="pct"/>
            <w:shd w:val="clear" w:color="auto" w:fill="auto"/>
            <w:noWrap/>
            <w:vAlign w:val="center"/>
            <w:hideMark/>
          </w:tcPr>
          <w:p w14:paraId="1C6C395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1.85</w:t>
            </w:r>
          </w:p>
        </w:tc>
        <w:tc>
          <w:tcPr>
            <w:tcW w:w="562" w:type="pct"/>
            <w:shd w:val="clear" w:color="auto" w:fill="auto"/>
            <w:noWrap/>
            <w:vAlign w:val="center"/>
            <w:hideMark/>
          </w:tcPr>
          <w:p w14:paraId="7EDFE55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0.546</w:t>
            </w:r>
          </w:p>
        </w:tc>
      </w:tr>
      <w:tr w:rsidR="009B15C3" w:rsidRPr="000A2F91" w14:paraId="595C5AD8" w14:textId="77777777" w:rsidTr="00A361AD">
        <w:trPr>
          <w:trHeight w:val="300"/>
          <w:jc w:val="center"/>
        </w:trPr>
        <w:tc>
          <w:tcPr>
            <w:tcW w:w="594" w:type="pct"/>
            <w:shd w:val="clear" w:color="auto" w:fill="auto"/>
            <w:vAlign w:val="center"/>
            <w:hideMark/>
          </w:tcPr>
          <w:p w14:paraId="3665D1B3"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RELA</w:t>
            </w:r>
          </w:p>
        </w:tc>
        <w:tc>
          <w:tcPr>
            <w:tcW w:w="391" w:type="pct"/>
            <w:shd w:val="clear" w:color="auto" w:fill="auto"/>
            <w:vAlign w:val="center"/>
            <w:hideMark/>
          </w:tcPr>
          <w:p w14:paraId="7B2A8149"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-1.92</w:t>
            </w:r>
          </w:p>
        </w:tc>
        <w:tc>
          <w:tcPr>
            <w:tcW w:w="527" w:type="pct"/>
            <w:shd w:val="clear" w:color="auto" w:fill="auto"/>
            <w:vAlign w:val="center"/>
            <w:hideMark/>
          </w:tcPr>
          <w:p w14:paraId="28AED5BE"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564A963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-1.09</w:t>
            </w:r>
          </w:p>
        </w:tc>
        <w:tc>
          <w:tcPr>
            <w:tcW w:w="414" w:type="pct"/>
            <w:shd w:val="clear" w:color="auto" w:fill="auto"/>
            <w:noWrap/>
            <w:vAlign w:val="center"/>
            <w:hideMark/>
          </w:tcPr>
          <w:p w14:paraId="0670AA2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0.504</w:t>
            </w:r>
          </w:p>
        </w:tc>
        <w:tc>
          <w:tcPr>
            <w:tcW w:w="424" w:type="pct"/>
            <w:shd w:val="clear" w:color="auto" w:fill="auto"/>
            <w:noWrap/>
            <w:vAlign w:val="center"/>
          </w:tcPr>
          <w:p w14:paraId="2B3D21B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1.05</w:t>
            </w:r>
          </w:p>
        </w:tc>
        <w:tc>
          <w:tcPr>
            <w:tcW w:w="405" w:type="pct"/>
            <w:shd w:val="clear" w:color="auto" w:fill="auto"/>
            <w:noWrap/>
            <w:vAlign w:val="center"/>
          </w:tcPr>
          <w:p w14:paraId="6342569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0.700</w:t>
            </w:r>
          </w:p>
        </w:tc>
        <w:tc>
          <w:tcPr>
            <w:tcW w:w="394" w:type="pct"/>
            <w:shd w:val="clear" w:color="auto" w:fill="auto"/>
            <w:noWrap/>
            <w:vAlign w:val="center"/>
          </w:tcPr>
          <w:p w14:paraId="0301EB0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1.29</w:t>
            </w:r>
          </w:p>
        </w:tc>
        <w:tc>
          <w:tcPr>
            <w:tcW w:w="448" w:type="pct"/>
            <w:shd w:val="clear" w:color="auto" w:fill="auto"/>
            <w:noWrap/>
            <w:vAlign w:val="center"/>
          </w:tcPr>
          <w:p w14:paraId="7BA145A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0.138</w:t>
            </w:r>
          </w:p>
        </w:tc>
        <w:tc>
          <w:tcPr>
            <w:tcW w:w="426" w:type="pct"/>
            <w:shd w:val="clear" w:color="auto" w:fill="auto"/>
            <w:noWrap/>
            <w:vAlign w:val="center"/>
            <w:hideMark/>
          </w:tcPr>
          <w:p w14:paraId="74F9EBA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1.28</w:t>
            </w:r>
          </w:p>
        </w:tc>
        <w:tc>
          <w:tcPr>
            <w:tcW w:w="562" w:type="pct"/>
            <w:shd w:val="clear" w:color="auto" w:fill="auto"/>
            <w:noWrap/>
            <w:vAlign w:val="center"/>
            <w:hideMark/>
          </w:tcPr>
          <w:p w14:paraId="32D2BAF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0.187</w:t>
            </w:r>
          </w:p>
        </w:tc>
      </w:tr>
      <w:tr w:rsidR="009B15C3" w:rsidRPr="000A2F91" w14:paraId="2DC5EB4C" w14:textId="77777777" w:rsidTr="00A361AD">
        <w:trPr>
          <w:trHeight w:val="300"/>
          <w:jc w:val="center"/>
        </w:trPr>
        <w:tc>
          <w:tcPr>
            <w:tcW w:w="594" w:type="pct"/>
            <w:shd w:val="clear" w:color="auto" w:fill="auto"/>
            <w:vAlign w:val="center"/>
            <w:hideMark/>
          </w:tcPr>
          <w:p w14:paraId="4715EFA1"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RELB</w:t>
            </w:r>
          </w:p>
        </w:tc>
        <w:tc>
          <w:tcPr>
            <w:tcW w:w="391" w:type="pct"/>
            <w:shd w:val="clear" w:color="auto" w:fill="auto"/>
            <w:vAlign w:val="center"/>
            <w:hideMark/>
          </w:tcPr>
          <w:p w14:paraId="2F96C131"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-2.95</w:t>
            </w:r>
          </w:p>
        </w:tc>
        <w:tc>
          <w:tcPr>
            <w:tcW w:w="527" w:type="pct"/>
            <w:shd w:val="clear" w:color="auto" w:fill="auto"/>
            <w:vAlign w:val="center"/>
            <w:hideMark/>
          </w:tcPr>
          <w:p w14:paraId="457E3623"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15EFC58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14" w:type="pct"/>
            <w:shd w:val="clear" w:color="auto" w:fill="auto"/>
            <w:noWrap/>
            <w:vAlign w:val="center"/>
            <w:hideMark/>
          </w:tcPr>
          <w:p w14:paraId="2A7A1D65"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0.501</w:t>
            </w:r>
          </w:p>
        </w:tc>
        <w:tc>
          <w:tcPr>
            <w:tcW w:w="424" w:type="pct"/>
            <w:shd w:val="clear" w:color="auto" w:fill="auto"/>
            <w:noWrap/>
            <w:vAlign w:val="center"/>
          </w:tcPr>
          <w:p w14:paraId="29C6728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-1.04</w:t>
            </w:r>
          </w:p>
        </w:tc>
        <w:tc>
          <w:tcPr>
            <w:tcW w:w="405" w:type="pct"/>
            <w:shd w:val="clear" w:color="auto" w:fill="auto"/>
            <w:noWrap/>
            <w:vAlign w:val="center"/>
          </w:tcPr>
          <w:p w14:paraId="3D2364E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0.386</w:t>
            </w:r>
          </w:p>
        </w:tc>
        <w:tc>
          <w:tcPr>
            <w:tcW w:w="394" w:type="pct"/>
            <w:shd w:val="clear" w:color="auto" w:fill="auto"/>
            <w:noWrap/>
            <w:vAlign w:val="center"/>
          </w:tcPr>
          <w:p w14:paraId="11E3BC6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1.24</w:t>
            </w:r>
          </w:p>
        </w:tc>
        <w:tc>
          <w:tcPr>
            <w:tcW w:w="448" w:type="pct"/>
            <w:shd w:val="clear" w:color="auto" w:fill="auto"/>
            <w:noWrap/>
            <w:vAlign w:val="center"/>
          </w:tcPr>
          <w:p w14:paraId="68C083C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0.332</w:t>
            </w:r>
          </w:p>
        </w:tc>
        <w:tc>
          <w:tcPr>
            <w:tcW w:w="426" w:type="pct"/>
            <w:shd w:val="clear" w:color="auto" w:fill="auto"/>
            <w:noWrap/>
            <w:vAlign w:val="center"/>
            <w:hideMark/>
          </w:tcPr>
          <w:p w14:paraId="3C8B5B0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1.50</w:t>
            </w:r>
          </w:p>
        </w:tc>
        <w:tc>
          <w:tcPr>
            <w:tcW w:w="562" w:type="pct"/>
            <w:shd w:val="clear" w:color="auto" w:fill="auto"/>
            <w:noWrap/>
            <w:vAlign w:val="center"/>
            <w:hideMark/>
          </w:tcPr>
          <w:p w14:paraId="492F11A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0.156</w:t>
            </w:r>
          </w:p>
        </w:tc>
      </w:tr>
      <w:tr w:rsidR="009B15C3" w:rsidRPr="000A2F91" w14:paraId="0512018E" w14:textId="77777777" w:rsidTr="00A361AD">
        <w:trPr>
          <w:trHeight w:val="300"/>
          <w:jc w:val="center"/>
        </w:trPr>
        <w:tc>
          <w:tcPr>
            <w:tcW w:w="594" w:type="pct"/>
            <w:shd w:val="clear" w:color="auto" w:fill="auto"/>
            <w:vAlign w:val="center"/>
            <w:hideMark/>
          </w:tcPr>
          <w:p w14:paraId="1CE08719"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AKT1</w:t>
            </w:r>
          </w:p>
        </w:tc>
        <w:tc>
          <w:tcPr>
            <w:tcW w:w="391" w:type="pct"/>
            <w:shd w:val="clear" w:color="auto" w:fill="auto"/>
            <w:vAlign w:val="center"/>
            <w:hideMark/>
          </w:tcPr>
          <w:p w14:paraId="6CAB7E4E"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-1.87</w:t>
            </w:r>
          </w:p>
        </w:tc>
        <w:tc>
          <w:tcPr>
            <w:tcW w:w="527" w:type="pct"/>
            <w:shd w:val="clear" w:color="auto" w:fill="auto"/>
            <w:vAlign w:val="center"/>
            <w:hideMark/>
          </w:tcPr>
          <w:p w14:paraId="0A196755"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0B9DD81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1.05</w:t>
            </w:r>
          </w:p>
        </w:tc>
        <w:tc>
          <w:tcPr>
            <w:tcW w:w="414" w:type="pct"/>
            <w:shd w:val="clear" w:color="auto" w:fill="auto"/>
            <w:noWrap/>
            <w:vAlign w:val="center"/>
            <w:hideMark/>
          </w:tcPr>
          <w:p w14:paraId="4176896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0.825</w:t>
            </w:r>
          </w:p>
        </w:tc>
        <w:tc>
          <w:tcPr>
            <w:tcW w:w="424" w:type="pct"/>
            <w:shd w:val="clear" w:color="auto" w:fill="auto"/>
            <w:noWrap/>
            <w:vAlign w:val="center"/>
          </w:tcPr>
          <w:p w14:paraId="7B82C32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1.12</w:t>
            </w:r>
          </w:p>
        </w:tc>
        <w:tc>
          <w:tcPr>
            <w:tcW w:w="405" w:type="pct"/>
            <w:shd w:val="clear" w:color="auto" w:fill="auto"/>
            <w:noWrap/>
            <w:vAlign w:val="center"/>
          </w:tcPr>
          <w:p w14:paraId="6284D374" w14:textId="77777777" w:rsidR="009B15C3" w:rsidRPr="00A361AD" w:rsidRDefault="009B15C3" w:rsidP="009E0699">
            <w:pPr>
              <w:spacing w:after="0" w:line="240" w:lineRule="auto"/>
              <w:jc w:val="center"/>
              <w:rPr>
                <w:rFonts w:ascii="Arial" w:eastAsia="Times New Roman" w:hAnsi="Arial" w:cs="Arial"/>
                <w:bCs/>
                <w:color w:val="000000"/>
                <w:sz w:val="18"/>
                <w:szCs w:val="18"/>
                <w:lang w:eastAsia="en-GB"/>
              </w:rPr>
            </w:pPr>
            <w:r w:rsidRPr="00A361AD">
              <w:rPr>
                <w:rFonts w:ascii="Arial" w:eastAsia="Times New Roman" w:hAnsi="Arial" w:cs="Arial"/>
                <w:bCs/>
                <w:color w:val="000000"/>
                <w:sz w:val="18"/>
                <w:szCs w:val="18"/>
                <w:lang w:eastAsia="en-GB"/>
              </w:rPr>
              <w:t>0.690</w:t>
            </w:r>
          </w:p>
        </w:tc>
        <w:tc>
          <w:tcPr>
            <w:tcW w:w="394" w:type="pct"/>
            <w:shd w:val="clear" w:color="auto" w:fill="auto"/>
            <w:noWrap/>
            <w:vAlign w:val="center"/>
          </w:tcPr>
          <w:p w14:paraId="1CB0FCC2"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1.39</w:t>
            </w:r>
          </w:p>
        </w:tc>
        <w:tc>
          <w:tcPr>
            <w:tcW w:w="448" w:type="pct"/>
            <w:shd w:val="clear" w:color="auto" w:fill="auto"/>
            <w:noWrap/>
            <w:vAlign w:val="center"/>
          </w:tcPr>
          <w:p w14:paraId="4CDD5C5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bCs/>
                <w:color w:val="000000"/>
                <w:sz w:val="18"/>
                <w:szCs w:val="18"/>
                <w:lang w:eastAsia="en-GB"/>
              </w:rPr>
              <w:t>0.033</w:t>
            </w:r>
          </w:p>
        </w:tc>
        <w:tc>
          <w:tcPr>
            <w:tcW w:w="426" w:type="pct"/>
            <w:shd w:val="clear" w:color="auto" w:fill="auto"/>
            <w:noWrap/>
            <w:vAlign w:val="center"/>
            <w:hideMark/>
          </w:tcPr>
          <w:p w14:paraId="632D5D5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1.31</w:t>
            </w:r>
          </w:p>
        </w:tc>
        <w:tc>
          <w:tcPr>
            <w:tcW w:w="562" w:type="pct"/>
            <w:shd w:val="clear" w:color="auto" w:fill="auto"/>
            <w:noWrap/>
            <w:vAlign w:val="center"/>
            <w:hideMark/>
          </w:tcPr>
          <w:p w14:paraId="5E62884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0.194</w:t>
            </w:r>
          </w:p>
        </w:tc>
      </w:tr>
      <w:tr w:rsidR="009B15C3" w:rsidRPr="000A2F91" w14:paraId="71C7D80A" w14:textId="77777777" w:rsidTr="00A361AD">
        <w:trPr>
          <w:trHeight w:val="300"/>
          <w:jc w:val="center"/>
        </w:trPr>
        <w:tc>
          <w:tcPr>
            <w:tcW w:w="594" w:type="pct"/>
            <w:shd w:val="clear" w:color="auto" w:fill="auto"/>
            <w:vAlign w:val="center"/>
            <w:hideMark/>
          </w:tcPr>
          <w:p w14:paraId="1ED25332"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IRF1</w:t>
            </w:r>
          </w:p>
        </w:tc>
        <w:tc>
          <w:tcPr>
            <w:tcW w:w="391" w:type="pct"/>
            <w:shd w:val="clear" w:color="auto" w:fill="auto"/>
            <w:vAlign w:val="center"/>
            <w:hideMark/>
          </w:tcPr>
          <w:p w14:paraId="05CE57E5"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-1.93</w:t>
            </w:r>
          </w:p>
        </w:tc>
        <w:tc>
          <w:tcPr>
            <w:tcW w:w="527" w:type="pct"/>
            <w:shd w:val="clear" w:color="auto" w:fill="auto"/>
            <w:vAlign w:val="center"/>
            <w:hideMark/>
          </w:tcPr>
          <w:p w14:paraId="580E9E8B"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43E516B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1.13</w:t>
            </w:r>
          </w:p>
        </w:tc>
        <w:tc>
          <w:tcPr>
            <w:tcW w:w="414" w:type="pct"/>
            <w:shd w:val="clear" w:color="auto" w:fill="auto"/>
            <w:noWrap/>
            <w:vAlign w:val="center"/>
            <w:hideMark/>
          </w:tcPr>
          <w:p w14:paraId="46A5F4C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0.452</w:t>
            </w:r>
          </w:p>
        </w:tc>
        <w:tc>
          <w:tcPr>
            <w:tcW w:w="424" w:type="pct"/>
            <w:shd w:val="clear" w:color="auto" w:fill="auto"/>
            <w:vAlign w:val="center"/>
          </w:tcPr>
          <w:p w14:paraId="67AC3EE5"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1.32</w:t>
            </w:r>
          </w:p>
        </w:tc>
        <w:tc>
          <w:tcPr>
            <w:tcW w:w="405" w:type="pct"/>
            <w:shd w:val="clear" w:color="auto" w:fill="auto"/>
            <w:vAlign w:val="center"/>
          </w:tcPr>
          <w:p w14:paraId="55F5D7C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0.450</w:t>
            </w:r>
          </w:p>
        </w:tc>
        <w:tc>
          <w:tcPr>
            <w:tcW w:w="394" w:type="pct"/>
            <w:shd w:val="clear" w:color="auto" w:fill="D9D9D9" w:themeFill="background1" w:themeFillShade="D9"/>
            <w:noWrap/>
            <w:vAlign w:val="center"/>
          </w:tcPr>
          <w:p w14:paraId="53636EB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 xml:space="preserve">1.63 </w:t>
            </w:r>
          </w:p>
        </w:tc>
        <w:tc>
          <w:tcPr>
            <w:tcW w:w="448" w:type="pct"/>
            <w:shd w:val="clear" w:color="auto" w:fill="D9D9D9" w:themeFill="background1" w:themeFillShade="D9"/>
            <w:noWrap/>
            <w:vAlign w:val="center"/>
          </w:tcPr>
          <w:p w14:paraId="289B4DA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 xml:space="preserve">0.037 </w:t>
            </w:r>
          </w:p>
        </w:tc>
        <w:tc>
          <w:tcPr>
            <w:tcW w:w="426" w:type="pct"/>
            <w:shd w:val="clear" w:color="auto" w:fill="auto"/>
            <w:noWrap/>
            <w:vAlign w:val="center"/>
            <w:hideMark/>
          </w:tcPr>
          <w:p w14:paraId="68FDE99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1.58</w:t>
            </w:r>
          </w:p>
        </w:tc>
        <w:tc>
          <w:tcPr>
            <w:tcW w:w="562" w:type="pct"/>
            <w:shd w:val="clear" w:color="auto" w:fill="auto"/>
            <w:noWrap/>
            <w:vAlign w:val="center"/>
            <w:hideMark/>
          </w:tcPr>
          <w:p w14:paraId="6FF6FFF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0.109</w:t>
            </w:r>
          </w:p>
        </w:tc>
      </w:tr>
      <w:tr w:rsidR="009B15C3" w:rsidRPr="000A2F91" w14:paraId="26EF43F0" w14:textId="77777777" w:rsidTr="00A361AD">
        <w:trPr>
          <w:trHeight w:val="300"/>
          <w:jc w:val="center"/>
        </w:trPr>
        <w:tc>
          <w:tcPr>
            <w:tcW w:w="594" w:type="pct"/>
            <w:shd w:val="clear" w:color="auto" w:fill="auto"/>
            <w:vAlign w:val="center"/>
            <w:hideMark/>
          </w:tcPr>
          <w:p w14:paraId="1AB7E1F5"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STAT1</w:t>
            </w:r>
          </w:p>
        </w:tc>
        <w:tc>
          <w:tcPr>
            <w:tcW w:w="391" w:type="pct"/>
            <w:shd w:val="clear" w:color="auto" w:fill="auto"/>
            <w:vAlign w:val="center"/>
            <w:hideMark/>
          </w:tcPr>
          <w:p w14:paraId="1B644441"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-1.89</w:t>
            </w:r>
          </w:p>
        </w:tc>
        <w:tc>
          <w:tcPr>
            <w:tcW w:w="527" w:type="pct"/>
            <w:shd w:val="clear" w:color="auto" w:fill="auto"/>
            <w:vAlign w:val="center"/>
            <w:hideMark/>
          </w:tcPr>
          <w:p w14:paraId="709B39B1"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0E01317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-1.08</w:t>
            </w:r>
          </w:p>
        </w:tc>
        <w:tc>
          <w:tcPr>
            <w:tcW w:w="414" w:type="pct"/>
            <w:shd w:val="clear" w:color="auto" w:fill="auto"/>
            <w:noWrap/>
            <w:vAlign w:val="center"/>
            <w:hideMark/>
          </w:tcPr>
          <w:p w14:paraId="5ED366F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0.689</w:t>
            </w:r>
          </w:p>
        </w:tc>
        <w:tc>
          <w:tcPr>
            <w:tcW w:w="424" w:type="pct"/>
            <w:shd w:val="clear" w:color="auto" w:fill="auto"/>
            <w:noWrap/>
            <w:vAlign w:val="center"/>
          </w:tcPr>
          <w:p w14:paraId="6F20F4A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1.22</w:t>
            </w:r>
          </w:p>
        </w:tc>
        <w:tc>
          <w:tcPr>
            <w:tcW w:w="405" w:type="pct"/>
            <w:shd w:val="clear" w:color="auto" w:fill="auto"/>
            <w:noWrap/>
            <w:vAlign w:val="center"/>
          </w:tcPr>
          <w:p w14:paraId="5E579BD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0.658</w:t>
            </w:r>
          </w:p>
        </w:tc>
        <w:tc>
          <w:tcPr>
            <w:tcW w:w="394" w:type="pct"/>
            <w:shd w:val="clear" w:color="auto" w:fill="auto"/>
            <w:noWrap/>
            <w:vAlign w:val="center"/>
          </w:tcPr>
          <w:p w14:paraId="62025ED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1.49</w:t>
            </w:r>
          </w:p>
        </w:tc>
        <w:tc>
          <w:tcPr>
            <w:tcW w:w="448" w:type="pct"/>
            <w:shd w:val="clear" w:color="auto" w:fill="auto"/>
            <w:noWrap/>
            <w:vAlign w:val="center"/>
          </w:tcPr>
          <w:p w14:paraId="0FFD793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0.037</w:t>
            </w:r>
          </w:p>
        </w:tc>
        <w:tc>
          <w:tcPr>
            <w:tcW w:w="426" w:type="pct"/>
            <w:shd w:val="clear" w:color="auto" w:fill="auto"/>
            <w:noWrap/>
            <w:vAlign w:val="center"/>
            <w:hideMark/>
          </w:tcPr>
          <w:p w14:paraId="0A1FBFF2"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562" w:type="pct"/>
            <w:shd w:val="clear" w:color="auto" w:fill="auto"/>
            <w:noWrap/>
            <w:vAlign w:val="center"/>
            <w:hideMark/>
          </w:tcPr>
          <w:p w14:paraId="7F136AA5"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0.730</w:t>
            </w:r>
          </w:p>
        </w:tc>
      </w:tr>
      <w:tr w:rsidR="009B15C3" w:rsidRPr="000A2F91" w14:paraId="39487F21" w14:textId="77777777" w:rsidTr="00A361AD">
        <w:trPr>
          <w:trHeight w:val="300"/>
          <w:jc w:val="center"/>
        </w:trPr>
        <w:tc>
          <w:tcPr>
            <w:tcW w:w="594" w:type="pct"/>
            <w:shd w:val="clear" w:color="auto" w:fill="auto"/>
            <w:vAlign w:val="center"/>
            <w:hideMark/>
          </w:tcPr>
          <w:p w14:paraId="440E1BBD"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CD40</w:t>
            </w:r>
          </w:p>
        </w:tc>
        <w:tc>
          <w:tcPr>
            <w:tcW w:w="391" w:type="pct"/>
            <w:shd w:val="clear" w:color="auto" w:fill="auto"/>
            <w:vAlign w:val="center"/>
            <w:hideMark/>
          </w:tcPr>
          <w:p w14:paraId="6C4AFB6C"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-2.47</w:t>
            </w:r>
          </w:p>
        </w:tc>
        <w:tc>
          <w:tcPr>
            <w:tcW w:w="527" w:type="pct"/>
            <w:shd w:val="clear" w:color="auto" w:fill="auto"/>
            <w:vAlign w:val="center"/>
            <w:hideMark/>
          </w:tcPr>
          <w:p w14:paraId="139C4F4E"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6E9B1A8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-1.12</w:t>
            </w:r>
          </w:p>
        </w:tc>
        <w:tc>
          <w:tcPr>
            <w:tcW w:w="414" w:type="pct"/>
            <w:shd w:val="clear" w:color="auto" w:fill="auto"/>
            <w:noWrap/>
            <w:vAlign w:val="center"/>
            <w:hideMark/>
          </w:tcPr>
          <w:p w14:paraId="4F56B4C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0.441</w:t>
            </w:r>
          </w:p>
        </w:tc>
        <w:tc>
          <w:tcPr>
            <w:tcW w:w="424" w:type="pct"/>
            <w:shd w:val="clear" w:color="auto" w:fill="auto"/>
            <w:noWrap/>
            <w:vAlign w:val="center"/>
          </w:tcPr>
          <w:p w14:paraId="4C61B4B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1.08</w:t>
            </w:r>
          </w:p>
        </w:tc>
        <w:tc>
          <w:tcPr>
            <w:tcW w:w="405" w:type="pct"/>
            <w:shd w:val="clear" w:color="auto" w:fill="auto"/>
            <w:noWrap/>
            <w:vAlign w:val="center"/>
          </w:tcPr>
          <w:p w14:paraId="5B5ED7C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0.984</w:t>
            </w:r>
          </w:p>
        </w:tc>
        <w:tc>
          <w:tcPr>
            <w:tcW w:w="394" w:type="pct"/>
            <w:shd w:val="clear" w:color="auto" w:fill="auto"/>
            <w:noWrap/>
            <w:vAlign w:val="center"/>
          </w:tcPr>
          <w:p w14:paraId="6089AEF5"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1.41</w:t>
            </w:r>
          </w:p>
        </w:tc>
        <w:tc>
          <w:tcPr>
            <w:tcW w:w="448" w:type="pct"/>
            <w:shd w:val="clear" w:color="auto" w:fill="auto"/>
            <w:noWrap/>
            <w:vAlign w:val="center"/>
          </w:tcPr>
          <w:p w14:paraId="1D09E4E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0.073</w:t>
            </w:r>
          </w:p>
        </w:tc>
        <w:tc>
          <w:tcPr>
            <w:tcW w:w="426" w:type="pct"/>
            <w:shd w:val="clear" w:color="auto" w:fill="auto"/>
            <w:noWrap/>
            <w:vAlign w:val="center"/>
            <w:hideMark/>
          </w:tcPr>
          <w:p w14:paraId="1F9ECA4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1.35</w:t>
            </w:r>
          </w:p>
        </w:tc>
        <w:tc>
          <w:tcPr>
            <w:tcW w:w="562" w:type="pct"/>
            <w:shd w:val="clear" w:color="auto" w:fill="auto"/>
            <w:noWrap/>
            <w:vAlign w:val="center"/>
            <w:hideMark/>
          </w:tcPr>
          <w:p w14:paraId="29C302A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0.405</w:t>
            </w:r>
          </w:p>
        </w:tc>
      </w:tr>
      <w:tr w:rsidR="009B15C3" w:rsidRPr="000A2F91" w14:paraId="57C07C52" w14:textId="77777777" w:rsidTr="00A361AD">
        <w:trPr>
          <w:trHeight w:val="300"/>
          <w:jc w:val="center"/>
        </w:trPr>
        <w:tc>
          <w:tcPr>
            <w:tcW w:w="594" w:type="pct"/>
            <w:shd w:val="clear" w:color="auto" w:fill="auto"/>
            <w:vAlign w:val="center"/>
            <w:hideMark/>
          </w:tcPr>
          <w:p w14:paraId="2D41E803"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LTA</w:t>
            </w:r>
          </w:p>
        </w:tc>
        <w:tc>
          <w:tcPr>
            <w:tcW w:w="391" w:type="pct"/>
            <w:shd w:val="clear" w:color="auto" w:fill="auto"/>
            <w:vAlign w:val="center"/>
            <w:hideMark/>
          </w:tcPr>
          <w:p w14:paraId="546E7875"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-2.17</w:t>
            </w:r>
          </w:p>
        </w:tc>
        <w:tc>
          <w:tcPr>
            <w:tcW w:w="527" w:type="pct"/>
            <w:shd w:val="clear" w:color="auto" w:fill="auto"/>
            <w:vAlign w:val="center"/>
            <w:hideMark/>
          </w:tcPr>
          <w:p w14:paraId="2D0FF147"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57A8034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1.21</w:t>
            </w:r>
          </w:p>
        </w:tc>
        <w:tc>
          <w:tcPr>
            <w:tcW w:w="414" w:type="pct"/>
            <w:shd w:val="clear" w:color="auto" w:fill="auto"/>
            <w:noWrap/>
            <w:vAlign w:val="center"/>
            <w:hideMark/>
          </w:tcPr>
          <w:p w14:paraId="63930732"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0.544</w:t>
            </w:r>
          </w:p>
        </w:tc>
        <w:tc>
          <w:tcPr>
            <w:tcW w:w="424" w:type="pct"/>
            <w:shd w:val="clear" w:color="auto" w:fill="auto"/>
            <w:noWrap/>
            <w:vAlign w:val="center"/>
          </w:tcPr>
          <w:p w14:paraId="1A87F6C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1.54</w:t>
            </w:r>
          </w:p>
        </w:tc>
        <w:tc>
          <w:tcPr>
            <w:tcW w:w="405" w:type="pct"/>
            <w:shd w:val="clear" w:color="auto" w:fill="auto"/>
            <w:noWrap/>
            <w:vAlign w:val="center"/>
          </w:tcPr>
          <w:p w14:paraId="6D134CE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0.744</w:t>
            </w:r>
          </w:p>
        </w:tc>
        <w:tc>
          <w:tcPr>
            <w:tcW w:w="394" w:type="pct"/>
            <w:shd w:val="clear" w:color="auto" w:fill="auto"/>
            <w:noWrap/>
            <w:vAlign w:val="center"/>
          </w:tcPr>
          <w:p w14:paraId="1879B8C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1.95</w:t>
            </w:r>
          </w:p>
        </w:tc>
        <w:tc>
          <w:tcPr>
            <w:tcW w:w="448" w:type="pct"/>
            <w:shd w:val="clear" w:color="auto" w:fill="auto"/>
            <w:noWrap/>
            <w:vAlign w:val="center"/>
          </w:tcPr>
          <w:p w14:paraId="10B3283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0.573</w:t>
            </w:r>
          </w:p>
        </w:tc>
        <w:tc>
          <w:tcPr>
            <w:tcW w:w="426" w:type="pct"/>
            <w:shd w:val="clear" w:color="auto" w:fill="auto"/>
            <w:noWrap/>
            <w:vAlign w:val="center"/>
            <w:hideMark/>
          </w:tcPr>
          <w:p w14:paraId="441B02C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2.16</w:t>
            </w:r>
          </w:p>
        </w:tc>
        <w:tc>
          <w:tcPr>
            <w:tcW w:w="562" w:type="pct"/>
            <w:shd w:val="clear" w:color="auto" w:fill="auto"/>
            <w:noWrap/>
            <w:vAlign w:val="center"/>
            <w:hideMark/>
          </w:tcPr>
          <w:p w14:paraId="5B47421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0.485</w:t>
            </w:r>
          </w:p>
        </w:tc>
      </w:tr>
      <w:tr w:rsidR="009B15C3" w:rsidRPr="000A2F91" w14:paraId="4BE469DC" w14:textId="77777777" w:rsidTr="00A361AD">
        <w:trPr>
          <w:trHeight w:val="300"/>
          <w:jc w:val="center"/>
        </w:trPr>
        <w:tc>
          <w:tcPr>
            <w:tcW w:w="594" w:type="pct"/>
            <w:shd w:val="clear" w:color="auto" w:fill="auto"/>
            <w:vAlign w:val="center"/>
            <w:hideMark/>
          </w:tcPr>
          <w:p w14:paraId="0E6E468F"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bCs/>
                <w:i/>
                <w:iCs/>
                <w:color w:val="000000"/>
                <w:sz w:val="18"/>
                <w:szCs w:val="18"/>
                <w:lang w:eastAsia="en-GB"/>
              </w:rPr>
              <w:t>TRAF2</w:t>
            </w:r>
          </w:p>
        </w:tc>
        <w:tc>
          <w:tcPr>
            <w:tcW w:w="391" w:type="pct"/>
            <w:shd w:val="clear" w:color="auto" w:fill="auto"/>
            <w:vAlign w:val="center"/>
            <w:hideMark/>
          </w:tcPr>
          <w:p w14:paraId="37959D96"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-1.97</w:t>
            </w:r>
          </w:p>
        </w:tc>
        <w:tc>
          <w:tcPr>
            <w:tcW w:w="527" w:type="pct"/>
            <w:shd w:val="clear" w:color="auto" w:fill="auto"/>
            <w:vAlign w:val="center"/>
            <w:hideMark/>
          </w:tcPr>
          <w:p w14:paraId="01CB61D5"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 0.001</w:t>
            </w:r>
          </w:p>
        </w:tc>
        <w:tc>
          <w:tcPr>
            <w:tcW w:w="415" w:type="pct"/>
            <w:shd w:val="clear" w:color="auto" w:fill="auto"/>
            <w:noWrap/>
            <w:vAlign w:val="center"/>
            <w:hideMark/>
          </w:tcPr>
          <w:p w14:paraId="7274CFC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-1.11</w:t>
            </w:r>
          </w:p>
        </w:tc>
        <w:tc>
          <w:tcPr>
            <w:tcW w:w="414" w:type="pct"/>
            <w:shd w:val="clear" w:color="auto" w:fill="auto"/>
            <w:noWrap/>
            <w:vAlign w:val="center"/>
            <w:hideMark/>
          </w:tcPr>
          <w:p w14:paraId="0654670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0.568</w:t>
            </w:r>
          </w:p>
        </w:tc>
        <w:tc>
          <w:tcPr>
            <w:tcW w:w="424" w:type="pct"/>
            <w:shd w:val="clear" w:color="auto" w:fill="auto"/>
            <w:vAlign w:val="center"/>
          </w:tcPr>
          <w:p w14:paraId="6F02596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1.31</w:t>
            </w:r>
          </w:p>
        </w:tc>
        <w:tc>
          <w:tcPr>
            <w:tcW w:w="405" w:type="pct"/>
            <w:shd w:val="clear" w:color="auto" w:fill="auto"/>
            <w:vAlign w:val="center"/>
          </w:tcPr>
          <w:p w14:paraId="482DA687"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0.630</w:t>
            </w:r>
          </w:p>
        </w:tc>
        <w:tc>
          <w:tcPr>
            <w:tcW w:w="394" w:type="pct"/>
            <w:shd w:val="clear" w:color="auto" w:fill="D9D9D9" w:themeFill="background1" w:themeFillShade="D9"/>
            <w:noWrap/>
            <w:vAlign w:val="center"/>
          </w:tcPr>
          <w:p w14:paraId="1A5A73A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 xml:space="preserve">1.64 </w:t>
            </w:r>
          </w:p>
        </w:tc>
        <w:tc>
          <w:tcPr>
            <w:tcW w:w="448" w:type="pct"/>
            <w:shd w:val="clear" w:color="auto" w:fill="D9D9D9" w:themeFill="background1" w:themeFillShade="D9"/>
            <w:noWrap/>
            <w:vAlign w:val="center"/>
          </w:tcPr>
          <w:p w14:paraId="1B142CC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bCs/>
                <w:iCs/>
                <w:color w:val="000000"/>
                <w:sz w:val="18"/>
                <w:szCs w:val="18"/>
                <w:lang w:eastAsia="en-GB"/>
              </w:rPr>
              <w:t>0.049</w:t>
            </w:r>
            <w:r w:rsidRPr="00A361AD">
              <w:rPr>
                <w:rFonts w:ascii="Arial" w:eastAsia="Times New Roman" w:hAnsi="Arial" w:cs="Arial"/>
                <w:color w:val="000000"/>
                <w:sz w:val="18"/>
                <w:szCs w:val="18"/>
                <w:lang w:eastAsia="en-GB"/>
              </w:rPr>
              <w:t xml:space="preserve"> </w:t>
            </w:r>
          </w:p>
        </w:tc>
        <w:tc>
          <w:tcPr>
            <w:tcW w:w="426" w:type="pct"/>
            <w:shd w:val="clear" w:color="auto" w:fill="auto"/>
            <w:noWrap/>
            <w:vAlign w:val="center"/>
            <w:hideMark/>
          </w:tcPr>
          <w:p w14:paraId="7007B1D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1.57</w:t>
            </w:r>
          </w:p>
        </w:tc>
        <w:tc>
          <w:tcPr>
            <w:tcW w:w="562" w:type="pct"/>
            <w:shd w:val="clear" w:color="auto" w:fill="auto"/>
            <w:noWrap/>
            <w:vAlign w:val="center"/>
            <w:hideMark/>
          </w:tcPr>
          <w:p w14:paraId="723DE76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0.402</w:t>
            </w:r>
          </w:p>
        </w:tc>
      </w:tr>
      <w:tr w:rsidR="009B15C3" w:rsidRPr="000A2F91" w14:paraId="6FD123D5" w14:textId="77777777" w:rsidTr="00A361AD">
        <w:trPr>
          <w:trHeight w:val="300"/>
          <w:jc w:val="center"/>
        </w:trPr>
        <w:tc>
          <w:tcPr>
            <w:tcW w:w="594" w:type="pct"/>
            <w:shd w:val="clear" w:color="auto" w:fill="auto"/>
            <w:vAlign w:val="center"/>
          </w:tcPr>
          <w:p w14:paraId="14BE035A"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i/>
                <w:iCs/>
                <w:color w:val="000000"/>
                <w:sz w:val="18"/>
                <w:szCs w:val="18"/>
                <w:lang w:eastAsia="en-GB"/>
              </w:rPr>
              <w:t>PTGS1</w:t>
            </w:r>
          </w:p>
        </w:tc>
        <w:tc>
          <w:tcPr>
            <w:tcW w:w="391" w:type="pct"/>
            <w:shd w:val="clear" w:color="auto" w:fill="auto"/>
            <w:vAlign w:val="center"/>
          </w:tcPr>
          <w:p w14:paraId="589352C9"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-2.16</w:t>
            </w:r>
          </w:p>
        </w:tc>
        <w:tc>
          <w:tcPr>
            <w:tcW w:w="527" w:type="pct"/>
            <w:shd w:val="clear" w:color="auto" w:fill="auto"/>
            <w:vAlign w:val="center"/>
          </w:tcPr>
          <w:p w14:paraId="26DBC09D"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tcPr>
          <w:p w14:paraId="5779077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14" w:type="pct"/>
            <w:shd w:val="clear" w:color="auto" w:fill="auto"/>
            <w:noWrap/>
            <w:vAlign w:val="center"/>
          </w:tcPr>
          <w:p w14:paraId="59208EE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0.798</w:t>
            </w:r>
          </w:p>
        </w:tc>
        <w:tc>
          <w:tcPr>
            <w:tcW w:w="424" w:type="pct"/>
            <w:shd w:val="clear" w:color="auto" w:fill="auto"/>
            <w:vAlign w:val="center"/>
          </w:tcPr>
          <w:p w14:paraId="511683D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1.02</w:t>
            </w:r>
          </w:p>
        </w:tc>
        <w:tc>
          <w:tcPr>
            <w:tcW w:w="405" w:type="pct"/>
            <w:shd w:val="clear" w:color="auto" w:fill="auto"/>
            <w:vAlign w:val="center"/>
          </w:tcPr>
          <w:p w14:paraId="67CBAB3C"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color w:val="000000"/>
                <w:sz w:val="18"/>
                <w:szCs w:val="18"/>
                <w:lang w:eastAsia="en-GB"/>
              </w:rPr>
              <w:t>0.869</w:t>
            </w:r>
          </w:p>
        </w:tc>
        <w:tc>
          <w:tcPr>
            <w:tcW w:w="394" w:type="pct"/>
            <w:shd w:val="clear" w:color="auto" w:fill="auto"/>
            <w:noWrap/>
            <w:vAlign w:val="center"/>
          </w:tcPr>
          <w:p w14:paraId="0B75137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1.24</w:t>
            </w:r>
          </w:p>
        </w:tc>
        <w:tc>
          <w:tcPr>
            <w:tcW w:w="448" w:type="pct"/>
            <w:shd w:val="clear" w:color="auto" w:fill="auto"/>
            <w:noWrap/>
            <w:vAlign w:val="center"/>
          </w:tcPr>
          <w:p w14:paraId="25794B19"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color w:val="000000"/>
                <w:sz w:val="18"/>
                <w:szCs w:val="18"/>
                <w:lang w:eastAsia="en-GB"/>
              </w:rPr>
              <w:t>0.156</w:t>
            </w:r>
          </w:p>
        </w:tc>
        <w:tc>
          <w:tcPr>
            <w:tcW w:w="426" w:type="pct"/>
            <w:shd w:val="clear" w:color="auto" w:fill="auto"/>
            <w:noWrap/>
            <w:vAlign w:val="center"/>
          </w:tcPr>
          <w:p w14:paraId="3942C9C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1.14</w:t>
            </w:r>
          </w:p>
        </w:tc>
        <w:tc>
          <w:tcPr>
            <w:tcW w:w="562" w:type="pct"/>
            <w:shd w:val="clear" w:color="auto" w:fill="auto"/>
            <w:noWrap/>
            <w:vAlign w:val="center"/>
          </w:tcPr>
          <w:p w14:paraId="524302D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0.674</w:t>
            </w:r>
          </w:p>
        </w:tc>
      </w:tr>
      <w:tr w:rsidR="009B15C3" w:rsidRPr="000A2F91" w14:paraId="423E6294" w14:textId="77777777" w:rsidTr="00A361AD">
        <w:trPr>
          <w:trHeight w:val="300"/>
          <w:jc w:val="center"/>
        </w:trPr>
        <w:tc>
          <w:tcPr>
            <w:tcW w:w="594" w:type="pct"/>
            <w:shd w:val="clear" w:color="auto" w:fill="auto"/>
            <w:vAlign w:val="center"/>
          </w:tcPr>
          <w:p w14:paraId="45589CE3" w14:textId="77777777" w:rsidR="009B15C3" w:rsidRPr="00A361AD" w:rsidRDefault="009B15C3" w:rsidP="009E0699">
            <w:pPr>
              <w:spacing w:after="0" w:line="240" w:lineRule="auto"/>
              <w:jc w:val="center"/>
              <w:rPr>
                <w:rFonts w:ascii="Arial" w:eastAsia="Times New Roman" w:hAnsi="Arial" w:cs="Arial"/>
                <w:b/>
                <w:bCs/>
                <w:i/>
                <w:iCs/>
                <w:color w:val="000000"/>
                <w:sz w:val="18"/>
                <w:szCs w:val="18"/>
                <w:lang w:eastAsia="en-GB"/>
              </w:rPr>
            </w:pPr>
            <w:r w:rsidRPr="00A361AD">
              <w:rPr>
                <w:rFonts w:ascii="Arial" w:eastAsia="Times New Roman" w:hAnsi="Arial" w:cs="Arial"/>
                <w:b/>
                <w:i/>
                <w:iCs/>
                <w:color w:val="000000"/>
                <w:sz w:val="18"/>
                <w:szCs w:val="18"/>
                <w:lang w:eastAsia="en-GB"/>
              </w:rPr>
              <w:t>ALOX12</w:t>
            </w:r>
          </w:p>
        </w:tc>
        <w:tc>
          <w:tcPr>
            <w:tcW w:w="391" w:type="pct"/>
            <w:shd w:val="clear" w:color="auto" w:fill="auto"/>
            <w:vAlign w:val="center"/>
          </w:tcPr>
          <w:p w14:paraId="738789B4"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-1.88</w:t>
            </w:r>
          </w:p>
        </w:tc>
        <w:tc>
          <w:tcPr>
            <w:tcW w:w="527" w:type="pct"/>
            <w:shd w:val="clear" w:color="auto" w:fill="auto"/>
            <w:vAlign w:val="center"/>
          </w:tcPr>
          <w:p w14:paraId="31BAA50B"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tcPr>
          <w:p w14:paraId="605A6B2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1.05</w:t>
            </w:r>
          </w:p>
        </w:tc>
        <w:tc>
          <w:tcPr>
            <w:tcW w:w="414" w:type="pct"/>
            <w:shd w:val="clear" w:color="auto" w:fill="auto"/>
            <w:noWrap/>
            <w:vAlign w:val="center"/>
          </w:tcPr>
          <w:p w14:paraId="07CD1D3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0.983</w:t>
            </w:r>
          </w:p>
        </w:tc>
        <w:tc>
          <w:tcPr>
            <w:tcW w:w="424" w:type="pct"/>
            <w:shd w:val="clear" w:color="auto" w:fill="auto"/>
            <w:vAlign w:val="center"/>
          </w:tcPr>
          <w:p w14:paraId="62E7B33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-1.02</w:t>
            </w:r>
          </w:p>
        </w:tc>
        <w:tc>
          <w:tcPr>
            <w:tcW w:w="405" w:type="pct"/>
            <w:shd w:val="clear" w:color="auto" w:fill="auto"/>
            <w:vAlign w:val="center"/>
          </w:tcPr>
          <w:p w14:paraId="6DD2D05E"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color w:val="000000"/>
                <w:sz w:val="18"/>
                <w:szCs w:val="18"/>
                <w:lang w:eastAsia="en-GB"/>
              </w:rPr>
              <w:t>0.763</w:t>
            </w:r>
          </w:p>
        </w:tc>
        <w:tc>
          <w:tcPr>
            <w:tcW w:w="394" w:type="pct"/>
            <w:shd w:val="clear" w:color="auto" w:fill="auto"/>
            <w:noWrap/>
            <w:vAlign w:val="center"/>
          </w:tcPr>
          <w:p w14:paraId="4B90975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1.15</w:t>
            </w:r>
          </w:p>
        </w:tc>
        <w:tc>
          <w:tcPr>
            <w:tcW w:w="448" w:type="pct"/>
            <w:shd w:val="clear" w:color="auto" w:fill="auto"/>
            <w:noWrap/>
            <w:vAlign w:val="center"/>
          </w:tcPr>
          <w:p w14:paraId="050BB650"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color w:val="000000"/>
                <w:sz w:val="18"/>
                <w:szCs w:val="18"/>
                <w:lang w:eastAsia="en-GB"/>
              </w:rPr>
              <w:t>0.217</w:t>
            </w:r>
          </w:p>
        </w:tc>
        <w:tc>
          <w:tcPr>
            <w:tcW w:w="426" w:type="pct"/>
            <w:shd w:val="clear" w:color="auto" w:fill="auto"/>
            <w:noWrap/>
            <w:vAlign w:val="center"/>
          </w:tcPr>
          <w:p w14:paraId="2D5DC14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1.10</w:t>
            </w:r>
          </w:p>
        </w:tc>
        <w:tc>
          <w:tcPr>
            <w:tcW w:w="562" w:type="pct"/>
            <w:shd w:val="clear" w:color="auto" w:fill="auto"/>
            <w:noWrap/>
            <w:vAlign w:val="center"/>
          </w:tcPr>
          <w:p w14:paraId="00CC8CB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0.837</w:t>
            </w:r>
          </w:p>
        </w:tc>
      </w:tr>
      <w:tr w:rsidR="009B15C3" w:rsidRPr="000A2F91" w14:paraId="590E9683" w14:textId="77777777" w:rsidTr="00A361AD">
        <w:trPr>
          <w:trHeight w:val="300"/>
          <w:jc w:val="center"/>
        </w:trPr>
        <w:tc>
          <w:tcPr>
            <w:tcW w:w="5000" w:type="pct"/>
            <w:gridSpan w:val="11"/>
            <w:shd w:val="clear" w:color="auto" w:fill="auto"/>
            <w:vAlign w:val="center"/>
            <w:hideMark/>
          </w:tcPr>
          <w:p w14:paraId="6E58A068" w14:textId="77777777" w:rsidR="009B15C3" w:rsidRPr="00A361AD" w:rsidRDefault="009B15C3" w:rsidP="009E0699">
            <w:pPr>
              <w:spacing w:after="0" w:line="240" w:lineRule="auto"/>
              <w:jc w:val="center"/>
              <w:rPr>
                <w:rFonts w:ascii="Arial" w:eastAsia="Times New Roman" w:hAnsi="Arial" w:cs="Arial"/>
                <w:b/>
                <w:bCs/>
                <w:color w:val="000000"/>
                <w:sz w:val="18"/>
                <w:szCs w:val="18"/>
                <w:lang w:eastAsia="en-GB"/>
              </w:rPr>
            </w:pPr>
            <w:r w:rsidRPr="00A361AD">
              <w:rPr>
                <w:rFonts w:ascii="Arial" w:eastAsia="Times New Roman" w:hAnsi="Arial" w:cs="Arial"/>
                <w:b/>
                <w:bCs/>
                <w:color w:val="000000"/>
                <w:sz w:val="18"/>
                <w:szCs w:val="18"/>
                <w:lang w:eastAsia="en-GB"/>
              </w:rPr>
              <w:t>Redox genes</w:t>
            </w:r>
          </w:p>
        </w:tc>
      </w:tr>
      <w:tr w:rsidR="009B15C3" w:rsidRPr="000A2F91" w14:paraId="354EE55D" w14:textId="77777777" w:rsidTr="00A361AD">
        <w:trPr>
          <w:trHeight w:val="300"/>
          <w:jc w:val="center"/>
        </w:trPr>
        <w:tc>
          <w:tcPr>
            <w:tcW w:w="594" w:type="pct"/>
            <w:shd w:val="clear" w:color="auto" w:fill="auto"/>
            <w:vAlign w:val="center"/>
            <w:hideMark/>
          </w:tcPr>
          <w:p w14:paraId="1FB10C9D"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DUOX1</w:t>
            </w:r>
          </w:p>
        </w:tc>
        <w:tc>
          <w:tcPr>
            <w:tcW w:w="391" w:type="pct"/>
            <w:shd w:val="clear" w:color="auto" w:fill="auto"/>
            <w:noWrap/>
            <w:vAlign w:val="center"/>
            <w:hideMark/>
          </w:tcPr>
          <w:p w14:paraId="663DA186"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-2.43</w:t>
            </w:r>
          </w:p>
        </w:tc>
        <w:tc>
          <w:tcPr>
            <w:tcW w:w="527" w:type="pct"/>
            <w:shd w:val="clear" w:color="auto" w:fill="auto"/>
            <w:noWrap/>
            <w:vAlign w:val="center"/>
            <w:hideMark/>
          </w:tcPr>
          <w:p w14:paraId="656A7E40"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417A3EA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1.12</w:t>
            </w:r>
          </w:p>
        </w:tc>
        <w:tc>
          <w:tcPr>
            <w:tcW w:w="414" w:type="pct"/>
            <w:shd w:val="clear" w:color="auto" w:fill="auto"/>
            <w:noWrap/>
            <w:vAlign w:val="center"/>
            <w:hideMark/>
          </w:tcPr>
          <w:p w14:paraId="09C291F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0.724</w:t>
            </w:r>
          </w:p>
        </w:tc>
        <w:tc>
          <w:tcPr>
            <w:tcW w:w="424" w:type="pct"/>
            <w:shd w:val="clear" w:color="auto" w:fill="auto"/>
            <w:noWrap/>
            <w:vAlign w:val="center"/>
          </w:tcPr>
          <w:p w14:paraId="08668FE5"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1.04</w:t>
            </w:r>
          </w:p>
        </w:tc>
        <w:tc>
          <w:tcPr>
            <w:tcW w:w="405" w:type="pct"/>
            <w:shd w:val="clear" w:color="auto" w:fill="auto"/>
            <w:noWrap/>
            <w:vAlign w:val="center"/>
          </w:tcPr>
          <w:p w14:paraId="61AAEB8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0.957</w:t>
            </w:r>
          </w:p>
        </w:tc>
        <w:tc>
          <w:tcPr>
            <w:tcW w:w="394" w:type="pct"/>
            <w:shd w:val="clear" w:color="auto" w:fill="auto"/>
            <w:noWrap/>
            <w:vAlign w:val="center"/>
          </w:tcPr>
          <w:p w14:paraId="751A81B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1.31</w:t>
            </w:r>
          </w:p>
        </w:tc>
        <w:tc>
          <w:tcPr>
            <w:tcW w:w="448" w:type="pct"/>
            <w:shd w:val="clear" w:color="auto" w:fill="auto"/>
            <w:noWrap/>
            <w:vAlign w:val="center"/>
          </w:tcPr>
          <w:p w14:paraId="14F03ED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0.101</w:t>
            </w:r>
          </w:p>
        </w:tc>
        <w:tc>
          <w:tcPr>
            <w:tcW w:w="426" w:type="pct"/>
            <w:shd w:val="clear" w:color="auto" w:fill="auto"/>
            <w:noWrap/>
            <w:vAlign w:val="center"/>
            <w:hideMark/>
          </w:tcPr>
          <w:p w14:paraId="5FA7E92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1.11</w:t>
            </w:r>
          </w:p>
        </w:tc>
        <w:tc>
          <w:tcPr>
            <w:tcW w:w="562" w:type="pct"/>
            <w:shd w:val="clear" w:color="auto" w:fill="auto"/>
            <w:noWrap/>
            <w:vAlign w:val="center"/>
            <w:hideMark/>
          </w:tcPr>
          <w:p w14:paraId="47A8E46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0.778</w:t>
            </w:r>
          </w:p>
        </w:tc>
      </w:tr>
      <w:tr w:rsidR="009B15C3" w:rsidRPr="000A2F91" w14:paraId="3176DBF2" w14:textId="77777777" w:rsidTr="00A361AD">
        <w:trPr>
          <w:trHeight w:val="300"/>
          <w:jc w:val="center"/>
        </w:trPr>
        <w:tc>
          <w:tcPr>
            <w:tcW w:w="594" w:type="pct"/>
            <w:shd w:val="clear" w:color="auto" w:fill="auto"/>
            <w:vAlign w:val="center"/>
            <w:hideMark/>
          </w:tcPr>
          <w:p w14:paraId="2EC1DF20"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DUOX2</w:t>
            </w:r>
          </w:p>
        </w:tc>
        <w:tc>
          <w:tcPr>
            <w:tcW w:w="391" w:type="pct"/>
            <w:shd w:val="clear" w:color="auto" w:fill="auto"/>
            <w:noWrap/>
            <w:vAlign w:val="center"/>
            <w:hideMark/>
          </w:tcPr>
          <w:p w14:paraId="5E99AD42" w14:textId="74237692"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-2.2</w:t>
            </w:r>
            <w:r w:rsidR="008A56F8" w:rsidRPr="00A361AD">
              <w:rPr>
                <w:rFonts w:ascii="Arial" w:eastAsia="Times New Roman" w:hAnsi="Arial" w:cs="Arial"/>
                <w:b/>
                <w:color w:val="000000"/>
                <w:sz w:val="18"/>
                <w:szCs w:val="18"/>
                <w:lang w:eastAsia="en-GB"/>
              </w:rPr>
              <w:t>0</w:t>
            </w:r>
          </w:p>
        </w:tc>
        <w:tc>
          <w:tcPr>
            <w:tcW w:w="527" w:type="pct"/>
            <w:shd w:val="clear" w:color="auto" w:fill="auto"/>
            <w:noWrap/>
            <w:vAlign w:val="center"/>
            <w:hideMark/>
          </w:tcPr>
          <w:p w14:paraId="4898A6A0"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233D265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1.05</w:t>
            </w:r>
          </w:p>
        </w:tc>
        <w:tc>
          <w:tcPr>
            <w:tcW w:w="414" w:type="pct"/>
            <w:shd w:val="clear" w:color="auto" w:fill="auto"/>
            <w:noWrap/>
            <w:vAlign w:val="center"/>
            <w:hideMark/>
          </w:tcPr>
          <w:p w14:paraId="7BF38AE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0.976</w:t>
            </w:r>
          </w:p>
        </w:tc>
        <w:tc>
          <w:tcPr>
            <w:tcW w:w="424" w:type="pct"/>
            <w:shd w:val="clear" w:color="auto" w:fill="auto"/>
            <w:noWrap/>
            <w:vAlign w:val="center"/>
          </w:tcPr>
          <w:p w14:paraId="4924907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05" w:type="pct"/>
            <w:shd w:val="clear" w:color="auto" w:fill="auto"/>
            <w:noWrap/>
            <w:vAlign w:val="center"/>
          </w:tcPr>
          <w:p w14:paraId="1AC7094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0.695</w:t>
            </w:r>
          </w:p>
        </w:tc>
        <w:tc>
          <w:tcPr>
            <w:tcW w:w="394" w:type="pct"/>
            <w:shd w:val="clear" w:color="auto" w:fill="auto"/>
            <w:noWrap/>
            <w:vAlign w:val="center"/>
          </w:tcPr>
          <w:p w14:paraId="60BB159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1.40</w:t>
            </w:r>
          </w:p>
        </w:tc>
        <w:tc>
          <w:tcPr>
            <w:tcW w:w="448" w:type="pct"/>
            <w:shd w:val="clear" w:color="auto" w:fill="auto"/>
            <w:noWrap/>
            <w:vAlign w:val="center"/>
          </w:tcPr>
          <w:p w14:paraId="04395D2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0.103</w:t>
            </w:r>
          </w:p>
        </w:tc>
        <w:tc>
          <w:tcPr>
            <w:tcW w:w="426" w:type="pct"/>
            <w:shd w:val="clear" w:color="auto" w:fill="auto"/>
            <w:noWrap/>
            <w:vAlign w:val="center"/>
            <w:hideMark/>
          </w:tcPr>
          <w:p w14:paraId="27B6E28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562" w:type="pct"/>
            <w:shd w:val="clear" w:color="auto" w:fill="auto"/>
            <w:noWrap/>
            <w:vAlign w:val="center"/>
            <w:hideMark/>
          </w:tcPr>
          <w:p w14:paraId="2E1D349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0.771</w:t>
            </w:r>
          </w:p>
        </w:tc>
      </w:tr>
      <w:tr w:rsidR="009B15C3" w:rsidRPr="000A2F91" w14:paraId="2966518A" w14:textId="77777777" w:rsidTr="00A361AD">
        <w:trPr>
          <w:trHeight w:val="300"/>
          <w:jc w:val="center"/>
        </w:trPr>
        <w:tc>
          <w:tcPr>
            <w:tcW w:w="594" w:type="pct"/>
            <w:shd w:val="clear" w:color="auto" w:fill="auto"/>
            <w:vAlign w:val="center"/>
            <w:hideMark/>
          </w:tcPr>
          <w:p w14:paraId="37E0A603"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MPO</w:t>
            </w:r>
          </w:p>
        </w:tc>
        <w:tc>
          <w:tcPr>
            <w:tcW w:w="391" w:type="pct"/>
            <w:shd w:val="clear" w:color="auto" w:fill="auto"/>
            <w:noWrap/>
            <w:vAlign w:val="center"/>
            <w:hideMark/>
          </w:tcPr>
          <w:p w14:paraId="404D856D"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-1.85</w:t>
            </w:r>
          </w:p>
        </w:tc>
        <w:tc>
          <w:tcPr>
            <w:tcW w:w="527" w:type="pct"/>
            <w:shd w:val="clear" w:color="auto" w:fill="auto"/>
            <w:noWrap/>
            <w:vAlign w:val="center"/>
            <w:hideMark/>
          </w:tcPr>
          <w:p w14:paraId="7904733F"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0.002</w:t>
            </w:r>
          </w:p>
        </w:tc>
        <w:tc>
          <w:tcPr>
            <w:tcW w:w="415" w:type="pct"/>
            <w:shd w:val="clear" w:color="auto" w:fill="auto"/>
            <w:noWrap/>
            <w:vAlign w:val="center"/>
            <w:hideMark/>
          </w:tcPr>
          <w:p w14:paraId="3AC6311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14" w:type="pct"/>
            <w:shd w:val="clear" w:color="auto" w:fill="auto"/>
            <w:noWrap/>
            <w:vAlign w:val="center"/>
            <w:hideMark/>
          </w:tcPr>
          <w:p w14:paraId="6057483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0.871</w:t>
            </w:r>
          </w:p>
        </w:tc>
        <w:tc>
          <w:tcPr>
            <w:tcW w:w="424" w:type="pct"/>
            <w:shd w:val="clear" w:color="auto" w:fill="auto"/>
            <w:noWrap/>
            <w:vAlign w:val="center"/>
          </w:tcPr>
          <w:p w14:paraId="0F79D9D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05" w:type="pct"/>
            <w:shd w:val="clear" w:color="auto" w:fill="auto"/>
            <w:noWrap/>
            <w:vAlign w:val="center"/>
          </w:tcPr>
          <w:p w14:paraId="50A6FCF9"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0.804</w:t>
            </w:r>
          </w:p>
        </w:tc>
        <w:tc>
          <w:tcPr>
            <w:tcW w:w="394" w:type="pct"/>
            <w:shd w:val="clear" w:color="auto" w:fill="auto"/>
            <w:noWrap/>
            <w:vAlign w:val="center"/>
          </w:tcPr>
          <w:p w14:paraId="3143BD9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1.20</w:t>
            </w:r>
          </w:p>
        </w:tc>
        <w:tc>
          <w:tcPr>
            <w:tcW w:w="448" w:type="pct"/>
            <w:shd w:val="clear" w:color="auto" w:fill="auto"/>
            <w:noWrap/>
            <w:vAlign w:val="center"/>
          </w:tcPr>
          <w:p w14:paraId="0ECC26B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0.443</w:t>
            </w:r>
          </w:p>
        </w:tc>
        <w:tc>
          <w:tcPr>
            <w:tcW w:w="426" w:type="pct"/>
            <w:shd w:val="clear" w:color="auto" w:fill="auto"/>
            <w:noWrap/>
            <w:vAlign w:val="center"/>
            <w:hideMark/>
          </w:tcPr>
          <w:p w14:paraId="48F6E9F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1.19</w:t>
            </w:r>
          </w:p>
        </w:tc>
        <w:tc>
          <w:tcPr>
            <w:tcW w:w="562" w:type="pct"/>
            <w:shd w:val="clear" w:color="auto" w:fill="auto"/>
            <w:noWrap/>
            <w:vAlign w:val="center"/>
            <w:hideMark/>
          </w:tcPr>
          <w:p w14:paraId="43798EC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0.107</w:t>
            </w:r>
          </w:p>
        </w:tc>
      </w:tr>
      <w:tr w:rsidR="009B15C3" w:rsidRPr="000A2F91" w14:paraId="325AC6CB" w14:textId="77777777" w:rsidTr="00A361AD">
        <w:trPr>
          <w:trHeight w:val="300"/>
          <w:jc w:val="center"/>
        </w:trPr>
        <w:tc>
          <w:tcPr>
            <w:tcW w:w="594" w:type="pct"/>
            <w:shd w:val="clear" w:color="auto" w:fill="auto"/>
            <w:vAlign w:val="center"/>
            <w:hideMark/>
          </w:tcPr>
          <w:p w14:paraId="5552E34A"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GSR</w:t>
            </w:r>
          </w:p>
        </w:tc>
        <w:tc>
          <w:tcPr>
            <w:tcW w:w="391" w:type="pct"/>
            <w:shd w:val="clear" w:color="auto" w:fill="auto"/>
            <w:noWrap/>
            <w:vAlign w:val="center"/>
            <w:hideMark/>
          </w:tcPr>
          <w:p w14:paraId="67E664A6"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-1.87</w:t>
            </w:r>
          </w:p>
        </w:tc>
        <w:tc>
          <w:tcPr>
            <w:tcW w:w="527" w:type="pct"/>
            <w:shd w:val="clear" w:color="auto" w:fill="auto"/>
            <w:noWrap/>
            <w:vAlign w:val="center"/>
            <w:hideMark/>
          </w:tcPr>
          <w:p w14:paraId="0CB01B2F"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0.003</w:t>
            </w:r>
          </w:p>
        </w:tc>
        <w:tc>
          <w:tcPr>
            <w:tcW w:w="415" w:type="pct"/>
            <w:shd w:val="clear" w:color="auto" w:fill="auto"/>
            <w:noWrap/>
            <w:vAlign w:val="center"/>
            <w:hideMark/>
          </w:tcPr>
          <w:p w14:paraId="5B0F9C9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1.02</w:t>
            </w:r>
          </w:p>
        </w:tc>
        <w:tc>
          <w:tcPr>
            <w:tcW w:w="414" w:type="pct"/>
            <w:shd w:val="clear" w:color="auto" w:fill="auto"/>
            <w:noWrap/>
            <w:vAlign w:val="center"/>
            <w:hideMark/>
          </w:tcPr>
          <w:p w14:paraId="00F7F1E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0.679</w:t>
            </w:r>
          </w:p>
        </w:tc>
        <w:tc>
          <w:tcPr>
            <w:tcW w:w="424" w:type="pct"/>
            <w:shd w:val="clear" w:color="auto" w:fill="auto"/>
            <w:noWrap/>
            <w:vAlign w:val="center"/>
          </w:tcPr>
          <w:p w14:paraId="4307ED9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1.26</w:t>
            </w:r>
          </w:p>
        </w:tc>
        <w:tc>
          <w:tcPr>
            <w:tcW w:w="405" w:type="pct"/>
            <w:shd w:val="clear" w:color="auto" w:fill="auto"/>
            <w:noWrap/>
            <w:vAlign w:val="center"/>
          </w:tcPr>
          <w:p w14:paraId="2233201D"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0.268</w:t>
            </w:r>
          </w:p>
        </w:tc>
        <w:tc>
          <w:tcPr>
            <w:tcW w:w="394" w:type="pct"/>
            <w:shd w:val="clear" w:color="auto" w:fill="D9D9D9" w:themeFill="background1" w:themeFillShade="D9"/>
            <w:vAlign w:val="center"/>
          </w:tcPr>
          <w:p w14:paraId="1E63BE72" w14:textId="77777777" w:rsidR="009B15C3" w:rsidRPr="00A361AD" w:rsidRDefault="009B15C3" w:rsidP="009E0699">
            <w:pPr>
              <w:spacing w:after="0" w:line="240" w:lineRule="auto"/>
              <w:jc w:val="center"/>
              <w:rPr>
                <w:rFonts w:ascii="Arial" w:eastAsia="Times New Roman" w:hAnsi="Arial" w:cs="Arial"/>
                <w:bCs/>
                <w:color w:val="000000"/>
                <w:sz w:val="18"/>
                <w:szCs w:val="18"/>
                <w:lang w:eastAsia="en-GB"/>
              </w:rPr>
            </w:pPr>
            <w:r w:rsidRPr="00A361AD">
              <w:rPr>
                <w:rFonts w:ascii="Arial" w:eastAsia="Times New Roman" w:hAnsi="Arial" w:cs="Arial"/>
                <w:color w:val="000000"/>
                <w:sz w:val="18"/>
                <w:szCs w:val="18"/>
                <w:lang w:eastAsia="en-GB"/>
              </w:rPr>
              <w:t xml:space="preserve">1.51 </w:t>
            </w:r>
          </w:p>
        </w:tc>
        <w:tc>
          <w:tcPr>
            <w:tcW w:w="448" w:type="pct"/>
            <w:shd w:val="clear" w:color="auto" w:fill="D9D9D9" w:themeFill="background1" w:themeFillShade="D9"/>
            <w:vAlign w:val="center"/>
          </w:tcPr>
          <w:p w14:paraId="738DE0F2"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0.019</w:t>
            </w:r>
            <w:r w:rsidRPr="00A361AD">
              <w:rPr>
                <w:rFonts w:ascii="Arial" w:eastAsia="Times New Roman" w:hAnsi="Arial" w:cs="Arial"/>
                <w:color w:val="000000"/>
                <w:sz w:val="18"/>
                <w:szCs w:val="18"/>
                <w:lang w:eastAsia="en-GB"/>
              </w:rPr>
              <w:t xml:space="preserve"> </w:t>
            </w:r>
          </w:p>
        </w:tc>
        <w:tc>
          <w:tcPr>
            <w:tcW w:w="426" w:type="pct"/>
            <w:shd w:val="clear" w:color="auto" w:fill="D9D9D9" w:themeFill="background1" w:themeFillShade="D9"/>
            <w:vAlign w:val="center"/>
            <w:hideMark/>
          </w:tcPr>
          <w:p w14:paraId="24FB935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1.68</w:t>
            </w:r>
          </w:p>
        </w:tc>
        <w:tc>
          <w:tcPr>
            <w:tcW w:w="562" w:type="pct"/>
            <w:shd w:val="clear" w:color="auto" w:fill="D9D9D9" w:themeFill="background1" w:themeFillShade="D9"/>
            <w:vAlign w:val="center"/>
            <w:hideMark/>
          </w:tcPr>
          <w:p w14:paraId="6250019D"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0.014</w:t>
            </w:r>
            <w:r w:rsidRPr="00A361AD">
              <w:rPr>
                <w:rFonts w:ascii="Arial" w:eastAsia="Times New Roman" w:hAnsi="Arial" w:cs="Arial"/>
                <w:color w:val="000000"/>
                <w:sz w:val="18"/>
                <w:szCs w:val="18"/>
                <w:lang w:eastAsia="en-GB"/>
              </w:rPr>
              <w:t xml:space="preserve"> </w:t>
            </w:r>
          </w:p>
        </w:tc>
      </w:tr>
      <w:tr w:rsidR="009B15C3" w:rsidRPr="000A2F91" w14:paraId="0673171B" w14:textId="77777777" w:rsidTr="00A361AD">
        <w:trPr>
          <w:trHeight w:val="300"/>
          <w:jc w:val="center"/>
        </w:trPr>
        <w:tc>
          <w:tcPr>
            <w:tcW w:w="594" w:type="pct"/>
            <w:shd w:val="clear" w:color="auto" w:fill="auto"/>
            <w:vAlign w:val="center"/>
            <w:hideMark/>
          </w:tcPr>
          <w:p w14:paraId="5F891CA8"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TXNRD2</w:t>
            </w:r>
          </w:p>
        </w:tc>
        <w:tc>
          <w:tcPr>
            <w:tcW w:w="391" w:type="pct"/>
            <w:shd w:val="clear" w:color="auto" w:fill="auto"/>
            <w:noWrap/>
            <w:vAlign w:val="center"/>
            <w:hideMark/>
          </w:tcPr>
          <w:p w14:paraId="2A1D3ABD"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-2.02</w:t>
            </w:r>
          </w:p>
        </w:tc>
        <w:tc>
          <w:tcPr>
            <w:tcW w:w="527" w:type="pct"/>
            <w:shd w:val="clear" w:color="auto" w:fill="auto"/>
            <w:noWrap/>
            <w:vAlign w:val="center"/>
            <w:hideMark/>
          </w:tcPr>
          <w:p w14:paraId="3E63391B"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7F928F7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1.01</w:t>
            </w:r>
          </w:p>
        </w:tc>
        <w:tc>
          <w:tcPr>
            <w:tcW w:w="414" w:type="pct"/>
            <w:shd w:val="clear" w:color="auto" w:fill="auto"/>
            <w:noWrap/>
            <w:vAlign w:val="center"/>
            <w:hideMark/>
          </w:tcPr>
          <w:p w14:paraId="3497573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0.957</w:t>
            </w:r>
          </w:p>
        </w:tc>
        <w:tc>
          <w:tcPr>
            <w:tcW w:w="424" w:type="pct"/>
            <w:shd w:val="clear" w:color="auto" w:fill="auto"/>
            <w:noWrap/>
            <w:vAlign w:val="center"/>
          </w:tcPr>
          <w:p w14:paraId="2CFAE59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1.04</w:t>
            </w:r>
          </w:p>
        </w:tc>
        <w:tc>
          <w:tcPr>
            <w:tcW w:w="405" w:type="pct"/>
            <w:shd w:val="clear" w:color="auto" w:fill="auto"/>
            <w:noWrap/>
            <w:vAlign w:val="center"/>
          </w:tcPr>
          <w:p w14:paraId="3046228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0.963</w:t>
            </w:r>
          </w:p>
        </w:tc>
        <w:tc>
          <w:tcPr>
            <w:tcW w:w="394" w:type="pct"/>
            <w:shd w:val="clear" w:color="auto" w:fill="auto"/>
            <w:vAlign w:val="center"/>
          </w:tcPr>
          <w:p w14:paraId="0DA66A2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1.32</w:t>
            </w:r>
          </w:p>
        </w:tc>
        <w:tc>
          <w:tcPr>
            <w:tcW w:w="448" w:type="pct"/>
            <w:shd w:val="clear" w:color="auto" w:fill="auto"/>
            <w:vAlign w:val="center"/>
          </w:tcPr>
          <w:p w14:paraId="444267D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0.065</w:t>
            </w:r>
          </w:p>
        </w:tc>
        <w:tc>
          <w:tcPr>
            <w:tcW w:w="426" w:type="pct"/>
            <w:shd w:val="clear" w:color="auto" w:fill="auto"/>
            <w:noWrap/>
            <w:vAlign w:val="center"/>
            <w:hideMark/>
          </w:tcPr>
          <w:p w14:paraId="429602D0"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1.06</w:t>
            </w:r>
          </w:p>
        </w:tc>
        <w:tc>
          <w:tcPr>
            <w:tcW w:w="562" w:type="pct"/>
            <w:shd w:val="clear" w:color="auto" w:fill="auto"/>
            <w:noWrap/>
            <w:vAlign w:val="center"/>
            <w:hideMark/>
          </w:tcPr>
          <w:p w14:paraId="0FF6B46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0.724</w:t>
            </w:r>
          </w:p>
        </w:tc>
      </w:tr>
      <w:tr w:rsidR="009B15C3" w:rsidRPr="000A2F91" w14:paraId="6F74560C" w14:textId="77777777" w:rsidTr="00A361AD">
        <w:trPr>
          <w:trHeight w:val="300"/>
          <w:jc w:val="center"/>
        </w:trPr>
        <w:tc>
          <w:tcPr>
            <w:tcW w:w="594" w:type="pct"/>
            <w:shd w:val="clear" w:color="auto" w:fill="auto"/>
            <w:vAlign w:val="center"/>
            <w:hideMark/>
          </w:tcPr>
          <w:p w14:paraId="084A11D2"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HSPA1A</w:t>
            </w:r>
          </w:p>
        </w:tc>
        <w:tc>
          <w:tcPr>
            <w:tcW w:w="391" w:type="pct"/>
            <w:shd w:val="clear" w:color="auto" w:fill="auto"/>
            <w:noWrap/>
            <w:vAlign w:val="center"/>
            <w:hideMark/>
          </w:tcPr>
          <w:p w14:paraId="1C9A62CF"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-2.83</w:t>
            </w:r>
          </w:p>
        </w:tc>
        <w:tc>
          <w:tcPr>
            <w:tcW w:w="527" w:type="pct"/>
            <w:shd w:val="clear" w:color="auto" w:fill="auto"/>
            <w:noWrap/>
            <w:vAlign w:val="center"/>
            <w:hideMark/>
          </w:tcPr>
          <w:p w14:paraId="69CD578B"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05A4601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1.07</w:t>
            </w:r>
          </w:p>
        </w:tc>
        <w:tc>
          <w:tcPr>
            <w:tcW w:w="414" w:type="pct"/>
            <w:shd w:val="clear" w:color="auto" w:fill="auto"/>
            <w:noWrap/>
            <w:vAlign w:val="center"/>
            <w:hideMark/>
          </w:tcPr>
          <w:p w14:paraId="0E08129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0.869</w:t>
            </w:r>
          </w:p>
        </w:tc>
        <w:tc>
          <w:tcPr>
            <w:tcW w:w="424" w:type="pct"/>
            <w:shd w:val="clear" w:color="auto" w:fill="auto"/>
            <w:noWrap/>
            <w:vAlign w:val="center"/>
          </w:tcPr>
          <w:p w14:paraId="66BE5E2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-1.27</w:t>
            </w:r>
          </w:p>
        </w:tc>
        <w:tc>
          <w:tcPr>
            <w:tcW w:w="405" w:type="pct"/>
            <w:shd w:val="clear" w:color="auto" w:fill="auto"/>
            <w:noWrap/>
            <w:vAlign w:val="center"/>
          </w:tcPr>
          <w:p w14:paraId="302F17E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0.644</w:t>
            </w:r>
          </w:p>
        </w:tc>
        <w:tc>
          <w:tcPr>
            <w:tcW w:w="394" w:type="pct"/>
            <w:shd w:val="clear" w:color="auto" w:fill="auto"/>
            <w:noWrap/>
            <w:vAlign w:val="center"/>
          </w:tcPr>
          <w:p w14:paraId="19B5881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-1.04</w:t>
            </w:r>
          </w:p>
        </w:tc>
        <w:tc>
          <w:tcPr>
            <w:tcW w:w="448" w:type="pct"/>
            <w:shd w:val="clear" w:color="auto" w:fill="auto"/>
            <w:noWrap/>
            <w:vAlign w:val="center"/>
          </w:tcPr>
          <w:p w14:paraId="6432752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0.182</w:t>
            </w:r>
          </w:p>
        </w:tc>
        <w:tc>
          <w:tcPr>
            <w:tcW w:w="426" w:type="pct"/>
            <w:shd w:val="clear" w:color="auto" w:fill="auto"/>
            <w:noWrap/>
            <w:vAlign w:val="center"/>
            <w:hideMark/>
          </w:tcPr>
          <w:p w14:paraId="7EC6409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1.54</w:t>
            </w:r>
          </w:p>
        </w:tc>
        <w:tc>
          <w:tcPr>
            <w:tcW w:w="562" w:type="pct"/>
            <w:shd w:val="clear" w:color="auto" w:fill="auto"/>
            <w:noWrap/>
            <w:vAlign w:val="center"/>
            <w:hideMark/>
          </w:tcPr>
          <w:p w14:paraId="16A9141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0.515</w:t>
            </w:r>
          </w:p>
        </w:tc>
      </w:tr>
      <w:tr w:rsidR="009B15C3" w:rsidRPr="000A2F91" w14:paraId="74012AF1" w14:textId="77777777" w:rsidTr="00A361AD">
        <w:trPr>
          <w:trHeight w:val="300"/>
          <w:jc w:val="center"/>
        </w:trPr>
        <w:tc>
          <w:tcPr>
            <w:tcW w:w="594" w:type="pct"/>
            <w:shd w:val="clear" w:color="auto" w:fill="auto"/>
            <w:vAlign w:val="center"/>
            <w:hideMark/>
          </w:tcPr>
          <w:p w14:paraId="5D160431"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MSRA</w:t>
            </w:r>
          </w:p>
        </w:tc>
        <w:tc>
          <w:tcPr>
            <w:tcW w:w="391" w:type="pct"/>
            <w:shd w:val="clear" w:color="auto" w:fill="auto"/>
            <w:noWrap/>
            <w:vAlign w:val="center"/>
            <w:hideMark/>
          </w:tcPr>
          <w:p w14:paraId="30ABB321"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-1.96</w:t>
            </w:r>
          </w:p>
        </w:tc>
        <w:tc>
          <w:tcPr>
            <w:tcW w:w="527" w:type="pct"/>
            <w:shd w:val="clear" w:color="auto" w:fill="auto"/>
            <w:noWrap/>
            <w:vAlign w:val="center"/>
            <w:hideMark/>
          </w:tcPr>
          <w:p w14:paraId="4603BEF9"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18C222F6"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-1.10</w:t>
            </w:r>
          </w:p>
        </w:tc>
        <w:tc>
          <w:tcPr>
            <w:tcW w:w="414" w:type="pct"/>
            <w:shd w:val="clear" w:color="auto" w:fill="auto"/>
            <w:noWrap/>
            <w:vAlign w:val="center"/>
            <w:hideMark/>
          </w:tcPr>
          <w:p w14:paraId="6AC3FC4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0.554</w:t>
            </w:r>
          </w:p>
        </w:tc>
        <w:tc>
          <w:tcPr>
            <w:tcW w:w="424" w:type="pct"/>
            <w:shd w:val="clear" w:color="auto" w:fill="auto"/>
            <w:noWrap/>
            <w:vAlign w:val="center"/>
          </w:tcPr>
          <w:p w14:paraId="7BB2F401"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-1.02</w:t>
            </w:r>
          </w:p>
        </w:tc>
        <w:tc>
          <w:tcPr>
            <w:tcW w:w="405" w:type="pct"/>
            <w:shd w:val="clear" w:color="auto" w:fill="auto"/>
            <w:noWrap/>
            <w:vAlign w:val="center"/>
          </w:tcPr>
          <w:p w14:paraId="1B47C8FF"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0.779</w:t>
            </w:r>
          </w:p>
        </w:tc>
        <w:tc>
          <w:tcPr>
            <w:tcW w:w="394" w:type="pct"/>
            <w:shd w:val="clear" w:color="auto" w:fill="auto"/>
            <w:noWrap/>
            <w:vAlign w:val="center"/>
          </w:tcPr>
          <w:p w14:paraId="2BF69137"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1.11</w:t>
            </w:r>
          </w:p>
        </w:tc>
        <w:tc>
          <w:tcPr>
            <w:tcW w:w="448" w:type="pct"/>
            <w:shd w:val="clear" w:color="auto" w:fill="auto"/>
            <w:noWrap/>
            <w:vAlign w:val="center"/>
          </w:tcPr>
          <w:p w14:paraId="2D2DB5C3"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0.153</w:t>
            </w:r>
          </w:p>
        </w:tc>
        <w:tc>
          <w:tcPr>
            <w:tcW w:w="426" w:type="pct"/>
            <w:shd w:val="clear" w:color="auto" w:fill="auto"/>
            <w:noWrap/>
            <w:vAlign w:val="center"/>
            <w:hideMark/>
          </w:tcPr>
          <w:p w14:paraId="4DA2B7F4"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1.29</w:t>
            </w:r>
          </w:p>
        </w:tc>
        <w:tc>
          <w:tcPr>
            <w:tcW w:w="562" w:type="pct"/>
            <w:shd w:val="clear" w:color="auto" w:fill="auto"/>
            <w:noWrap/>
            <w:vAlign w:val="center"/>
            <w:hideMark/>
          </w:tcPr>
          <w:p w14:paraId="7677FBBB"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0.407</w:t>
            </w:r>
          </w:p>
        </w:tc>
      </w:tr>
      <w:tr w:rsidR="009B15C3" w:rsidRPr="000A2F91" w14:paraId="5D5B0CAF" w14:textId="77777777" w:rsidTr="00A361AD">
        <w:trPr>
          <w:trHeight w:val="300"/>
          <w:jc w:val="center"/>
        </w:trPr>
        <w:tc>
          <w:tcPr>
            <w:tcW w:w="594" w:type="pct"/>
            <w:shd w:val="clear" w:color="auto" w:fill="auto"/>
            <w:vAlign w:val="center"/>
            <w:hideMark/>
          </w:tcPr>
          <w:p w14:paraId="6BD9630C" w14:textId="77777777" w:rsidR="009B15C3" w:rsidRPr="00A361AD" w:rsidRDefault="009B15C3" w:rsidP="009E0699">
            <w:pPr>
              <w:spacing w:after="0" w:line="240" w:lineRule="auto"/>
              <w:jc w:val="center"/>
              <w:rPr>
                <w:rFonts w:ascii="Arial" w:eastAsia="Times New Roman" w:hAnsi="Arial" w:cs="Arial"/>
                <w:b/>
                <w:i/>
                <w:iCs/>
                <w:color w:val="000000"/>
                <w:sz w:val="18"/>
                <w:szCs w:val="18"/>
                <w:lang w:eastAsia="en-GB"/>
              </w:rPr>
            </w:pPr>
            <w:r w:rsidRPr="00A361AD">
              <w:rPr>
                <w:rFonts w:ascii="Arial" w:eastAsia="Times New Roman" w:hAnsi="Arial" w:cs="Arial"/>
                <w:b/>
                <w:i/>
                <w:iCs/>
                <w:color w:val="000000"/>
                <w:sz w:val="18"/>
                <w:szCs w:val="18"/>
                <w:lang w:eastAsia="en-GB"/>
              </w:rPr>
              <w:t>PDLIM1</w:t>
            </w:r>
          </w:p>
        </w:tc>
        <w:tc>
          <w:tcPr>
            <w:tcW w:w="391" w:type="pct"/>
            <w:shd w:val="clear" w:color="auto" w:fill="auto"/>
            <w:vAlign w:val="center"/>
            <w:hideMark/>
          </w:tcPr>
          <w:p w14:paraId="0DB9BB2C" w14:textId="77777777" w:rsidR="009B15C3" w:rsidRPr="00A361AD" w:rsidRDefault="009B15C3" w:rsidP="009E0699">
            <w:pPr>
              <w:spacing w:after="0" w:line="240" w:lineRule="auto"/>
              <w:jc w:val="center"/>
              <w:rPr>
                <w:rFonts w:ascii="Arial" w:eastAsia="Times New Roman" w:hAnsi="Arial" w:cs="Arial"/>
                <w:b/>
                <w:color w:val="000000"/>
                <w:sz w:val="18"/>
                <w:szCs w:val="18"/>
                <w:lang w:eastAsia="en-GB"/>
              </w:rPr>
            </w:pPr>
            <w:r w:rsidRPr="00A361AD">
              <w:rPr>
                <w:rFonts w:ascii="Arial" w:eastAsia="Times New Roman" w:hAnsi="Arial" w:cs="Arial"/>
                <w:b/>
                <w:color w:val="000000"/>
                <w:sz w:val="18"/>
                <w:szCs w:val="18"/>
                <w:lang w:eastAsia="en-GB"/>
              </w:rPr>
              <w:t>-1.95</w:t>
            </w:r>
          </w:p>
        </w:tc>
        <w:tc>
          <w:tcPr>
            <w:tcW w:w="527" w:type="pct"/>
            <w:shd w:val="clear" w:color="auto" w:fill="auto"/>
            <w:vAlign w:val="center"/>
            <w:hideMark/>
          </w:tcPr>
          <w:p w14:paraId="294E4B8C" w14:textId="77777777" w:rsidR="009B15C3" w:rsidRPr="00A361AD" w:rsidRDefault="009B15C3" w:rsidP="009E0699">
            <w:pPr>
              <w:spacing w:after="0" w:line="240" w:lineRule="auto"/>
              <w:jc w:val="center"/>
              <w:rPr>
                <w:rFonts w:ascii="Arial" w:eastAsia="Times New Roman" w:hAnsi="Arial" w:cs="Arial"/>
                <w:bCs/>
                <w:iCs/>
                <w:color w:val="000000"/>
                <w:sz w:val="18"/>
                <w:szCs w:val="18"/>
                <w:lang w:eastAsia="en-GB"/>
              </w:rPr>
            </w:pPr>
            <w:r w:rsidRPr="00A361AD">
              <w:rPr>
                <w:rFonts w:ascii="Arial" w:eastAsia="Times New Roman" w:hAnsi="Arial" w:cs="Arial"/>
                <w:bCs/>
                <w:iCs/>
                <w:color w:val="000000"/>
                <w:sz w:val="18"/>
                <w:szCs w:val="18"/>
                <w:lang w:eastAsia="en-GB"/>
              </w:rPr>
              <w:t>&lt;0.001</w:t>
            </w:r>
          </w:p>
        </w:tc>
        <w:tc>
          <w:tcPr>
            <w:tcW w:w="415" w:type="pct"/>
            <w:shd w:val="clear" w:color="auto" w:fill="auto"/>
            <w:noWrap/>
            <w:vAlign w:val="center"/>
            <w:hideMark/>
          </w:tcPr>
          <w:p w14:paraId="3BB4F50E"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-1.01</w:t>
            </w:r>
          </w:p>
        </w:tc>
        <w:tc>
          <w:tcPr>
            <w:tcW w:w="414" w:type="pct"/>
            <w:shd w:val="clear" w:color="auto" w:fill="auto"/>
            <w:noWrap/>
            <w:vAlign w:val="center"/>
            <w:hideMark/>
          </w:tcPr>
          <w:p w14:paraId="2829E098"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0.849</w:t>
            </w:r>
          </w:p>
        </w:tc>
        <w:tc>
          <w:tcPr>
            <w:tcW w:w="424" w:type="pct"/>
            <w:shd w:val="clear" w:color="auto" w:fill="auto"/>
            <w:noWrap/>
            <w:vAlign w:val="center"/>
          </w:tcPr>
          <w:p w14:paraId="6999FE22"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-1.16</w:t>
            </w:r>
          </w:p>
        </w:tc>
        <w:tc>
          <w:tcPr>
            <w:tcW w:w="405" w:type="pct"/>
            <w:shd w:val="clear" w:color="auto" w:fill="auto"/>
            <w:noWrap/>
            <w:vAlign w:val="center"/>
          </w:tcPr>
          <w:p w14:paraId="53B7532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0.089</w:t>
            </w:r>
          </w:p>
        </w:tc>
        <w:tc>
          <w:tcPr>
            <w:tcW w:w="394" w:type="pct"/>
            <w:shd w:val="clear" w:color="auto" w:fill="auto"/>
            <w:noWrap/>
            <w:vAlign w:val="center"/>
          </w:tcPr>
          <w:p w14:paraId="3AFE52E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1.04</w:t>
            </w:r>
          </w:p>
        </w:tc>
        <w:tc>
          <w:tcPr>
            <w:tcW w:w="448" w:type="pct"/>
            <w:shd w:val="clear" w:color="auto" w:fill="auto"/>
            <w:noWrap/>
            <w:vAlign w:val="center"/>
          </w:tcPr>
          <w:p w14:paraId="49BFC0FC"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0.906</w:t>
            </w:r>
          </w:p>
        </w:tc>
        <w:tc>
          <w:tcPr>
            <w:tcW w:w="426" w:type="pct"/>
            <w:shd w:val="clear" w:color="auto" w:fill="auto"/>
            <w:noWrap/>
            <w:vAlign w:val="center"/>
            <w:hideMark/>
          </w:tcPr>
          <w:p w14:paraId="5C5B658D"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1.13</w:t>
            </w:r>
          </w:p>
        </w:tc>
        <w:tc>
          <w:tcPr>
            <w:tcW w:w="562" w:type="pct"/>
            <w:shd w:val="clear" w:color="auto" w:fill="auto"/>
            <w:noWrap/>
            <w:vAlign w:val="center"/>
            <w:hideMark/>
          </w:tcPr>
          <w:p w14:paraId="3953C28A" w14:textId="77777777" w:rsidR="009B15C3" w:rsidRPr="00A361AD" w:rsidRDefault="009B15C3" w:rsidP="009E0699">
            <w:pPr>
              <w:spacing w:after="0" w:line="240" w:lineRule="auto"/>
              <w:jc w:val="center"/>
              <w:rPr>
                <w:rFonts w:ascii="Arial" w:eastAsia="Times New Roman" w:hAnsi="Arial" w:cs="Arial"/>
                <w:color w:val="000000"/>
                <w:sz w:val="18"/>
                <w:szCs w:val="18"/>
                <w:lang w:eastAsia="en-GB"/>
              </w:rPr>
            </w:pPr>
            <w:r w:rsidRPr="00A361AD">
              <w:rPr>
                <w:rFonts w:ascii="Arial" w:eastAsia="Times New Roman" w:hAnsi="Arial" w:cs="Arial"/>
                <w:color w:val="000000"/>
                <w:sz w:val="18"/>
                <w:szCs w:val="18"/>
                <w:lang w:eastAsia="en-GB"/>
              </w:rPr>
              <w:t>0.402</w:t>
            </w:r>
          </w:p>
        </w:tc>
      </w:tr>
    </w:tbl>
    <w:p w14:paraId="09028CA4" w14:textId="77777777" w:rsidR="009B15C3" w:rsidRDefault="009B15C3" w:rsidP="00A96B02">
      <w:pPr>
        <w:jc w:val="both"/>
        <w:rPr>
          <w:rFonts w:ascii="Times New Roman" w:hAnsi="Times New Roman" w:cs="Times New Roman"/>
          <w:b/>
          <w:bCs/>
          <w:sz w:val="24"/>
          <w:szCs w:val="24"/>
        </w:rPr>
        <w:sectPr w:rsidR="009B15C3" w:rsidSect="00AB3624">
          <w:headerReference w:type="default" r:id="rId9"/>
          <w:type w:val="continuous"/>
          <w:pgSz w:w="11907" w:h="16839" w:code="9"/>
          <w:pgMar w:top="1701" w:right="1701" w:bottom="1701" w:left="1701" w:header="709" w:footer="709" w:gutter="0"/>
          <w:cols w:space="708"/>
          <w:docGrid w:linePitch="360"/>
        </w:sectPr>
      </w:pPr>
    </w:p>
    <w:p w14:paraId="754E9DC1" w14:textId="77777777" w:rsidR="00861203" w:rsidRPr="007F17C7" w:rsidRDefault="00861203" w:rsidP="00FF374D">
      <w:pPr>
        <w:spacing w:after="0" w:line="480" w:lineRule="auto"/>
        <w:jc w:val="both"/>
        <w:rPr>
          <w:rFonts w:ascii="Arial" w:hAnsi="Arial" w:cs="Arial"/>
          <w:b/>
          <w:bCs/>
          <w:sz w:val="20"/>
          <w:szCs w:val="20"/>
        </w:rPr>
      </w:pPr>
    </w:p>
    <w:p w14:paraId="6406F191" w14:textId="5C12DA91" w:rsidR="00861203" w:rsidRPr="007F17C7" w:rsidRDefault="00F75A94" w:rsidP="00FF374D">
      <w:pPr>
        <w:spacing w:after="0" w:line="480" w:lineRule="auto"/>
        <w:jc w:val="both"/>
        <w:rPr>
          <w:rFonts w:ascii="Arial" w:hAnsi="Arial" w:cs="Arial"/>
          <w:b/>
          <w:bCs/>
          <w:sz w:val="20"/>
          <w:szCs w:val="20"/>
        </w:rPr>
      </w:pPr>
      <w:r>
        <w:rPr>
          <w:rFonts w:ascii="Arial" w:hAnsi="Arial" w:cs="Arial"/>
          <w:b/>
          <w:bCs/>
          <w:noProof/>
          <w:color w:val="FF0000"/>
          <w:sz w:val="20"/>
          <w:szCs w:val="20"/>
          <w:lang w:val="en-GB" w:eastAsia="en-GB"/>
        </w:rPr>
        <w:drawing>
          <wp:inline distT="0" distB="0" distL="0" distR="0" wp14:anchorId="6B07FDB5" wp14:editId="6D71E418">
            <wp:extent cx="4899991" cy="3195749"/>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8318" cy="3207702"/>
                    </a:xfrm>
                    <a:prstGeom prst="rect">
                      <a:avLst/>
                    </a:prstGeom>
                    <a:noFill/>
                  </pic:spPr>
                </pic:pic>
              </a:graphicData>
            </a:graphic>
          </wp:inline>
        </w:drawing>
      </w:r>
    </w:p>
    <w:p w14:paraId="580F538C" w14:textId="2ADE40C8" w:rsidR="00FF374D" w:rsidRPr="007F17C7" w:rsidRDefault="00FF374D" w:rsidP="00FF374D">
      <w:pPr>
        <w:spacing w:after="0" w:line="480" w:lineRule="auto"/>
        <w:jc w:val="both"/>
        <w:rPr>
          <w:rFonts w:ascii="Arial" w:hAnsi="Arial" w:cs="Arial"/>
          <w:sz w:val="20"/>
          <w:szCs w:val="20"/>
        </w:rPr>
      </w:pPr>
      <w:r w:rsidRPr="0061540F">
        <w:rPr>
          <w:rFonts w:ascii="Arial" w:hAnsi="Arial" w:cs="Arial"/>
          <w:b/>
          <w:bCs/>
          <w:sz w:val="20"/>
          <w:szCs w:val="20"/>
        </w:rPr>
        <w:t xml:space="preserve">Supplementary </w:t>
      </w:r>
      <w:r w:rsidR="00861203" w:rsidRPr="0061540F">
        <w:rPr>
          <w:rFonts w:ascii="Arial" w:hAnsi="Arial" w:cs="Arial"/>
          <w:b/>
          <w:bCs/>
          <w:sz w:val="20"/>
          <w:szCs w:val="20"/>
        </w:rPr>
        <w:t>Figure 1</w:t>
      </w:r>
      <w:r w:rsidRPr="0061540F">
        <w:rPr>
          <w:rFonts w:ascii="Arial" w:hAnsi="Arial" w:cs="Arial"/>
          <w:b/>
          <w:bCs/>
          <w:sz w:val="20"/>
          <w:szCs w:val="20"/>
        </w:rPr>
        <w:t xml:space="preserve"> </w:t>
      </w:r>
      <w:r w:rsidRPr="0061540F">
        <w:rPr>
          <w:rFonts w:ascii="Arial" w:hAnsi="Arial" w:cs="Arial"/>
          <w:sz w:val="20"/>
          <w:szCs w:val="20"/>
        </w:rPr>
        <w:t xml:space="preserve">Polyvalent medication in the group of CVD patients, presented as </w:t>
      </w:r>
      <w:r w:rsidR="00861203" w:rsidRPr="0061540F">
        <w:rPr>
          <w:rFonts w:ascii="Arial" w:hAnsi="Arial" w:cs="Arial"/>
          <w:sz w:val="20"/>
          <w:szCs w:val="20"/>
        </w:rPr>
        <w:t>Venn diagram showing the drug combinations of the main represented drug classes</w:t>
      </w:r>
    </w:p>
    <w:p w14:paraId="23132D99" w14:textId="77777777" w:rsidR="00FF374D" w:rsidRPr="007F17C7" w:rsidRDefault="00FF374D" w:rsidP="00FF374D"/>
    <w:p w14:paraId="1B3D6767" w14:textId="1F94B50D" w:rsidR="009B15C3" w:rsidRPr="007F17C7" w:rsidRDefault="009B15C3" w:rsidP="00DA1E0C">
      <w:pPr>
        <w:pStyle w:val="Heading1"/>
        <w:keepLines w:val="0"/>
        <w:spacing w:after="60" w:line="480" w:lineRule="auto"/>
        <w:rPr>
          <w:rFonts w:ascii="Arial" w:hAnsi="Arial" w:cs="Arial"/>
          <w:color w:val="auto"/>
          <w:sz w:val="20"/>
          <w:szCs w:val="20"/>
        </w:rPr>
      </w:pPr>
      <w:r w:rsidRPr="00E06104">
        <w:rPr>
          <w:rFonts w:ascii="Arial" w:eastAsia="Times New Roman" w:hAnsi="Arial" w:cs="Arial"/>
          <w:b/>
          <w:bCs/>
          <w:color w:val="auto"/>
          <w:kern w:val="32"/>
        </w:rPr>
        <w:t xml:space="preserve">References </w:t>
      </w:r>
    </w:p>
    <w:p w14:paraId="132E3F42" w14:textId="3B0B930B"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DA1E0C">
        <w:rPr>
          <w:rFonts w:ascii="Calibri" w:hAnsi="Calibri" w:cs="Calibri"/>
          <w:noProof/>
          <w:szCs w:val="24"/>
        </w:rPr>
        <w:t xml:space="preserve">1. </w:t>
      </w:r>
      <w:r w:rsidRPr="00DA1E0C">
        <w:rPr>
          <w:rFonts w:ascii="Calibri" w:hAnsi="Calibri" w:cs="Calibri"/>
          <w:noProof/>
          <w:szCs w:val="24"/>
        </w:rPr>
        <w:tab/>
        <w:t xml:space="preserve">Nordlander R. Enzymes in acute myocardial infarction. Diagnosis with special reference to creatine kinase MB isoenzyme. </w:t>
      </w:r>
      <w:r w:rsidRPr="00DA1E0C">
        <w:rPr>
          <w:rFonts w:ascii="Calibri" w:hAnsi="Calibri" w:cs="Calibri"/>
          <w:i/>
          <w:iCs/>
          <w:noProof/>
          <w:szCs w:val="24"/>
        </w:rPr>
        <w:t>Acta Med Scand</w:t>
      </w:r>
      <w:r w:rsidRPr="00DA1E0C">
        <w:rPr>
          <w:rFonts w:ascii="Calibri" w:hAnsi="Calibri" w:cs="Calibri"/>
          <w:noProof/>
          <w:szCs w:val="24"/>
        </w:rPr>
        <w:t>. 2009;205(S623):18-26. doi:10.1111/j.0954-6820.1979.tb00693.x</w:t>
      </w:r>
    </w:p>
    <w:p w14:paraId="703D7787"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2. </w:t>
      </w:r>
      <w:r w:rsidRPr="00DA1E0C">
        <w:rPr>
          <w:rFonts w:ascii="Calibri" w:hAnsi="Calibri" w:cs="Calibri"/>
          <w:noProof/>
          <w:szCs w:val="24"/>
        </w:rPr>
        <w:tab/>
        <w:t xml:space="preserve">Sharma S. Cardiac troponins. </w:t>
      </w:r>
      <w:r w:rsidRPr="00DA1E0C">
        <w:rPr>
          <w:rFonts w:ascii="Calibri" w:hAnsi="Calibri" w:cs="Calibri"/>
          <w:i/>
          <w:iCs/>
          <w:noProof/>
          <w:szCs w:val="24"/>
        </w:rPr>
        <w:t>J Clin Pathol</w:t>
      </w:r>
      <w:r w:rsidRPr="00DA1E0C">
        <w:rPr>
          <w:rFonts w:ascii="Calibri" w:hAnsi="Calibri" w:cs="Calibri"/>
          <w:noProof/>
          <w:szCs w:val="24"/>
        </w:rPr>
        <w:t>. 2004;57(10):1025-1026. doi:10.1136/jcp.2003.015420</w:t>
      </w:r>
    </w:p>
    <w:p w14:paraId="011F6ADC"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3. </w:t>
      </w:r>
      <w:r w:rsidRPr="00DA1E0C">
        <w:rPr>
          <w:rFonts w:ascii="Calibri" w:hAnsi="Calibri" w:cs="Calibri"/>
          <w:noProof/>
          <w:szCs w:val="24"/>
        </w:rPr>
        <w:tab/>
        <w:t xml:space="preserve">Torán JL, Aguilar S, López JA, et al. CXCL6 is an important paracrine factor in the pro-angiogenic human cardiac progenitor-like cell secretome. </w:t>
      </w:r>
      <w:r w:rsidRPr="00DA1E0C">
        <w:rPr>
          <w:rFonts w:ascii="Calibri" w:hAnsi="Calibri" w:cs="Calibri"/>
          <w:i/>
          <w:iCs/>
          <w:noProof/>
          <w:szCs w:val="24"/>
        </w:rPr>
        <w:t>Sci Rep</w:t>
      </w:r>
      <w:r w:rsidRPr="00DA1E0C">
        <w:rPr>
          <w:rFonts w:ascii="Calibri" w:hAnsi="Calibri" w:cs="Calibri"/>
          <w:noProof/>
          <w:szCs w:val="24"/>
        </w:rPr>
        <w:t>. 2017;7(1):12490. doi:10.1038/s41598-017-11976-6</w:t>
      </w:r>
    </w:p>
    <w:p w14:paraId="2D53344B"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4. </w:t>
      </w:r>
      <w:r w:rsidRPr="00DA1E0C">
        <w:rPr>
          <w:rFonts w:ascii="Calibri" w:hAnsi="Calibri" w:cs="Calibri"/>
          <w:noProof/>
          <w:szCs w:val="24"/>
        </w:rPr>
        <w:tab/>
        <w:t xml:space="preserve">Borst O, Schaub M, Walker B, et al. CXCL16 is a novel diagnostic marker and predictor of mortality in inflammatory cardiomyopathy and heart failure. </w:t>
      </w:r>
      <w:r w:rsidRPr="00DA1E0C">
        <w:rPr>
          <w:rFonts w:ascii="Calibri" w:hAnsi="Calibri" w:cs="Calibri"/>
          <w:i/>
          <w:iCs/>
          <w:noProof/>
          <w:szCs w:val="24"/>
        </w:rPr>
        <w:t>Int J Cardiol</w:t>
      </w:r>
      <w:r w:rsidRPr="00DA1E0C">
        <w:rPr>
          <w:rFonts w:ascii="Calibri" w:hAnsi="Calibri" w:cs="Calibri"/>
          <w:noProof/>
          <w:szCs w:val="24"/>
        </w:rPr>
        <w:t>. 2014;176(3):896-903. doi:10.1016/j.ijcard.2014.08.033</w:t>
      </w:r>
    </w:p>
    <w:p w14:paraId="6C09E7D4"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5. </w:t>
      </w:r>
      <w:r w:rsidRPr="00DA1E0C">
        <w:rPr>
          <w:rFonts w:ascii="Calibri" w:hAnsi="Calibri" w:cs="Calibri"/>
          <w:noProof/>
          <w:szCs w:val="24"/>
        </w:rPr>
        <w:tab/>
        <w:t xml:space="preserve">Borst O, Münzer P, Gatidis S, et al. The Inflammatory Chemokine CXC Motif Ligand 16 Triggers Platelet Activation and Adhesion Via CXC Motif Receptor 6–Dependent Phosphatidylinositide 3-Kinase/Akt Signaling. </w:t>
      </w:r>
      <w:r w:rsidRPr="00DA1E0C">
        <w:rPr>
          <w:rFonts w:ascii="Calibri" w:hAnsi="Calibri" w:cs="Calibri"/>
          <w:i/>
          <w:iCs/>
          <w:noProof/>
          <w:szCs w:val="24"/>
        </w:rPr>
        <w:t>Circ Res</w:t>
      </w:r>
      <w:r w:rsidRPr="00DA1E0C">
        <w:rPr>
          <w:rFonts w:ascii="Calibri" w:hAnsi="Calibri" w:cs="Calibri"/>
          <w:noProof/>
          <w:szCs w:val="24"/>
        </w:rPr>
        <w:t>. 2012;111(10):1297-1307. doi:10.1161/CIRCRESAHA.112.276444</w:t>
      </w:r>
    </w:p>
    <w:p w14:paraId="530F9967"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6. </w:t>
      </w:r>
      <w:r w:rsidRPr="00DA1E0C">
        <w:rPr>
          <w:rFonts w:ascii="Calibri" w:hAnsi="Calibri" w:cs="Calibri"/>
          <w:noProof/>
          <w:szCs w:val="24"/>
        </w:rPr>
        <w:tab/>
        <w:t xml:space="preserve">Zhao T, Kecheng Y, Zhao X, et al. The higher serum endocan levels may be a risk factor for the onset of cardiovascular disease. </w:t>
      </w:r>
      <w:r w:rsidRPr="00DA1E0C">
        <w:rPr>
          <w:rFonts w:ascii="Calibri" w:hAnsi="Calibri" w:cs="Calibri"/>
          <w:i/>
          <w:iCs/>
          <w:noProof/>
          <w:szCs w:val="24"/>
        </w:rPr>
        <w:t>Medicine (Baltimore)</w:t>
      </w:r>
      <w:r w:rsidRPr="00DA1E0C">
        <w:rPr>
          <w:rFonts w:ascii="Calibri" w:hAnsi="Calibri" w:cs="Calibri"/>
          <w:noProof/>
          <w:szCs w:val="24"/>
        </w:rPr>
        <w:t>. 2018;97(49):e13407. doi:10.1097/MD.0000000000013407</w:t>
      </w:r>
    </w:p>
    <w:p w14:paraId="187CDD83"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lastRenderedPageBreak/>
        <w:t xml:space="preserve">7. </w:t>
      </w:r>
      <w:r w:rsidRPr="00DA1E0C">
        <w:rPr>
          <w:rFonts w:ascii="Calibri" w:hAnsi="Calibri" w:cs="Calibri"/>
          <w:noProof/>
          <w:szCs w:val="24"/>
        </w:rPr>
        <w:tab/>
        <w:t xml:space="preserve">Kosir G, Jug B, Novakovic M, Mijovski MB, Ksela J. Endocan Is an Independent Predictor of Heart Failure-Related Mortality and Hospitalizations in Patients with Chronic Stable Heart Failure. </w:t>
      </w:r>
      <w:r w:rsidRPr="00DA1E0C">
        <w:rPr>
          <w:rFonts w:ascii="Calibri" w:hAnsi="Calibri" w:cs="Calibri"/>
          <w:i/>
          <w:iCs/>
          <w:noProof/>
          <w:szCs w:val="24"/>
        </w:rPr>
        <w:t>Dis Markers</w:t>
      </w:r>
      <w:r w:rsidRPr="00DA1E0C">
        <w:rPr>
          <w:rFonts w:ascii="Calibri" w:hAnsi="Calibri" w:cs="Calibri"/>
          <w:noProof/>
          <w:szCs w:val="24"/>
        </w:rPr>
        <w:t>. 2019;2019:1-7. doi:10.1155/2019/9134096</w:t>
      </w:r>
    </w:p>
    <w:p w14:paraId="094A9CF2"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8. </w:t>
      </w:r>
      <w:r w:rsidRPr="00DA1E0C">
        <w:rPr>
          <w:rFonts w:ascii="Calibri" w:hAnsi="Calibri" w:cs="Calibri"/>
          <w:noProof/>
          <w:szCs w:val="24"/>
        </w:rPr>
        <w:tab/>
        <w:t xml:space="preserve">Furuhashi M. Fatty Acid-Binding Protein 4 in Cardiovascular and Metabolic Diseases. </w:t>
      </w:r>
      <w:r w:rsidRPr="00DA1E0C">
        <w:rPr>
          <w:rFonts w:ascii="Calibri" w:hAnsi="Calibri" w:cs="Calibri"/>
          <w:i/>
          <w:iCs/>
          <w:noProof/>
          <w:szCs w:val="24"/>
        </w:rPr>
        <w:t>J Atheroscler Thromb</w:t>
      </w:r>
      <w:r w:rsidRPr="00DA1E0C">
        <w:rPr>
          <w:rFonts w:ascii="Calibri" w:hAnsi="Calibri" w:cs="Calibri"/>
          <w:noProof/>
          <w:szCs w:val="24"/>
        </w:rPr>
        <w:t>. 2019;26(3):216-232. doi:10.5551/jat.48710</w:t>
      </w:r>
    </w:p>
    <w:p w14:paraId="0E73A5CA"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szCs w:val="24"/>
        </w:rPr>
      </w:pPr>
      <w:r w:rsidRPr="00DA1E0C">
        <w:rPr>
          <w:rFonts w:ascii="Calibri" w:hAnsi="Calibri" w:cs="Calibri"/>
          <w:noProof/>
          <w:szCs w:val="24"/>
        </w:rPr>
        <w:t xml:space="preserve">9. </w:t>
      </w:r>
      <w:r w:rsidRPr="00DA1E0C">
        <w:rPr>
          <w:rFonts w:ascii="Calibri" w:hAnsi="Calibri" w:cs="Calibri"/>
          <w:noProof/>
          <w:szCs w:val="24"/>
        </w:rPr>
        <w:tab/>
        <w:t xml:space="preserve">Lenderink T, Heeschen C, Fichtlscherer S, et al. Elevated Placental Growth Factor Levels Are Associated With Adverse Outcomes at Four-Year Follow-Up in Patients With Acute Coronary Syndromes. </w:t>
      </w:r>
      <w:r w:rsidRPr="00DA1E0C">
        <w:rPr>
          <w:rFonts w:ascii="Calibri" w:hAnsi="Calibri" w:cs="Calibri"/>
          <w:i/>
          <w:iCs/>
          <w:noProof/>
          <w:szCs w:val="24"/>
        </w:rPr>
        <w:t>J Am Coll Cardiol</w:t>
      </w:r>
      <w:r w:rsidRPr="00DA1E0C">
        <w:rPr>
          <w:rFonts w:ascii="Calibri" w:hAnsi="Calibri" w:cs="Calibri"/>
          <w:noProof/>
          <w:szCs w:val="24"/>
        </w:rPr>
        <w:t>. 2006;47(2):307-311. doi:10.1016/j.jacc.2005.08.063</w:t>
      </w:r>
    </w:p>
    <w:p w14:paraId="05AC00DE" w14:textId="77777777" w:rsidR="00DA1E0C" w:rsidRPr="00DA1E0C" w:rsidRDefault="00DA1E0C" w:rsidP="00DA1E0C">
      <w:pPr>
        <w:widowControl w:val="0"/>
        <w:autoSpaceDE w:val="0"/>
        <w:autoSpaceDN w:val="0"/>
        <w:adjustRightInd w:val="0"/>
        <w:spacing w:line="240" w:lineRule="auto"/>
        <w:ind w:left="640" w:hanging="640"/>
        <w:rPr>
          <w:rFonts w:ascii="Calibri" w:hAnsi="Calibri" w:cs="Calibri"/>
          <w:noProof/>
        </w:rPr>
      </w:pPr>
      <w:r w:rsidRPr="00DA1E0C">
        <w:rPr>
          <w:rFonts w:ascii="Calibri" w:hAnsi="Calibri" w:cs="Calibri"/>
          <w:noProof/>
          <w:szCs w:val="24"/>
        </w:rPr>
        <w:t xml:space="preserve">10. </w:t>
      </w:r>
      <w:r w:rsidRPr="00DA1E0C">
        <w:rPr>
          <w:rFonts w:ascii="Calibri" w:hAnsi="Calibri" w:cs="Calibri"/>
          <w:noProof/>
          <w:szCs w:val="24"/>
        </w:rPr>
        <w:tab/>
        <w:t xml:space="preserve">Sun D, Li S, Wu H, et al. Oncostatin M (OSM) protects against cardiac ischaemia/reperfusion injury in diabetic mice by regulating apoptosis, mitochondrial biogenesis and insulin sensitivity. </w:t>
      </w:r>
      <w:r w:rsidRPr="00DA1E0C">
        <w:rPr>
          <w:rFonts w:ascii="Calibri" w:hAnsi="Calibri" w:cs="Calibri"/>
          <w:i/>
          <w:iCs/>
          <w:noProof/>
          <w:szCs w:val="24"/>
        </w:rPr>
        <w:t>J Cell Mol Med</w:t>
      </w:r>
      <w:r w:rsidRPr="00DA1E0C">
        <w:rPr>
          <w:rFonts w:ascii="Calibri" w:hAnsi="Calibri" w:cs="Calibri"/>
          <w:noProof/>
          <w:szCs w:val="24"/>
        </w:rPr>
        <w:t>. 2015;19(6):1296-1307. doi:10.1111/jcmm.12501</w:t>
      </w:r>
    </w:p>
    <w:p w14:paraId="1DB4ABDE" w14:textId="32A9E6E4" w:rsidR="00F17293" w:rsidRDefault="00DA1E0C">
      <w:r>
        <w:fldChar w:fldCharType="end"/>
      </w:r>
    </w:p>
    <w:sectPr w:rsidR="00F17293" w:rsidSect="00E8491C">
      <w:type w:val="continuous"/>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069BE" w14:textId="77777777" w:rsidR="00DD26B1" w:rsidRDefault="00DD26B1">
      <w:pPr>
        <w:spacing w:after="0" w:line="240" w:lineRule="auto"/>
      </w:pPr>
      <w:r>
        <w:separator/>
      </w:r>
    </w:p>
  </w:endnote>
  <w:endnote w:type="continuationSeparator" w:id="0">
    <w:p w14:paraId="4F77DE3A" w14:textId="77777777" w:rsidR="00DD26B1" w:rsidRDefault="00DD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D5399" w14:textId="77777777" w:rsidR="00DD26B1" w:rsidRDefault="00DD26B1">
      <w:pPr>
        <w:spacing w:after="0" w:line="240" w:lineRule="auto"/>
      </w:pPr>
      <w:r>
        <w:separator/>
      </w:r>
    </w:p>
  </w:footnote>
  <w:footnote w:type="continuationSeparator" w:id="0">
    <w:p w14:paraId="7BFF6CC3" w14:textId="77777777" w:rsidR="00DD26B1" w:rsidRDefault="00DD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015825"/>
      <w:docPartObj>
        <w:docPartGallery w:val="Page Numbers (Top of Page)"/>
        <w:docPartUnique/>
      </w:docPartObj>
    </w:sdtPr>
    <w:sdtEndPr/>
    <w:sdtContent>
      <w:p w14:paraId="6C8E13A7" w14:textId="77777777" w:rsidR="007A1DCA" w:rsidRDefault="009B15C3">
        <w:pPr>
          <w:pStyle w:val="Header"/>
          <w:jc w:val="right"/>
        </w:pPr>
        <w:r>
          <w:fldChar w:fldCharType="begin"/>
        </w:r>
        <w:r>
          <w:instrText>PAGE   \* MERGEFORMAT</w:instrText>
        </w:r>
        <w:r>
          <w:fldChar w:fldCharType="separate"/>
        </w:r>
        <w:r w:rsidR="007F17C7" w:rsidRPr="007F17C7">
          <w:rPr>
            <w:noProof/>
            <w:lang w:val="es-ES"/>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1F86"/>
    <w:multiLevelType w:val="hybridMultilevel"/>
    <w:tmpl w:val="9EDCDAEE"/>
    <w:lvl w:ilvl="0" w:tplc="8716FD16">
      <w:start w:val="1"/>
      <w:numFmt w:val="upperLetter"/>
      <w:lvlText w:val="%1."/>
      <w:lvlJc w:val="left"/>
      <w:pPr>
        <w:ind w:left="720" w:hanging="360"/>
      </w:pPr>
      <w:rPr>
        <w:rFonts w:ascii="Arial" w:hAnsi="Arial" w:cs="Arial" w:hint="default"/>
        <w:b/>
        <w:i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24305"/>
    <w:multiLevelType w:val="hybridMultilevel"/>
    <w:tmpl w:val="D2F24E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B7A92"/>
    <w:multiLevelType w:val="hybridMultilevel"/>
    <w:tmpl w:val="D1A2D3E4"/>
    <w:lvl w:ilvl="0" w:tplc="75363078">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223B6FA8"/>
    <w:multiLevelType w:val="hybridMultilevel"/>
    <w:tmpl w:val="EC0AED9E"/>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60037"/>
    <w:multiLevelType w:val="hybridMultilevel"/>
    <w:tmpl w:val="C88E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63592"/>
    <w:multiLevelType w:val="hybridMultilevel"/>
    <w:tmpl w:val="EE34D876"/>
    <w:lvl w:ilvl="0" w:tplc="8716FD16">
      <w:start w:val="1"/>
      <w:numFmt w:val="upperLetter"/>
      <w:lvlText w:val="%1."/>
      <w:lvlJc w:val="left"/>
      <w:pPr>
        <w:ind w:left="720" w:hanging="360"/>
      </w:pPr>
      <w:rPr>
        <w:rFonts w:ascii="Arial" w:hAnsi="Arial" w:cs="Arial" w:hint="default"/>
        <w:b/>
        <w:i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75A18"/>
    <w:multiLevelType w:val="hybridMultilevel"/>
    <w:tmpl w:val="0FC0A06E"/>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65137"/>
    <w:multiLevelType w:val="hybridMultilevel"/>
    <w:tmpl w:val="D2F24E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5952A9"/>
    <w:multiLevelType w:val="hybridMultilevel"/>
    <w:tmpl w:val="D2F24E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90362"/>
    <w:multiLevelType w:val="hybridMultilevel"/>
    <w:tmpl w:val="980ECEB4"/>
    <w:lvl w:ilvl="0" w:tplc="700E6104">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F2DFE"/>
    <w:multiLevelType w:val="hybridMultilevel"/>
    <w:tmpl w:val="5E8C7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DD39E8"/>
    <w:multiLevelType w:val="hybridMultilevel"/>
    <w:tmpl w:val="6ABC2DBA"/>
    <w:lvl w:ilvl="0" w:tplc="700E6104">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4152E"/>
    <w:multiLevelType w:val="hybridMultilevel"/>
    <w:tmpl w:val="AF56FEC6"/>
    <w:lvl w:ilvl="0" w:tplc="9F54E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A6597"/>
    <w:multiLevelType w:val="hybridMultilevel"/>
    <w:tmpl w:val="9EDCDAEE"/>
    <w:lvl w:ilvl="0" w:tplc="8716FD16">
      <w:start w:val="1"/>
      <w:numFmt w:val="upperLetter"/>
      <w:lvlText w:val="%1."/>
      <w:lvlJc w:val="left"/>
      <w:pPr>
        <w:ind w:left="720" w:hanging="360"/>
      </w:pPr>
      <w:rPr>
        <w:rFonts w:ascii="Arial" w:hAnsi="Arial" w:cs="Arial" w:hint="default"/>
        <w:b/>
        <w:i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772A1"/>
    <w:multiLevelType w:val="hybridMultilevel"/>
    <w:tmpl w:val="972A89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4670BD"/>
    <w:multiLevelType w:val="hybridMultilevel"/>
    <w:tmpl w:val="C9869232"/>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DF4D82"/>
    <w:multiLevelType w:val="hybridMultilevel"/>
    <w:tmpl w:val="D2F24E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55C50"/>
    <w:multiLevelType w:val="hybridMultilevel"/>
    <w:tmpl w:val="0DF84B6C"/>
    <w:lvl w:ilvl="0" w:tplc="A30460A4">
      <w:start w:val="2"/>
      <w:numFmt w:val="bullet"/>
      <w:lvlText w:val="*"/>
      <w:lvlJc w:val="left"/>
      <w:pPr>
        <w:ind w:left="720" w:hanging="360"/>
      </w:pPr>
      <w:rPr>
        <w:rFonts w:ascii="Calibri" w:eastAsia="Times New Roman" w:hAnsi="Calibri" w:cstheme="minorHAnsi" w:hint="default"/>
        <w:i/>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60415"/>
    <w:multiLevelType w:val="hybridMultilevel"/>
    <w:tmpl w:val="EC0AED9E"/>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D16C32"/>
    <w:multiLevelType w:val="hybridMultilevel"/>
    <w:tmpl w:val="C9869232"/>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F105A8"/>
    <w:multiLevelType w:val="hybridMultilevel"/>
    <w:tmpl w:val="47BA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2482C"/>
    <w:multiLevelType w:val="hybridMultilevel"/>
    <w:tmpl w:val="9C9EBF7A"/>
    <w:lvl w:ilvl="0" w:tplc="4BB860D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21"/>
  </w:num>
  <w:num w:numId="4">
    <w:abstractNumId w:val="6"/>
  </w:num>
  <w:num w:numId="5">
    <w:abstractNumId w:val="12"/>
  </w:num>
  <w:num w:numId="6">
    <w:abstractNumId w:val="1"/>
  </w:num>
  <w:num w:numId="7">
    <w:abstractNumId w:val="14"/>
  </w:num>
  <w:num w:numId="8">
    <w:abstractNumId w:val="19"/>
  </w:num>
  <w:num w:numId="9">
    <w:abstractNumId w:val="15"/>
  </w:num>
  <w:num w:numId="10">
    <w:abstractNumId w:val="18"/>
  </w:num>
  <w:num w:numId="11">
    <w:abstractNumId w:val="8"/>
  </w:num>
  <w:num w:numId="12">
    <w:abstractNumId w:val="7"/>
  </w:num>
  <w:num w:numId="13">
    <w:abstractNumId w:val="16"/>
  </w:num>
  <w:num w:numId="14">
    <w:abstractNumId w:val="3"/>
  </w:num>
  <w:num w:numId="15">
    <w:abstractNumId w:val="17"/>
  </w:num>
  <w:num w:numId="16">
    <w:abstractNumId w:val="0"/>
  </w:num>
  <w:num w:numId="17">
    <w:abstractNumId w:val="5"/>
  </w:num>
  <w:num w:numId="18">
    <w:abstractNumId w:val="13"/>
  </w:num>
  <w:num w:numId="19">
    <w:abstractNumId w:val="4"/>
  </w:num>
  <w:num w:numId="20">
    <w:abstractNumId w:val="10"/>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B15C3"/>
    <w:rsid w:val="000124A9"/>
    <w:rsid w:val="0001355D"/>
    <w:rsid w:val="000255CF"/>
    <w:rsid w:val="00106A97"/>
    <w:rsid w:val="00116779"/>
    <w:rsid w:val="00137AB7"/>
    <w:rsid w:val="002E6927"/>
    <w:rsid w:val="00310F13"/>
    <w:rsid w:val="0031781D"/>
    <w:rsid w:val="003A6B2E"/>
    <w:rsid w:val="003D2EEF"/>
    <w:rsid w:val="003F05A3"/>
    <w:rsid w:val="004564E1"/>
    <w:rsid w:val="004636EF"/>
    <w:rsid w:val="004B1640"/>
    <w:rsid w:val="004C64C6"/>
    <w:rsid w:val="00513AC4"/>
    <w:rsid w:val="00566C07"/>
    <w:rsid w:val="0061540F"/>
    <w:rsid w:val="00640578"/>
    <w:rsid w:val="00714980"/>
    <w:rsid w:val="00744048"/>
    <w:rsid w:val="0077125B"/>
    <w:rsid w:val="007F17C7"/>
    <w:rsid w:val="00830F5F"/>
    <w:rsid w:val="00835997"/>
    <w:rsid w:val="00861203"/>
    <w:rsid w:val="008A56F8"/>
    <w:rsid w:val="00966CBD"/>
    <w:rsid w:val="00981D1E"/>
    <w:rsid w:val="009968F7"/>
    <w:rsid w:val="009B15C3"/>
    <w:rsid w:val="009C0211"/>
    <w:rsid w:val="009C113E"/>
    <w:rsid w:val="009C4E42"/>
    <w:rsid w:val="009F2B40"/>
    <w:rsid w:val="00A17DC5"/>
    <w:rsid w:val="00A361AD"/>
    <w:rsid w:val="00A431DC"/>
    <w:rsid w:val="00A56BE4"/>
    <w:rsid w:val="00AA3774"/>
    <w:rsid w:val="00AB3624"/>
    <w:rsid w:val="00CB214D"/>
    <w:rsid w:val="00CB4AD4"/>
    <w:rsid w:val="00CE55DC"/>
    <w:rsid w:val="00D52247"/>
    <w:rsid w:val="00DA1E0C"/>
    <w:rsid w:val="00DD26B1"/>
    <w:rsid w:val="00E06104"/>
    <w:rsid w:val="00E8491C"/>
    <w:rsid w:val="00EE3B12"/>
    <w:rsid w:val="00EE62D5"/>
    <w:rsid w:val="00F17293"/>
    <w:rsid w:val="00F44C8D"/>
    <w:rsid w:val="00F75A94"/>
    <w:rsid w:val="00FF374D"/>
    <w:rsid w:val="00FF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AAF9B"/>
  <w15:docId w15:val="{637DF64F-BCAA-4A22-9DDA-81B5A3AA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C3"/>
    <w:pPr>
      <w:spacing w:after="160" w:line="259" w:lineRule="auto"/>
    </w:pPr>
  </w:style>
  <w:style w:type="paragraph" w:styleId="Heading1">
    <w:name w:val="heading 1"/>
    <w:aliases w:val="Article title"/>
    <w:basedOn w:val="Normal"/>
    <w:next w:val="Normal"/>
    <w:link w:val="Heading1Char"/>
    <w:qFormat/>
    <w:rsid w:val="009B15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B15C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itle Char"/>
    <w:basedOn w:val="DefaultParagraphFont"/>
    <w:link w:val="Heading1"/>
    <w:uiPriority w:val="9"/>
    <w:rsid w:val="009B15C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B15C3"/>
    <w:rPr>
      <w:rFonts w:ascii="Times New Roman" w:eastAsia="Times New Roman" w:hAnsi="Times New Roman" w:cs="Times New Roman"/>
      <w:b/>
      <w:bCs/>
      <w:sz w:val="36"/>
      <w:szCs w:val="36"/>
      <w:lang w:val="en-GB" w:eastAsia="en-GB"/>
    </w:rPr>
  </w:style>
  <w:style w:type="paragraph" w:styleId="ListParagraph">
    <w:name w:val="List Paragraph"/>
    <w:basedOn w:val="Normal"/>
    <w:uiPriority w:val="34"/>
    <w:qFormat/>
    <w:rsid w:val="009B15C3"/>
    <w:pPr>
      <w:ind w:left="720"/>
      <w:contextualSpacing/>
    </w:pPr>
  </w:style>
  <w:style w:type="table" w:styleId="TableGrid">
    <w:name w:val="Table Grid"/>
    <w:basedOn w:val="TableNormal"/>
    <w:uiPriority w:val="59"/>
    <w:rsid w:val="009B15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5C3"/>
    <w:rPr>
      <w:rFonts w:ascii="Segoe UI" w:hAnsi="Segoe UI" w:cs="Segoe UI"/>
      <w:sz w:val="18"/>
      <w:szCs w:val="18"/>
    </w:rPr>
  </w:style>
  <w:style w:type="table" w:customStyle="1" w:styleId="GridTable6Colorful1">
    <w:name w:val="Grid Table 6 Colorful1"/>
    <w:basedOn w:val="TableNormal"/>
    <w:uiPriority w:val="51"/>
    <w:rsid w:val="009B15C3"/>
    <w:pPr>
      <w:spacing w:after="0" w:line="240" w:lineRule="auto"/>
    </w:pPr>
    <w:rPr>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semiHidden/>
    <w:unhideWhenUsed/>
    <w:rsid w:val="009B15C3"/>
    <w:pPr>
      <w:spacing w:line="240" w:lineRule="auto"/>
    </w:pPr>
    <w:rPr>
      <w:sz w:val="20"/>
      <w:szCs w:val="20"/>
    </w:rPr>
  </w:style>
  <w:style w:type="character" w:customStyle="1" w:styleId="CommentTextChar">
    <w:name w:val="Comment Text Char"/>
    <w:basedOn w:val="DefaultParagraphFont"/>
    <w:link w:val="CommentText"/>
    <w:uiPriority w:val="99"/>
    <w:semiHidden/>
    <w:rsid w:val="009B15C3"/>
    <w:rPr>
      <w:sz w:val="20"/>
      <w:szCs w:val="20"/>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b/>
      <w:bCs/>
      <w:sz w:val="20"/>
      <w:szCs w:val="20"/>
    </w:rPr>
  </w:style>
  <w:style w:type="character" w:styleId="Hyperlink">
    <w:name w:val="Hyperlink"/>
    <w:basedOn w:val="DefaultParagraphFont"/>
    <w:uiPriority w:val="99"/>
    <w:unhideWhenUsed/>
    <w:rsid w:val="009B15C3"/>
    <w:rPr>
      <w:color w:val="0000FF"/>
      <w:u w:val="single"/>
    </w:rPr>
  </w:style>
  <w:style w:type="paragraph" w:styleId="Header">
    <w:name w:val="header"/>
    <w:basedOn w:val="Normal"/>
    <w:link w:val="HeaderChar"/>
    <w:uiPriority w:val="99"/>
    <w:unhideWhenUsed/>
    <w:rsid w:val="009B15C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15C3"/>
  </w:style>
  <w:style w:type="paragraph" w:styleId="Footer">
    <w:name w:val="footer"/>
    <w:basedOn w:val="Normal"/>
    <w:link w:val="FooterChar"/>
    <w:uiPriority w:val="99"/>
    <w:unhideWhenUsed/>
    <w:rsid w:val="009B15C3"/>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15C3"/>
  </w:style>
  <w:style w:type="table" w:customStyle="1" w:styleId="GridTable6Colorful2">
    <w:name w:val="Grid Table 6 Colorful2"/>
    <w:basedOn w:val="TableNormal"/>
    <w:uiPriority w:val="51"/>
    <w:rsid w:val="009B15C3"/>
    <w:pPr>
      <w:spacing w:after="0" w:line="240" w:lineRule="auto"/>
    </w:pPr>
    <w:rPr>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ighlight">
    <w:name w:val="highlight"/>
    <w:basedOn w:val="DefaultParagraphFont"/>
    <w:rsid w:val="009B15C3"/>
  </w:style>
  <w:style w:type="character" w:styleId="Strong">
    <w:name w:val="Strong"/>
    <w:basedOn w:val="DefaultParagraphFont"/>
    <w:uiPriority w:val="22"/>
    <w:qFormat/>
    <w:rsid w:val="009B15C3"/>
    <w:rPr>
      <w:b/>
      <w:bCs/>
    </w:rPr>
  </w:style>
  <w:style w:type="character" w:customStyle="1" w:styleId="identifier">
    <w:name w:val="identifier"/>
    <w:basedOn w:val="DefaultParagraphFont"/>
    <w:rsid w:val="009B15C3"/>
  </w:style>
  <w:style w:type="character" w:customStyle="1" w:styleId="id-label">
    <w:name w:val="id-label"/>
    <w:basedOn w:val="DefaultParagraphFont"/>
    <w:rsid w:val="009B15C3"/>
  </w:style>
  <w:style w:type="character" w:customStyle="1" w:styleId="UnresolvedMention1">
    <w:name w:val="Unresolved Mention1"/>
    <w:basedOn w:val="DefaultParagraphFont"/>
    <w:uiPriority w:val="99"/>
    <w:semiHidden/>
    <w:unhideWhenUsed/>
    <w:rsid w:val="009B15C3"/>
    <w:rPr>
      <w:color w:val="605E5C"/>
      <w:shd w:val="clear" w:color="auto" w:fill="E1DFDD"/>
    </w:rPr>
  </w:style>
  <w:style w:type="character" w:styleId="Emphasis">
    <w:name w:val="Emphasis"/>
    <w:basedOn w:val="DefaultParagraphFont"/>
    <w:uiPriority w:val="20"/>
    <w:qFormat/>
    <w:rsid w:val="009B15C3"/>
    <w:rPr>
      <w:i/>
      <w:iCs/>
    </w:rPr>
  </w:style>
  <w:style w:type="character" w:customStyle="1" w:styleId="UnresolvedMention2">
    <w:name w:val="Unresolved Mention2"/>
    <w:basedOn w:val="DefaultParagraphFont"/>
    <w:uiPriority w:val="99"/>
    <w:semiHidden/>
    <w:unhideWhenUsed/>
    <w:rsid w:val="009B15C3"/>
    <w:rPr>
      <w:color w:val="605E5C"/>
      <w:shd w:val="clear" w:color="auto" w:fill="E1DFDD"/>
    </w:rPr>
  </w:style>
  <w:style w:type="paragraph" w:customStyle="1" w:styleId="EndNoteBibliographyTitle">
    <w:name w:val="EndNote Bibliography Title"/>
    <w:basedOn w:val="Normal"/>
    <w:link w:val="EndNoteBibliographyTitleCar"/>
    <w:rsid w:val="009B15C3"/>
    <w:pPr>
      <w:spacing w:after="0"/>
      <w:jc w:val="center"/>
    </w:pPr>
    <w:rPr>
      <w:rFonts w:ascii="Calibri" w:hAnsi="Calibri" w:cs="Calibri"/>
      <w:noProof/>
    </w:rPr>
  </w:style>
  <w:style w:type="character" w:customStyle="1" w:styleId="EndNoteBibliographyTitleCar">
    <w:name w:val="EndNote Bibliography Title Car"/>
    <w:basedOn w:val="DefaultParagraphFont"/>
    <w:link w:val="EndNoteBibliographyTitle"/>
    <w:rsid w:val="009B15C3"/>
    <w:rPr>
      <w:rFonts w:ascii="Calibri" w:hAnsi="Calibri" w:cs="Calibri"/>
      <w:noProof/>
    </w:rPr>
  </w:style>
  <w:style w:type="paragraph" w:customStyle="1" w:styleId="EndNoteBibliography">
    <w:name w:val="EndNote Bibliography"/>
    <w:basedOn w:val="Normal"/>
    <w:link w:val="EndNoteBibliographyCar"/>
    <w:rsid w:val="009B15C3"/>
    <w:pPr>
      <w:spacing w:line="240" w:lineRule="auto"/>
    </w:pPr>
    <w:rPr>
      <w:rFonts w:ascii="Calibri" w:hAnsi="Calibri" w:cs="Calibri"/>
      <w:noProof/>
    </w:rPr>
  </w:style>
  <w:style w:type="character" w:customStyle="1" w:styleId="EndNoteBibliographyCar">
    <w:name w:val="EndNote Bibliography Car"/>
    <w:basedOn w:val="DefaultParagraphFont"/>
    <w:link w:val="EndNoteBibliography"/>
    <w:rsid w:val="009B15C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14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cuadrado@uam.es" TargetMode="External"/><Relationship Id="rId3" Type="http://schemas.openxmlformats.org/officeDocument/2006/relationships/settings" Target="settings.xml"/><Relationship Id="rId7" Type="http://schemas.openxmlformats.org/officeDocument/2006/relationships/hyperlink" Target="mailto:gina.mand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4084</Words>
  <Characters>23282</Characters>
  <Application>Microsoft Office Word</Application>
  <DocSecurity>0</DocSecurity>
  <Lines>194</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Cuadrado</dc:creator>
  <cp:lastModifiedBy>Zakeri, Fatin</cp:lastModifiedBy>
  <cp:revision>2</cp:revision>
  <dcterms:created xsi:type="dcterms:W3CDTF">2021-01-26T02:16:00Z</dcterms:created>
  <dcterms:modified xsi:type="dcterms:W3CDTF">2021-01-26T02:16:00Z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4be89e82-aea9-3ab4-8b22-40516ac4f39e</vt:lpwstr>
  </property>
  <property fmtid="{D5CDD505-2E9C-101B-9397-08002B2CF9AE}" pid="4" name="Mendeley Citation Style_1">
    <vt:lpwstr>http://www.zotero.org/styles/jama</vt:lpwstr>
  </property>
  <property fmtid="{D5CDD505-2E9C-101B-9397-08002B2CF9AE}" pid="5" name="Mendeley Recent Style Id 0_1">
    <vt:lpwstr>http://www.zotero.org/styles/acta-psychiatrica-scandinavica</vt:lpwstr>
  </property>
  <property fmtid="{D5CDD505-2E9C-101B-9397-08002B2CF9AE}" pid="6" name="Mendeley Recent Style Name 0_1">
    <vt:lpwstr>Acta Psychiatrica Scandinavica</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http://www.zotero.org/styles/bmc-neuroscience</vt:lpwstr>
  </property>
  <property fmtid="{D5CDD505-2E9C-101B-9397-08002B2CF9AE}" pid="10" name="Mendeley Recent Style Name 2_1">
    <vt:lpwstr>BMC Neuroscience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http://www.zotero.org/styles/jama</vt:lpwstr>
  </property>
  <property fmtid="{D5CDD505-2E9C-101B-9397-08002B2CF9AE}" pid="14" name="Mendeley Recent Style Name 4_1">
    <vt:lpwstr>JAMA (The Journal of the American Medical Association)</vt:lpwstr>
  </property>
  <property fmtid="{D5CDD505-2E9C-101B-9397-08002B2CF9AE}" pid="15" name="Mendeley Recent Style Id 5_1">
    <vt:lpwstr>http://www.zotero.org/styles/neurobiology-of-aging</vt:lpwstr>
  </property>
  <property fmtid="{D5CDD505-2E9C-101B-9397-08002B2CF9AE}" pid="16" name="Mendeley Recent Style Name 5_1">
    <vt:lpwstr>Neurobiology of Aging</vt:lpwstr>
  </property>
  <property fmtid="{D5CDD505-2E9C-101B-9397-08002B2CF9AE}" pid="17" name="Mendeley Recent Style Id 6_1">
    <vt:lpwstr>http://www.zotero.org/styles/sage-vancouver-brackets</vt:lpwstr>
  </property>
  <property fmtid="{D5CDD505-2E9C-101B-9397-08002B2CF9AE}" pid="18" name="Mendeley Recent Style Name 6_1">
    <vt:lpwstr>SAGE - Vancouver (brackets)</vt:lpwstr>
  </property>
  <property fmtid="{D5CDD505-2E9C-101B-9397-08002B2CF9AE}" pid="19" name="Mendeley Recent Style Id 7_1">
    <vt:lpwstr>http://www.zotero.org/styles/university-of-york-vancouver</vt:lpwstr>
  </property>
  <property fmtid="{D5CDD505-2E9C-101B-9397-08002B2CF9AE}" pid="20" name="Mendeley Recent Style Name 7_1">
    <vt:lpwstr>University of York - Vancouver</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http://www.zotero.org/styles/vancouver-author-date</vt:lpwstr>
  </property>
  <property fmtid="{D5CDD505-2E9C-101B-9397-08002B2CF9AE}" pid="24" name="Mendeley Recent Style Name 9_1">
    <vt:lpwstr>Vancouver (author-date)</vt:lpwstr>
  </property>
</Properties>
</file>