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34A32F" w14:textId="60BE72D8" w:rsidR="006B1A5C" w:rsidRPr="006B1A5C" w:rsidRDefault="00A033DF" w:rsidP="006B1A5C">
      <w:pPr>
        <w:rPr>
          <w:b/>
        </w:rPr>
      </w:pPr>
      <w:r w:rsidRPr="00A460EF">
        <w:rPr>
          <w:b/>
        </w:rPr>
        <w:t>Supplementary Table 1</w:t>
      </w:r>
      <w:r w:rsidR="006B1A5C" w:rsidRPr="00A460EF">
        <w:rPr>
          <w:b/>
        </w:rPr>
        <w:t xml:space="preserve">: Results of the univariate logistic regression analyses between BPS complexity assessed by means of the INTERMED and presence of psychiatric comorbidity </w:t>
      </w:r>
      <w:r w:rsidR="00DB5AD1" w:rsidRPr="00A460EF">
        <w:rPr>
          <w:b/>
        </w:rPr>
        <w:t>in the two groups</w:t>
      </w:r>
      <w:bookmarkStart w:id="0" w:name="_GoBack"/>
      <w:bookmarkEnd w:id="0"/>
    </w:p>
    <w:tbl>
      <w:tblPr>
        <w:tblW w:w="10175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134"/>
        <w:gridCol w:w="1418"/>
        <w:gridCol w:w="1134"/>
        <w:gridCol w:w="1049"/>
        <w:gridCol w:w="1260"/>
        <w:gridCol w:w="1350"/>
      </w:tblGrid>
      <w:tr w:rsidR="006B1A5C" w:rsidRPr="006B1A5C" w14:paraId="34529EDE" w14:textId="77777777" w:rsidTr="00D2370D">
        <w:trPr>
          <w:jc w:val="center"/>
        </w:trPr>
        <w:tc>
          <w:tcPr>
            <w:tcW w:w="283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765013D" w14:textId="77777777" w:rsidR="006B1A5C" w:rsidRPr="006B1A5C" w:rsidRDefault="006B1A5C" w:rsidP="006B1A5C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8ED5FB8" w14:textId="77777777" w:rsidR="006B1A5C" w:rsidRPr="006B1A5C" w:rsidRDefault="006B1A5C" w:rsidP="006B1A5C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57DF887" w14:textId="0FA34C08" w:rsidR="006B1A5C" w:rsidRPr="006B1A5C" w:rsidRDefault="006B1A5C" w:rsidP="006B1A5C">
            <w:pPr>
              <w:rPr>
                <w:b/>
              </w:rPr>
            </w:pPr>
            <w:r w:rsidRPr="006B1A5C">
              <w:rPr>
                <w:b/>
              </w:rPr>
              <w:t>CRPS</w:t>
            </w:r>
            <w:r w:rsidR="0051652B">
              <w:rPr>
                <w:b/>
              </w:rPr>
              <w:t xml:space="preserve"> (N=103)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CB40EFC" w14:textId="77777777" w:rsidR="006B1A5C" w:rsidRPr="006B1A5C" w:rsidRDefault="006B1A5C" w:rsidP="006B1A5C">
            <w:pPr>
              <w:rPr>
                <w:b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2AFBF60" w14:textId="77777777" w:rsidR="006B1A5C" w:rsidRPr="006B1A5C" w:rsidRDefault="006B1A5C" w:rsidP="006B1A5C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B4D9A05" w14:textId="28011766" w:rsidR="006B1A5C" w:rsidRPr="006B1A5C" w:rsidRDefault="00730BC0" w:rsidP="006B1A5C">
            <w:pPr>
              <w:rPr>
                <w:b/>
              </w:rPr>
            </w:pPr>
            <w:r>
              <w:rPr>
                <w:b/>
              </w:rPr>
              <w:t>Non-CRPS</w:t>
            </w:r>
            <w:r w:rsidR="0051652B">
              <w:rPr>
                <w:b/>
              </w:rPr>
              <w:t xml:space="preserve"> (N=290)</w:t>
            </w:r>
          </w:p>
        </w:tc>
        <w:tc>
          <w:tcPr>
            <w:tcW w:w="13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B1A8AFC" w14:textId="77777777" w:rsidR="006B1A5C" w:rsidRPr="006B1A5C" w:rsidRDefault="006B1A5C" w:rsidP="006B1A5C">
            <w:pPr>
              <w:rPr>
                <w:b/>
              </w:rPr>
            </w:pPr>
          </w:p>
        </w:tc>
      </w:tr>
      <w:tr w:rsidR="006B1A5C" w:rsidRPr="006B1A5C" w14:paraId="607E156D" w14:textId="77777777" w:rsidTr="00D2370D">
        <w:trPr>
          <w:jc w:val="center"/>
        </w:trPr>
        <w:tc>
          <w:tcPr>
            <w:tcW w:w="28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0A582C3" w14:textId="77777777" w:rsidR="006B1A5C" w:rsidRPr="006B1A5C" w:rsidRDefault="006B1A5C" w:rsidP="006B1A5C">
            <w:pPr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896640E" w14:textId="77777777" w:rsidR="006B1A5C" w:rsidRPr="006B1A5C" w:rsidRDefault="006B1A5C" w:rsidP="006B1A5C">
            <w:pPr>
              <w:rPr>
                <w:b/>
              </w:rPr>
            </w:pPr>
            <w:r w:rsidRPr="006B1A5C">
              <w:rPr>
                <w:b/>
              </w:rPr>
              <w:t>OR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C895888" w14:textId="77777777" w:rsidR="006B1A5C" w:rsidRPr="006B1A5C" w:rsidRDefault="006B1A5C" w:rsidP="006B1A5C">
            <w:pPr>
              <w:rPr>
                <w:b/>
              </w:rPr>
            </w:pPr>
            <w:r w:rsidRPr="006B1A5C">
              <w:rPr>
                <w:b/>
              </w:rPr>
              <w:t>95% CI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C164561" w14:textId="77777777" w:rsidR="006B1A5C" w:rsidRPr="006B1A5C" w:rsidRDefault="006B1A5C" w:rsidP="006B1A5C">
            <w:pPr>
              <w:rPr>
                <w:b/>
              </w:rPr>
            </w:pPr>
            <w:r w:rsidRPr="006B1A5C">
              <w:rPr>
                <w:b/>
              </w:rPr>
              <w:t>p-value</w:t>
            </w:r>
          </w:p>
        </w:tc>
        <w:tc>
          <w:tcPr>
            <w:tcW w:w="104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D706A44" w14:textId="77777777" w:rsidR="006B1A5C" w:rsidRPr="006B1A5C" w:rsidRDefault="006B1A5C" w:rsidP="006B1A5C">
            <w:pPr>
              <w:rPr>
                <w:b/>
              </w:rPr>
            </w:pPr>
            <w:r w:rsidRPr="006B1A5C">
              <w:rPr>
                <w:b/>
              </w:rPr>
              <w:t>OR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CA965E1" w14:textId="77777777" w:rsidR="006B1A5C" w:rsidRPr="006B1A5C" w:rsidRDefault="006B1A5C" w:rsidP="006B1A5C">
            <w:pPr>
              <w:rPr>
                <w:b/>
              </w:rPr>
            </w:pPr>
            <w:r w:rsidRPr="006B1A5C">
              <w:rPr>
                <w:b/>
              </w:rPr>
              <w:t>95% CI</w:t>
            </w: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9B644E6" w14:textId="77777777" w:rsidR="006B1A5C" w:rsidRPr="006B1A5C" w:rsidRDefault="006B1A5C" w:rsidP="006B1A5C">
            <w:pPr>
              <w:rPr>
                <w:b/>
              </w:rPr>
            </w:pPr>
            <w:r w:rsidRPr="006B1A5C">
              <w:rPr>
                <w:b/>
              </w:rPr>
              <w:t>p-value</w:t>
            </w:r>
          </w:p>
        </w:tc>
      </w:tr>
      <w:tr w:rsidR="006B1A5C" w:rsidRPr="006B1A5C" w14:paraId="0B2AB3DC" w14:textId="77777777" w:rsidTr="00D2370D">
        <w:trPr>
          <w:jc w:val="center"/>
        </w:trPr>
        <w:tc>
          <w:tcPr>
            <w:tcW w:w="2830" w:type="dxa"/>
            <w:tcBorders>
              <w:top w:val="single" w:sz="4" w:space="0" w:color="auto"/>
            </w:tcBorders>
            <w:shd w:val="clear" w:color="auto" w:fill="auto"/>
          </w:tcPr>
          <w:p w14:paraId="6008E9C3" w14:textId="77777777" w:rsidR="006B1A5C" w:rsidRPr="006B1A5C" w:rsidRDefault="006B1A5C" w:rsidP="006B1A5C">
            <w:pPr>
              <w:rPr>
                <w:b/>
                <w:lang w:val="fr-CH"/>
              </w:rPr>
            </w:pPr>
            <w:r w:rsidRPr="006B1A5C">
              <w:rPr>
                <w:b/>
                <w:lang w:val="fr-CH"/>
              </w:rPr>
              <w:t>INTERMED</w:t>
            </w:r>
          </w:p>
        </w:tc>
        <w:tc>
          <w:tcPr>
            <w:tcW w:w="734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50FCBEA6" w14:textId="77777777" w:rsidR="006B1A5C" w:rsidRPr="006B1A5C" w:rsidRDefault="006B1A5C" w:rsidP="00A033DF">
            <w:pPr>
              <w:jc w:val="center"/>
              <w:rPr>
                <w:bCs/>
              </w:rPr>
            </w:pPr>
            <w:r w:rsidRPr="006B1A5C">
              <w:rPr>
                <w:bCs/>
              </w:rPr>
              <w:t>Continuous scores</w:t>
            </w:r>
          </w:p>
        </w:tc>
      </w:tr>
      <w:tr w:rsidR="006B1A5C" w:rsidRPr="006B1A5C" w14:paraId="0A3301E9" w14:textId="77777777" w:rsidTr="00D2370D">
        <w:trPr>
          <w:jc w:val="center"/>
        </w:trPr>
        <w:tc>
          <w:tcPr>
            <w:tcW w:w="2830" w:type="dxa"/>
            <w:shd w:val="clear" w:color="auto" w:fill="auto"/>
          </w:tcPr>
          <w:p w14:paraId="0042B254" w14:textId="77777777" w:rsidR="006B1A5C" w:rsidRPr="006B1A5C" w:rsidRDefault="006B1A5C" w:rsidP="006B1A5C">
            <w:pPr>
              <w:rPr>
                <w:b/>
              </w:rPr>
            </w:pPr>
            <w:r w:rsidRPr="006B1A5C">
              <w:rPr>
                <w:b/>
                <w:lang w:val="fr-CH"/>
              </w:rPr>
              <w:t xml:space="preserve">Total </w:t>
            </w:r>
          </w:p>
        </w:tc>
        <w:tc>
          <w:tcPr>
            <w:tcW w:w="1134" w:type="dxa"/>
            <w:shd w:val="clear" w:color="auto" w:fill="auto"/>
          </w:tcPr>
          <w:p w14:paraId="19BFE4DC" w14:textId="77777777" w:rsidR="006B1A5C" w:rsidRPr="006B1A5C" w:rsidRDefault="006B1A5C" w:rsidP="006B1A5C">
            <w:pPr>
              <w:rPr>
                <w:bCs/>
              </w:rPr>
            </w:pPr>
            <w:r w:rsidRPr="006B1A5C">
              <w:rPr>
                <w:bCs/>
              </w:rPr>
              <w:t>1.34</w:t>
            </w:r>
          </w:p>
        </w:tc>
        <w:tc>
          <w:tcPr>
            <w:tcW w:w="1418" w:type="dxa"/>
            <w:shd w:val="clear" w:color="auto" w:fill="auto"/>
          </w:tcPr>
          <w:p w14:paraId="71BB8311" w14:textId="77777777" w:rsidR="006B1A5C" w:rsidRPr="006B1A5C" w:rsidRDefault="006B1A5C" w:rsidP="006B1A5C">
            <w:pPr>
              <w:rPr>
                <w:bCs/>
              </w:rPr>
            </w:pPr>
            <w:r w:rsidRPr="006B1A5C">
              <w:rPr>
                <w:bCs/>
              </w:rPr>
              <w:t>1.18-1.51</w:t>
            </w:r>
          </w:p>
        </w:tc>
        <w:tc>
          <w:tcPr>
            <w:tcW w:w="1134" w:type="dxa"/>
            <w:shd w:val="clear" w:color="auto" w:fill="auto"/>
          </w:tcPr>
          <w:p w14:paraId="41A025C2" w14:textId="77777777" w:rsidR="006B1A5C" w:rsidRPr="00AB7F80" w:rsidRDefault="006B1A5C" w:rsidP="006B1A5C">
            <w:pPr>
              <w:rPr>
                <w:b/>
                <w:bCs/>
              </w:rPr>
            </w:pPr>
            <w:r w:rsidRPr="00AB7F80">
              <w:rPr>
                <w:b/>
                <w:bCs/>
              </w:rPr>
              <w:t>&lt;0.001</w:t>
            </w:r>
          </w:p>
        </w:tc>
        <w:tc>
          <w:tcPr>
            <w:tcW w:w="1049" w:type="dxa"/>
            <w:shd w:val="clear" w:color="auto" w:fill="auto"/>
          </w:tcPr>
          <w:p w14:paraId="37D555D3" w14:textId="77777777" w:rsidR="006B1A5C" w:rsidRPr="006B1A5C" w:rsidRDefault="006B1A5C" w:rsidP="006B1A5C">
            <w:pPr>
              <w:rPr>
                <w:bCs/>
              </w:rPr>
            </w:pPr>
            <w:r w:rsidRPr="006B1A5C">
              <w:rPr>
                <w:bCs/>
              </w:rPr>
              <w:t>1.20</w:t>
            </w:r>
          </w:p>
        </w:tc>
        <w:tc>
          <w:tcPr>
            <w:tcW w:w="1260" w:type="dxa"/>
            <w:shd w:val="clear" w:color="auto" w:fill="auto"/>
          </w:tcPr>
          <w:p w14:paraId="0E4A4B09" w14:textId="77777777" w:rsidR="006B1A5C" w:rsidRPr="006B1A5C" w:rsidRDefault="006B1A5C" w:rsidP="006B1A5C">
            <w:pPr>
              <w:rPr>
                <w:bCs/>
              </w:rPr>
            </w:pPr>
            <w:r w:rsidRPr="006B1A5C">
              <w:rPr>
                <w:bCs/>
              </w:rPr>
              <w:t>1.13-1.28</w:t>
            </w:r>
          </w:p>
        </w:tc>
        <w:tc>
          <w:tcPr>
            <w:tcW w:w="1350" w:type="dxa"/>
            <w:shd w:val="clear" w:color="auto" w:fill="auto"/>
          </w:tcPr>
          <w:p w14:paraId="532D4168" w14:textId="77777777" w:rsidR="006B1A5C" w:rsidRPr="00AB7F80" w:rsidRDefault="006B1A5C" w:rsidP="006B1A5C">
            <w:pPr>
              <w:rPr>
                <w:b/>
                <w:bCs/>
              </w:rPr>
            </w:pPr>
            <w:r w:rsidRPr="00AB7F80">
              <w:rPr>
                <w:b/>
                <w:bCs/>
              </w:rPr>
              <w:t>&lt;0.001</w:t>
            </w:r>
          </w:p>
        </w:tc>
      </w:tr>
      <w:tr w:rsidR="006B1A5C" w:rsidRPr="006B1A5C" w14:paraId="7D1BA6E6" w14:textId="77777777" w:rsidTr="00D2370D">
        <w:trPr>
          <w:jc w:val="center"/>
        </w:trPr>
        <w:tc>
          <w:tcPr>
            <w:tcW w:w="2830" w:type="dxa"/>
            <w:shd w:val="clear" w:color="auto" w:fill="auto"/>
          </w:tcPr>
          <w:p w14:paraId="61DCF3ED" w14:textId="77777777" w:rsidR="006B1A5C" w:rsidRPr="006B1A5C" w:rsidRDefault="006B1A5C" w:rsidP="006B1A5C">
            <w:pPr>
              <w:rPr>
                <w:b/>
              </w:rPr>
            </w:pPr>
            <w:proofErr w:type="spellStart"/>
            <w:r w:rsidRPr="006B1A5C">
              <w:rPr>
                <w:b/>
                <w:lang w:val="fr-CH"/>
              </w:rPr>
              <w:t>Biological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7486B259" w14:textId="77777777" w:rsidR="006B1A5C" w:rsidRPr="006B1A5C" w:rsidRDefault="006B1A5C" w:rsidP="006B1A5C">
            <w:pPr>
              <w:rPr>
                <w:bCs/>
              </w:rPr>
            </w:pPr>
            <w:r w:rsidRPr="006B1A5C">
              <w:rPr>
                <w:bCs/>
              </w:rPr>
              <w:t>2.00</w:t>
            </w:r>
          </w:p>
        </w:tc>
        <w:tc>
          <w:tcPr>
            <w:tcW w:w="1418" w:type="dxa"/>
            <w:shd w:val="clear" w:color="auto" w:fill="auto"/>
          </w:tcPr>
          <w:p w14:paraId="6E74E5B5" w14:textId="77777777" w:rsidR="006B1A5C" w:rsidRPr="006B1A5C" w:rsidRDefault="006B1A5C" w:rsidP="006B1A5C">
            <w:pPr>
              <w:rPr>
                <w:bCs/>
              </w:rPr>
            </w:pPr>
            <w:r w:rsidRPr="006B1A5C">
              <w:rPr>
                <w:bCs/>
              </w:rPr>
              <w:t>1.30-3.06</w:t>
            </w:r>
          </w:p>
        </w:tc>
        <w:tc>
          <w:tcPr>
            <w:tcW w:w="1134" w:type="dxa"/>
            <w:shd w:val="clear" w:color="auto" w:fill="auto"/>
          </w:tcPr>
          <w:p w14:paraId="159D47D1" w14:textId="77777777" w:rsidR="006B1A5C" w:rsidRPr="00AB7F80" w:rsidRDefault="006B1A5C" w:rsidP="006B1A5C">
            <w:pPr>
              <w:rPr>
                <w:b/>
                <w:bCs/>
              </w:rPr>
            </w:pPr>
            <w:r w:rsidRPr="00AB7F80">
              <w:rPr>
                <w:b/>
                <w:bCs/>
              </w:rPr>
              <w:t>0.002</w:t>
            </w:r>
          </w:p>
        </w:tc>
        <w:tc>
          <w:tcPr>
            <w:tcW w:w="1049" w:type="dxa"/>
            <w:shd w:val="clear" w:color="auto" w:fill="auto"/>
          </w:tcPr>
          <w:p w14:paraId="4DD8E887" w14:textId="77777777" w:rsidR="006B1A5C" w:rsidRPr="006B1A5C" w:rsidRDefault="006B1A5C" w:rsidP="006B1A5C">
            <w:pPr>
              <w:rPr>
                <w:bCs/>
              </w:rPr>
            </w:pPr>
            <w:r w:rsidRPr="006B1A5C">
              <w:rPr>
                <w:bCs/>
              </w:rPr>
              <w:t>1.33</w:t>
            </w:r>
          </w:p>
        </w:tc>
        <w:tc>
          <w:tcPr>
            <w:tcW w:w="1260" w:type="dxa"/>
            <w:shd w:val="clear" w:color="auto" w:fill="auto"/>
          </w:tcPr>
          <w:p w14:paraId="155D6773" w14:textId="77777777" w:rsidR="006B1A5C" w:rsidRPr="006B1A5C" w:rsidRDefault="006B1A5C" w:rsidP="006B1A5C">
            <w:pPr>
              <w:rPr>
                <w:bCs/>
              </w:rPr>
            </w:pPr>
            <w:r w:rsidRPr="006B1A5C">
              <w:rPr>
                <w:bCs/>
              </w:rPr>
              <w:t>1.07-1.66</w:t>
            </w:r>
          </w:p>
        </w:tc>
        <w:tc>
          <w:tcPr>
            <w:tcW w:w="1350" w:type="dxa"/>
            <w:shd w:val="clear" w:color="auto" w:fill="auto"/>
          </w:tcPr>
          <w:p w14:paraId="3B56698A" w14:textId="77777777" w:rsidR="006B1A5C" w:rsidRPr="00AB7F80" w:rsidRDefault="006B1A5C" w:rsidP="006B1A5C">
            <w:pPr>
              <w:rPr>
                <w:b/>
                <w:bCs/>
              </w:rPr>
            </w:pPr>
            <w:r w:rsidRPr="00AB7F80">
              <w:rPr>
                <w:b/>
                <w:bCs/>
              </w:rPr>
              <w:t>0.009</w:t>
            </w:r>
          </w:p>
        </w:tc>
      </w:tr>
      <w:tr w:rsidR="006B1A5C" w:rsidRPr="006B1A5C" w14:paraId="05A5AF8E" w14:textId="77777777" w:rsidTr="00D2370D">
        <w:trPr>
          <w:jc w:val="center"/>
        </w:trPr>
        <w:tc>
          <w:tcPr>
            <w:tcW w:w="2830" w:type="dxa"/>
            <w:shd w:val="clear" w:color="auto" w:fill="auto"/>
          </w:tcPr>
          <w:p w14:paraId="28DEC89B" w14:textId="77777777" w:rsidR="006B1A5C" w:rsidRPr="006B1A5C" w:rsidRDefault="006B1A5C" w:rsidP="006B1A5C">
            <w:pPr>
              <w:rPr>
                <w:b/>
              </w:rPr>
            </w:pPr>
            <w:proofErr w:type="spellStart"/>
            <w:r w:rsidRPr="006B1A5C">
              <w:rPr>
                <w:b/>
                <w:lang w:val="fr-CH"/>
              </w:rPr>
              <w:t>Psychological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05C2B050" w14:textId="77777777" w:rsidR="006B1A5C" w:rsidRPr="006B1A5C" w:rsidRDefault="006B1A5C" w:rsidP="006B1A5C">
            <w:pPr>
              <w:rPr>
                <w:bCs/>
              </w:rPr>
            </w:pPr>
            <w:r w:rsidRPr="006B1A5C">
              <w:rPr>
                <w:bCs/>
              </w:rPr>
              <w:t>2.04</w:t>
            </w:r>
          </w:p>
        </w:tc>
        <w:tc>
          <w:tcPr>
            <w:tcW w:w="1418" w:type="dxa"/>
            <w:shd w:val="clear" w:color="auto" w:fill="auto"/>
          </w:tcPr>
          <w:p w14:paraId="18F2A3EA" w14:textId="77777777" w:rsidR="006B1A5C" w:rsidRPr="006B1A5C" w:rsidRDefault="006B1A5C" w:rsidP="006B1A5C">
            <w:pPr>
              <w:rPr>
                <w:bCs/>
              </w:rPr>
            </w:pPr>
            <w:r w:rsidRPr="006B1A5C">
              <w:rPr>
                <w:bCs/>
              </w:rPr>
              <w:t>1.52-2.73</w:t>
            </w:r>
          </w:p>
        </w:tc>
        <w:tc>
          <w:tcPr>
            <w:tcW w:w="1134" w:type="dxa"/>
            <w:shd w:val="clear" w:color="auto" w:fill="auto"/>
          </w:tcPr>
          <w:p w14:paraId="2F86F9FC" w14:textId="77777777" w:rsidR="006B1A5C" w:rsidRPr="00AB7F80" w:rsidRDefault="006B1A5C" w:rsidP="006B1A5C">
            <w:pPr>
              <w:rPr>
                <w:b/>
                <w:bCs/>
              </w:rPr>
            </w:pPr>
            <w:r w:rsidRPr="00AB7F80">
              <w:rPr>
                <w:b/>
                <w:bCs/>
              </w:rPr>
              <w:t>&lt;0.001</w:t>
            </w:r>
          </w:p>
        </w:tc>
        <w:tc>
          <w:tcPr>
            <w:tcW w:w="1049" w:type="dxa"/>
            <w:shd w:val="clear" w:color="auto" w:fill="auto"/>
          </w:tcPr>
          <w:p w14:paraId="6831184E" w14:textId="77777777" w:rsidR="006B1A5C" w:rsidRPr="006B1A5C" w:rsidRDefault="006B1A5C" w:rsidP="006B1A5C">
            <w:pPr>
              <w:rPr>
                <w:bCs/>
              </w:rPr>
            </w:pPr>
            <w:r w:rsidRPr="006B1A5C">
              <w:rPr>
                <w:bCs/>
              </w:rPr>
              <w:t>1.65</w:t>
            </w:r>
          </w:p>
        </w:tc>
        <w:tc>
          <w:tcPr>
            <w:tcW w:w="1260" w:type="dxa"/>
            <w:shd w:val="clear" w:color="auto" w:fill="auto"/>
          </w:tcPr>
          <w:p w14:paraId="3E7E476C" w14:textId="77777777" w:rsidR="006B1A5C" w:rsidRPr="006B1A5C" w:rsidRDefault="006B1A5C" w:rsidP="006B1A5C">
            <w:pPr>
              <w:rPr>
                <w:bCs/>
              </w:rPr>
            </w:pPr>
            <w:r w:rsidRPr="006B1A5C">
              <w:rPr>
                <w:bCs/>
              </w:rPr>
              <w:t>1.41-1.92</w:t>
            </w:r>
          </w:p>
        </w:tc>
        <w:tc>
          <w:tcPr>
            <w:tcW w:w="1350" w:type="dxa"/>
            <w:shd w:val="clear" w:color="auto" w:fill="auto"/>
          </w:tcPr>
          <w:p w14:paraId="0D86C0F8" w14:textId="77777777" w:rsidR="006B1A5C" w:rsidRPr="00AB7F80" w:rsidRDefault="006B1A5C" w:rsidP="006B1A5C">
            <w:pPr>
              <w:rPr>
                <w:b/>
                <w:bCs/>
              </w:rPr>
            </w:pPr>
            <w:r w:rsidRPr="00AB7F80">
              <w:rPr>
                <w:b/>
                <w:bCs/>
              </w:rPr>
              <w:t>&lt;0.001</w:t>
            </w:r>
          </w:p>
        </w:tc>
      </w:tr>
      <w:tr w:rsidR="006B1A5C" w:rsidRPr="006B1A5C" w14:paraId="04FF7CBA" w14:textId="77777777" w:rsidTr="00D2370D">
        <w:trPr>
          <w:jc w:val="center"/>
        </w:trPr>
        <w:tc>
          <w:tcPr>
            <w:tcW w:w="2830" w:type="dxa"/>
            <w:shd w:val="clear" w:color="auto" w:fill="auto"/>
          </w:tcPr>
          <w:p w14:paraId="404C9CAC" w14:textId="77777777" w:rsidR="006B1A5C" w:rsidRPr="006B1A5C" w:rsidRDefault="006B1A5C" w:rsidP="006B1A5C">
            <w:pPr>
              <w:rPr>
                <w:b/>
              </w:rPr>
            </w:pPr>
            <w:r w:rsidRPr="006B1A5C">
              <w:rPr>
                <w:b/>
                <w:lang w:val="fr-CH"/>
              </w:rPr>
              <w:t>Social</w:t>
            </w:r>
          </w:p>
        </w:tc>
        <w:tc>
          <w:tcPr>
            <w:tcW w:w="1134" w:type="dxa"/>
            <w:shd w:val="clear" w:color="auto" w:fill="auto"/>
          </w:tcPr>
          <w:p w14:paraId="56235444" w14:textId="77777777" w:rsidR="006B1A5C" w:rsidRPr="006B1A5C" w:rsidRDefault="006B1A5C" w:rsidP="006B1A5C">
            <w:pPr>
              <w:rPr>
                <w:bCs/>
              </w:rPr>
            </w:pPr>
            <w:r w:rsidRPr="006B1A5C">
              <w:rPr>
                <w:bCs/>
              </w:rPr>
              <w:t>1.79</w:t>
            </w:r>
          </w:p>
        </w:tc>
        <w:tc>
          <w:tcPr>
            <w:tcW w:w="1418" w:type="dxa"/>
            <w:shd w:val="clear" w:color="auto" w:fill="auto"/>
          </w:tcPr>
          <w:p w14:paraId="2464901E" w14:textId="77777777" w:rsidR="006B1A5C" w:rsidRPr="006B1A5C" w:rsidRDefault="006B1A5C" w:rsidP="006B1A5C">
            <w:pPr>
              <w:rPr>
                <w:bCs/>
              </w:rPr>
            </w:pPr>
            <w:r w:rsidRPr="006B1A5C">
              <w:rPr>
                <w:bCs/>
              </w:rPr>
              <w:t>1.36-2.35</w:t>
            </w:r>
          </w:p>
        </w:tc>
        <w:tc>
          <w:tcPr>
            <w:tcW w:w="1134" w:type="dxa"/>
            <w:shd w:val="clear" w:color="auto" w:fill="auto"/>
          </w:tcPr>
          <w:p w14:paraId="40F99974" w14:textId="77777777" w:rsidR="006B1A5C" w:rsidRPr="00AB7F80" w:rsidRDefault="006B1A5C" w:rsidP="006B1A5C">
            <w:pPr>
              <w:rPr>
                <w:b/>
                <w:bCs/>
              </w:rPr>
            </w:pPr>
            <w:r w:rsidRPr="00AB7F80">
              <w:rPr>
                <w:b/>
                <w:bCs/>
              </w:rPr>
              <w:t>&lt;0.001</w:t>
            </w:r>
          </w:p>
        </w:tc>
        <w:tc>
          <w:tcPr>
            <w:tcW w:w="1049" w:type="dxa"/>
            <w:shd w:val="clear" w:color="auto" w:fill="auto"/>
          </w:tcPr>
          <w:p w14:paraId="4280C6B7" w14:textId="77777777" w:rsidR="006B1A5C" w:rsidRPr="006B1A5C" w:rsidRDefault="006B1A5C" w:rsidP="006B1A5C">
            <w:pPr>
              <w:rPr>
                <w:bCs/>
              </w:rPr>
            </w:pPr>
            <w:r w:rsidRPr="006B1A5C">
              <w:rPr>
                <w:bCs/>
              </w:rPr>
              <w:t>1.35</w:t>
            </w:r>
          </w:p>
        </w:tc>
        <w:tc>
          <w:tcPr>
            <w:tcW w:w="1260" w:type="dxa"/>
            <w:shd w:val="clear" w:color="auto" w:fill="auto"/>
          </w:tcPr>
          <w:p w14:paraId="61543092" w14:textId="77777777" w:rsidR="006B1A5C" w:rsidRPr="006B1A5C" w:rsidRDefault="006B1A5C" w:rsidP="006B1A5C">
            <w:pPr>
              <w:rPr>
                <w:bCs/>
              </w:rPr>
            </w:pPr>
            <w:r w:rsidRPr="006B1A5C">
              <w:rPr>
                <w:bCs/>
              </w:rPr>
              <w:t>1.15-1.59</w:t>
            </w:r>
          </w:p>
        </w:tc>
        <w:tc>
          <w:tcPr>
            <w:tcW w:w="1350" w:type="dxa"/>
            <w:shd w:val="clear" w:color="auto" w:fill="auto"/>
          </w:tcPr>
          <w:p w14:paraId="75D845ED" w14:textId="77777777" w:rsidR="006B1A5C" w:rsidRPr="00AB7F80" w:rsidRDefault="006B1A5C" w:rsidP="006B1A5C">
            <w:pPr>
              <w:rPr>
                <w:b/>
                <w:bCs/>
              </w:rPr>
            </w:pPr>
            <w:r w:rsidRPr="00AB7F80">
              <w:rPr>
                <w:b/>
                <w:bCs/>
              </w:rPr>
              <w:t>&lt;0.001</w:t>
            </w:r>
          </w:p>
        </w:tc>
      </w:tr>
      <w:tr w:rsidR="006B1A5C" w:rsidRPr="006B1A5C" w14:paraId="0794A0D5" w14:textId="77777777" w:rsidTr="00D2370D">
        <w:trPr>
          <w:jc w:val="center"/>
        </w:trPr>
        <w:tc>
          <w:tcPr>
            <w:tcW w:w="2830" w:type="dxa"/>
            <w:shd w:val="clear" w:color="auto" w:fill="auto"/>
          </w:tcPr>
          <w:p w14:paraId="5860A723" w14:textId="77777777" w:rsidR="006B1A5C" w:rsidRPr="006B1A5C" w:rsidRDefault="006B1A5C" w:rsidP="006B1A5C">
            <w:pPr>
              <w:rPr>
                <w:b/>
              </w:rPr>
            </w:pPr>
            <w:r w:rsidRPr="006B1A5C">
              <w:rPr>
                <w:b/>
              </w:rPr>
              <w:t>Health care</w:t>
            </w:r>
          </w:p>
        </w:tc>
        <w:tc>
          <w:tcPr>
            <w:tcW w:w="1134" w:type="dxa"/>
            <w:shd w:val="clear" w:color="auto" w:fill="auto"/>
          </w:tcPr>
          <w:p w14:paraId="0EF8D311" w14:textId="77777777" w:rsidR="006B1A5C" w:rsidRPr="006B1A5C" w:rsidRDefault="006B1A5C" w:rsidP="006B1A5C">
            <w:pPr>
              <w:rPr>
                <w:bCs/>
              </w:rPr>
            </w:pPr>
            <w:r w:rsidRPr="006B1A5C">
              <w:rPr>
                <w:bCs/>
              </w:rPr>
              <w:t>1.78</w:t>
            </w:r>
          </w:p>
        </w:tc>
        <w:tc>
          <w:tcPr>
            <w:tcW w:w="1418" w:type="dxa"/>
            <w:shd w:val="clear" w:color="auto" w:fill="auto"/>
          </w:tcPr>
          <w:p w14:paraId="7AC5F57C" w14:textId="77777777" w:rsidR="006B1A5C" w:rsidRPr="006B1A5C" w:rsidRDefault="006B1A5C" w:rsidP="006B1A5C">
            <w:pPr>
              <w:rPr>
                <w:bCs/>
              </w:rPr>
            </w:pPr>
            <w:r w:rsidRPr="006B1A5C">
              <w:rPr>
                <w:bCs/>
              </w:rPr>
              <w:t>1.29-2.46</w:t>
            </w:r>
          </w:p>
        </w:tc>
        <w:tc>
          <w:tcPr>
            <w:tcW w:w="1134" w:type="dxa"/>
            <w:shd w:val="clear" w:color="auto" w:fill="auto"/>
          </w:tcPr>
          <w:p w14:paraId="17678CBC" w14:textId="77777777" w:rsidR="006B1A5C" w:rsidRPr="00AB7F80" w:rsidRDefault="006B1A5C" w:rsidP="006B1A5C">
            <w:pPr>
              <w:rPr>
                <w:b/>
                <w:bCs/>
              </w:rPr>
            </w:pPr>
            <w:r w:rsidRPr="00AB7F80">
              <w:rPr>
                <w:b/>
                <w:bCs/>
              </w:rPr>
              <w:t>&lt;0.001</w:t>
            </w:r>
          </w:p>
        </w:tc>
        <w:tc>
          <w:tcPr>
            <w:tcW w:w="1049" w:type="dxa"/>
            <w:shd w:val="clear" w:color="auto" w:fill="auto"/>
          </w:tcPr>
          <w:p w14:paraId="7A8ED758" w14:textId="77777777" w:rsidR="006B1A5C" w:rsidRPr="006B1A5C" w:rsidRDefault="006B1A5C" w:rsidP="006B1A5C">
            <w:pPr>
              <w:rPr>
                <w:bCs/>
              </w:rPr>
            </w:pPr>
            <w:r w:rsidRPr="006B1A5C">
              <w:rPr>
                <w:bCs/>
              </w:rPr>
              <w:t>1.40</w:t>
            </w:r>
          </w:p>
        </w:tc>
        <w:tc>
          <w:tcPr>
            <w:tcW w:w="1260" w:type="dxa"/>
            <w:shd w:val="clear" w:color="auto" w:fill="auto"/>
          </w:tcPr>
          <w:p w14:paraId="54E83D02" w14:textId="77777777" w:rsidR="006B1A5C" w:rsidRPr="006B1A5C" w:rsidRDefault="006B1A5C" w:rsidP="006B1A5C">
            <w:pPr>
              <w:rPr>
                <w:bCs/>
              </w:rPr>
            </w:pPr>
            <w:r w:rsidRPr="006B1A5C">
              <w:rPr>
                <w:bCs/>
              </w:rPr>
              <w:t>1.17-1.67</w:t>
            </w:r>
          </w:p>
        </w:tc>
        <w:tc>
          <w:tcPr>
            <w:tcW w:w="1350" w:type="dxa"/>
            <w:shd w:val="clear" w:color="auto" w:fill="auto"/>
          </w:tcPr>
          <w:p w14:paraId="6C79613F" w14:textId="77777777" w:rsidR="006B1A5C" w:rsidRPr="00AB7F80" w:rsidRDefault="006B1A5C" w:rsidP="006B1A5C">
            <w:pPr>
              <w:rPr>
                <w:b/>
                <w:bCs/>
              </w:rPr>
            </w:pPr>
            <w:r w:rsidRPr="00AB7F80">
              <w:rPr>
                <w:b/>
                <w:bCs/>
              </w:rPr>
              <w:t>&lt;0.001</w:t>
            </w:r>
          </w:p>
        </w:tc>
      </w:tr>
    </w:tbl>
    <w:p w14:paraId="6BEAB111" w14:textId="04F95D9A" w:rsidR="006B1A5C" w:rsidRPr="006B1A5C" w:rsidRDefault="006B1A5C" w:rsidP="006B1A5C">
      <w:r w:rsidRPr="006B1A5C">
        <w:rPr>
          <w:b/>
        </w:rPr>
        <w:t>Abbreviations:</w:t>
      </w:r>
      <w:r w:rsidRPr="006B1A5C">
        <w:t xml:space="preserve"> CRPS:</w:t>
      </w:r>
      <w:r w:rsidR="00A033DF">
        <w:t xml:space="preserve"> complex regional pain syndrome, </w:t>
      </w:r>
      <w:r w:rsidRPr="006B1A5C">
        <w:t>OR (95%CI): Odds ratio and 95% confidence intervals</w:t>
      </w:r>
      <w:r w:rsidR="00682F78">
        <w:t>.</w:t>
      </w:r>
      <w:r w:rsidR="00682F78" w:rsidRPr="00682F78">
        <w:t xml:space="preserve"> </w:t>
      </w:r>
      <w:r w:rsidR="00682F78" w:rsidRPr="00682F78">
        <w:t>Significant p-values (&lt;0.05) are in bold</w:t>
      </w:r>
    </w:p>
    <w:p w14:paraId="2597C107" w14:textId="77777777" w:rsidR="006B1A5C" w:rsidRPr="006B1A5C" w:rsidRDefault="006B1A5C" w:rsidP="006B1A5C">
      <w:pPr>
        <w:jc w:val="both"/>
      </w:pPr>
      <w:r w:rsidRPr="006B1A5C">
        <w:br w:type="page"/>
      </w:r>
    </w:p>
    <w:p w14:paraId="3E0EE163" w14:textId="375EB5CD" w:rsidR="00E6482D" w:rsidRPr="009D6AAD" w:rsidRDefault="00E6482D" w:rsidP="00E6482D">
      <w:pPr>
        <w:jc w:val="both"/>
        <w:rPr>
          <w:b/>
        </w:rPr>
      </w:pPr>
      <w:r w:rsidRPr="009D6AAD">
        <w:rPr>
          <w:b/>
        </w:rPr>
        <w:lastRenderedPageBreak/>
        <w:t>Supplement</w:t>
      </w:r>
      <w:r w:rsidR="00624F8B">
        <w:rPr>
          <w:b/>
        </w:rPr>
        <w:t>ary</w:t>
      </w:r>
      <w:r w:rsidRPr="009D6AAD">
        <w:rPr>
          <w:b/>
        </w:rPr>
        <w:t xml:space="preserve"> Table </w:t>
      </w:r>
      <w:r w:rsidR="00A033DF">
        <w:rPr>
          <w:b/>
        </w:rPr>
        <w:t>2</w:t>
      </w:r>
      <w:r w:rsidRPr="009D6AAD">
        <w:rPr>
          <w:b/>
        </w:rPr>
        <w:t>:  Results of the multiple logistic regression analyses (adjusted for age, gender and pain) between BPS complexity assessed by means of the INTERMED and presence of psychiatric comorbidity in the</w:t>
      </w:r>
      <w:r w:rsidR="00A033DF">
        <w:rPr>
          <w:b/>
        </w:rPr>
        <w:t xml:space="preserve"> subgroup of </w:t>
      </w:r>
      <w:r>
        <w:rPr>
          <w:b/>
        </w:rPr>
        <w:t>CRPS patients</w:t>
      </w:r>
      <w:r w:rsidR="00A033DF">
        <w:rPr>
          <w:b/>
        </w:rPr>
        <w:t xml:space="preserve"> using </w:t>
      </w:r>
      <w:r w:rsidR="005C116E">
        <w:rPr>
          <w:b/>
        </w:rPr>
        <w:t xml:space="preserve">the </w:t>
      </w:r>
      <w:r w:rsidR="00A033DF">
        <w:rPr>
          <w:b/>
        </w:rPr>
        <w:t>Budapest Criteria</w:t>
      </w:r>
      <w:r>
        <w:rPr>
          <w:b/>
        </w:rPr>
        <w:t>.</w:t>
      </w:r>
    </w:p>
    <w:tbl>
      <w:tblPr>
        <w:tblW w:w="7230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134"/>
        <w:gridCol w:w="1418"/>
        <w:gridCol w:w="1848"/>
      </w:tblGrid>
      <w:tr w:rsidR="007D20CA" w:rsidRPr="00730BC0" w14:paraId="3276F272" w14:textId="77777777" w:rsidTr="005C116E">
        <w:trPr>
          <w:jc w:val="center"/>
        </w:trPr>
        <w:tc>
          <w:tcPr>
            <w:tcW w:w="283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BE957AC" w14:textId="77777777" w:rsidR="007D20CA" w:rsidRPr="001463B6" w:rsidRDefault="007D20CA" w:rsidP="00D2370D">
            <w:pPr>
              <w:rPr>
                <w:b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1D550FB" w14:textId="7114A84B" w:rsidR="007D20CA" w:rsidRPr="00624F8B" w:rsidRDefault="007D20CA" w:rsidP="00D2370D">
            <w:pPr>
              <w:jc w:val="center"/>
              <w:rPr>
                <w:b/>
              </w:rPr>
            </w:pPr>
            <w:r w:rsidRPr="00624F8B">
              <w:rPr>
                <w:b/>
              </w:rPr>
              <w:t xml:space="preserve">CRPS patients using </w:t>
            </w:r>
            <w:r w:rsidR="005C116E">
              <w:rPr>
                <w:b/>
              </w:rPr>
              <w:t xml:space="preserve">the </w:t>
            </w:r>
            <w:r w:rsidRPr="00624F8B">
              <w:rPr>
                <w:b/>
              </w:rPr>
              <w:t>Budapest Criteria</w:t>
            </w:r>
          </w:p>
          <w:p w14:paraId="0F906B74" w14:textId="77777777" w:rsidR="007D20CA" w:rsidRPr="00624F8B" w:rsidRDefault="007D20CA" w:rsidP="00D2370D">
            <w:pPr>
              <w:jc w:val="center"/>
              <w:rPr>
                <w:b/>
              </w:rPr>
            </w:pPr>
            <w:r w:rsidRPr="00624F8B">
              <w:rPr>
                <w:b/>
              </w:rPr>
              <w:t>(N=57)</w:t>
            </w:r>
          </w:p>
        </w:tc>
      </w:tr>
      <w:tr w:rsidR="007D20CA" w:rsidRPr="009D6AAD" w14:paraId="1EEEDEFE" w14:textId="77777777" w:rsidTr="005C116E">
        <w:trPr>
          <w:jc w:val="center"/>
        </w:trPr>
        <w:tc>
          <w:tcPr>
            <w:tcW w:w="28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83FC6D3" w14:textId="77777777" w:rsidR="007D20CA" w:rsidRPr="00624F8B" w:rsidRDefault="007D20CA" w:rsidP="00D2370D">
            <w:pPr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1BB4419" w14:textId="493B73AC" w:rsidR="007D20CA" w:rsidRPr="001463B6" w:rsidRDefault="007D20CA" w:rsidP="00D2370D">
            <w:pPr>
              <w:rPr>
                <w:b/>
              </w:rPr>
            </w:pPr>
            <w:r w:rsidRPr="001463B6">
              <w:rPr>
                <w:b/>
              </w:rPr>
              <w:t>OR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8305CCE" w14:textId="77777777" w:rsidR="007D20CA" w:rsidRPr="001463B6" w:rsidRDefault="007D20CA" w:rsidP="00D2370D">
            <w:pPr>
              <w:rPr>
                <w:b/>
              </w:rPr>
            </w:pPr>
            <w:r w:rsidRPr="001463B6">
              <w:rPr>
                <w:b/>
              </w:rPr>
              <w:t>95% CI</w:t>
            </w:r>
          </w:p>
        </w:tc>
        <w:tc>
          <w:tcPr>
            <w:tcW w:w="18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2652FFE" w14:textId="77777777" w:rsidR="007D20CA" w:rsidRPr="001463B6" w:rsidRDefault="007D20CA" w:rsidP="00D2370D">
            <w:pPr>
              <w:rPr>
                <w:b/>
              </w:rPr>
            </w:pPr>
            <w:r w:rsidRPr="001463B6">
              <w:rPr>
                <w:b/>
              </w:rPr>
              <w:t>p-value</w:t>
            </w:r>
          </w:p>
        </w:tc>
      </w:tr>
      <w:tr w:rsidR="007D20CA" w:rsidRPr="009D6AAD" w14:paraId="73A7E3A7" w14:textId="77777777" w:rsidTr="005C116E">
        <w:trPr>
          <w:jc w:val="center"/>
        </w:trPr>
        <w:tc>
          <w:tcPr>
            <w:tcW w:w="2830" w:type="dxa"/>
            <w:tcBorders>
              <w:top w:val="single" w:sz="4" w:space="0" w:color="auto"/>
            </w:tcBorders>
            <w:shd w:val="clear" w:color="auto" w:fill="auto"/>
          </w:tcPr>
          <w:p w14:paraId="4CED8732" w14:textId="77777777" w:rsidR="007D20CA" w:rsidRPr="009D6AAD" w:rsidRDefault="007D20CA" w:rsidP="00D2370D">
            <w:pPr>
              <w:rPr>
                <w:b/>
              </w:rPr>
            </w:pPr>
            <w:r w:rsidRPr="009D6AAD">
              <w:rPr>
                <w:b/>
              </w:rPr>
              <w:t>INTERMED</w:t>
            </w:r>
          </w:p>
        </w:tc>
        <w:tc>
          <w:tcPr>
            <w:tcW w:w="440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F686999" w14:textId="65E2BC66" w:rsidR="007D20CA" w:rsidRPr="001463B6" w:rsidRDefault="007D20CA" w:rsidP="00D2370D">
            <w:pPr>
              <w:jc w:val="center"/>
              <w:rPr>
                <w:b/>
                <w:bCs/>
              </w:rPr>
            </w:pPr>
            <w:r w:rsidRPr="001463B6">
              <w:rPr>
                <w:b/>
                <w:bCs/>
              </w:rPr>
              <w:t>Continuous scores</w:t>
            </w:r>
          </w:p>
        </w:tc>
      </w:tr>
      <w:tr w:rsidR="007D20CA" w:rsidRPr="009D6AAD" w14:paraId="4B68E123" w14:textId="77777777" w:rsidTr="005C116E">
        <w:trPr>
          <w:jc w:val="center"/>
        </w:trPr>
        <w:tc>
          <w:tcPr>
            <w:tcW w:w="2830" w:type="dxa"/>
            <w:shd w:val="clear" w:color="auto" w:fill="auto"/>
          </w:tcPr>
          <w:p w14:paraId="0AD56C0A" w14:textId="77777777" w:rsidR="007D20CA" w:rsidRPr="001463B6" w:rsidRDefault="007D20CA" w:rsidP="00D2370D">
            <w:pPr>
              <w:rPr>
                <w:b/>
              </w:rPr>
            </w:pPr>
            <w:r w:rsidRPr="009D6AAD">
              <w:rPr>
                <w:b/>
              </w:rPr>
              <w:t xml:space="preserve">Total </w:t>
            </w:r>
          </w:p>
        </w:tc>
        <w:tc>
          <w:tcPr>
            <w:tcW w:w="1134" w:type="dxa"/>
            <w:shd w:val="clear" w:color="auto" w:fill="auto"/>
          </w:tcPr>
          <w:p w14:paraId="389E848A" w14:textId="4B41E1F9" w:rsidR="007D20CA" w:rsidRPr="008110A4" w:rsidRDefault="007D20CA" w:rsidP="00D2370D">
            <w:pPr>
              <w:rPr>
                <w:bCs/>
              </w:rPr>
            </w:pPr>
            <w:r w:rsidRPr="008110A4">
              <w:rPr>
                <w:bCs/>
              </w:rPr>
              <w:t>1.29</w:t>
            </w:r>
          </w:p>
        </w:tc>
        <w:tc>
          <w:tcPr>
            <w:tcW w:w="1418" w:type="dxa"/>
            <w:shd w:val="clear" w:color="auto" w:fill="auto"/>
          </w:tcPr>
          <w:p w14:paraId="344F71DC" w14:textId="77777777" w:rsidR="007D20CA" w:rsidRPr="008110A4" w:rsidRDefault="007D20CA" w:rsidP="00D2370D">
            <w:pPr>
              <w:rPr>
                <w:bCs/>
              </w:rPr>
            </w:pPr>
            <w:r w:rsidRPr="008110A4">
              <w:rPr>
                <w:bCs/>
              </w:rPr>
              <w:t>1.10-1.51</w:t>
            </w:r>
          </w:p>
        </w:tc>
        <w:tc>
          <w:tcPr>
            <w:tcW w:w="1848" w:type="dxa"/>
            <w:shd w:val="clear" w:color="auto" w:fill="auto"/>
          </w:tcPr>
          <w:p w14:paraId="66CFC296" w14:textId="77777777" w:rsidR="007D20CA" w:rsidRPr="00AB7F80" w:rsidRDefault="007D20CA" w:rsidP="00D2370D">
            <w:pPr>
              <w:rPr>
                <w:b/>
                <w:bCs/>
              </w:rPr>
            </w:pPr>
            <w:r w:rsidRPr="00AB7F80">
              <w:rPr>
                <w:b/>
                <w:bCs/>
              </w:rPr>
              <w:t>0.001</w:t>
            </w:r>
          </w:p>
        </w:tc>
      </w:tr>
      <w:tr w:rsidR="007D20CA" w:rsidRPr="001463B6" w14:paraId="73F2FF5C" w14:textId="77777777" w:rsidTr="005C116E">
        <w:trPr>
          <w:jc w:val="center"/>
        </w:trPr>
        <w:tc>
          <w:tcPr>
            <w:tcW w:w="2830" w:type="dxa"/>
            <w:shd w:val="clear" w:color="auto" w:fill="auto"/>
          </w:tcPr>
          <w:p w14:paraId="1191E418" w14:textId="77777777" w:rsidR="007D20CA" w:rsidRPr="001463B6" w:rsidRDefault="007D20CA" w:rsidP="00D2370D">
            <w:pPr>
              <w:rPr>
                <w:b/>
              </w:rPr>
            </w:pPr>
            <w:r w:rsidRPr="009D6AAD">
              <w:rPr>
                <w:b/>
              </w:rPr>
              <w:t>Biological</w:t>
            </w:r>
          </w:p>
        </w:tc>
        <w:tc>
          <w:tcPr>
            <w:tcW w:w="1134" w:type="dxa"/>
            <w:shd w:val="clear" w:color="auto" w:fill="auto"/>
          </w:tcPr>
          <w:p w14:paraId="24E8212C" w14:textId="073EC1F7" w:rsidR="007D20CA" w:rsidRPr="008110A4" w:rsidRDefault="007D20CA" w:rsidP="00D2370D">
            <w:pPr>
              <w:rPr>
                <w:bCs/>
              </w:rPr>
            </w:pPr>
            <w:r w:rsidRPr="008110A4">
              <w:rPr>
                <w:bCs/>
              </w:rPr>
              <w:t>1.85</w:t>
            </w:r>
          </w:p>
        </w:tc>
        <w:tc>
          <w:tcPr>
            <w:tcW w:w="1418" w:type="dxa"/>
            <w:shd w:val="clear" w:color="auto" w:fill="auto"/>
          </w:tcPr>
          <w:p w14:paraId="784D4E27" w14:textId="77777777" w:rsidR="007D20CA" w:rsidRPr="008110A4" w:rsidRDefault="007D20CA" w:rsidP="00D2370D">
            <w:pPr>
              <w:rPr>
                <w:bCs/>
              </w:rPr>
            </w:pPr>
            <w:r w:rsidRPr="008110A4">
              <w:rPr>
                <w:bCs/>
              </w:rPr>
              <w:t>1.01-3.37</w:t>
            </w:r>
          </w:p>
        </w:tc>
        <w:tc>
          <w:tcPr>
            <w:tcW w:w="1848" w:type="dxa"/>
            <w:shd w:val="clear" w:color="auto" w:fill="auto"/>
          </w:tcPr>
          <w:p w14:paraId="48BC1EB6" w14:textId="77777777" w:rsidR="007D20CA" w:rsidRPr="00AB7F80" w:rsidRDefault="007D20CA" w:rsidP="00D2370D">
            <w:pPr>
              <w:rPr>
                <w:b/>
                <w:bCs/>
              </w:rPr>
            </w:pPr>
            <w:r w:rsidRPr="00AB7F80">
              <w:rPr>
                <w:b/>
                <w:bCs/>
              </w:rPr>
              <w:t>0.04</w:t>
            </w:r>
          </w:p>
        </w:tc>
      </w:tr>
      <w:tr w:rsidR="007D20CA" w:rsidRPr="001463B6" w14:paraId="12B00576" w14:textId="77777777" w:rsidTr="005C116E">
        <w:trPr>
          <w:jc w:val="center"/>
        </w:trPr>
        <w:tc>
          <w:tcPr>
            <w:tcW w:w="2830" w:type="dxa"/>
            <w:shd w:val="clear" w:color="auto" w:fill="auto"/>
          </w:tcPr>
          <w:p w14:paraId="4C3B650E" w14:textId="77777777" w:rsidR="007D20CA" w:rsidRPr="001463B6" w:rsidRDefault="007D20CA" w:rsidP="00D2370D">
            <w:pPr>
              <w:rPr>
                <w:b/>
              </w:rPr>
            </w:pPr>
            <w:proofErr w:type="spellStart"/>
            <w:r w:rsidRPr="001463B6">
              <w:rPr>
                <w:b/>
                <w:lang w:val="fr-CH"/>
              </w:rPr>
              <w:t>Psychological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1DA0B503" w14:textId="63470D72" w:rsidR="007D20CA" w:rsidRPr="008110A4" w:rsidRDefault="007D20CA" w:rsidP="00D2370D">
            <w:pPr>
              <w:rPr>
                <w:bCs/>
              </w:rPr>
            </w:pPr>
            <w:r w:rsidRPr="008110A4">
              <w:rPr>
                <w:bCs/>
              </w:rPr>
              <w:t>2.10</w:t>
            </w:r>
          </w:p>
        </w:tc>
        <w:tc>
          <w:tcPr>
            <w:tcW w:w="1418" w:type="dxa"/>
            <w:shd w:val="clear" w:color="auto" w:fill="auto"/>
          </w:tcPr>
          <w:p w14:paraId="394CEF49" w14:textId="77777777" w:rsidR="007D20CA" w:rsidRPr="008110A4" w:rsidRDefault="007D20CA" w:rsidP="00D2370D">
            <w:pPr>
              <w:rPr>
                <w:bCs/>
              </w:rPr>
            </w:pPr>
            <w:r w:rsidRPr="008110A4">
              <w:rPr>
                <w:bCs/>
              </w:rPr>
              <w:t>1.40-3.14</w:t>
            </w:r>
          </w:p>
        </w:tc>
        <w:tc>
          <w:tcPr>
            <w:tcW w:w="1848" w:type="dxa"/>
            <w:shd w:val="clear" w:color="auto" w:fill="auto"/>
          </w:tcPr>
          <w:p w14:paraId="57848A07" w14:textId="77777777" w:rsidR="007D20CA" w:rsidRPr="00AB7F80" w:rsidRDefault="007D20CA" w:rsidP="00D2370D">
            <w:pPr>
              <w:rPr>
                <w:b/>
                <w:bCs/>
              </w:rPr>
            </w:pPr>
            <w:r w:rsidRPr="00AB7F80">
              <w:rPr>
                <w:b/>
                <w:bCs/>
              </w:rPr>
              <w:t>&lt;0.001</w:t>
            </w:r>
          </w:p>
        </w:tc>
      </w:tr>
      <w:tr w:rsidR="007D20CA" w:rsidRPr="001463B6" w14:paraId="7D837E60" w14:textId="77777777" w:rsidTr="005C116E">
        <w:trPr>
          <w:jc w:val="center"/>
        </w:trPr>
        <w:tc>
          <w:tcPr>
            <w:tcW w:w="2830" w:type="dxa"/>
            <w:shd w:val="clear" w:color="auto" w:fill="auto"/>
          </w:tcPr>
          <w:p w14:paraId="05CE4E52" w14:textId="77777777" w:rsidR="007D20CA" w:rsidRPr="001463B6" w:rsidRDefault="007D20CA" w:rsidP="00D2370D">
            <w:pPr>
              <w:rPr>
                <w:b/>
              </w:rPr>
            </w:pPr>
            <w:r w:rsidRPr="001463B6">
              <w:rPr>
                <w:b/>
                <w:lang w:val="fr-CH"/>
              </w:rPr>
              <w:t>Social</w:t>
            </w:r>
          </w:p>
        </w:tc>
        <w:tc>
          <w:tcPr>
            <w:tcW w:w="1134" w:type="dxa"/>
            <w:shd w:val="clear" w:color="auto" w:fill="auto"/>
          </w:tcPr>
          <w:p w14:paraId="569F5A15" w14:textId="05928096" w:rsidR="007D20CA" w:rsidRPr="008110A4" w:rsidRDefault="007D20CA" w:rsidP="00D2370D">
            <w:pPr>
              <w:rPr>
                <w:bCs/>
              </w:rPr>
            </w:pPr>
            <w:r w:rsidRPr="008110A4">
              <w:rPr>
                <w:bCs/>
              </w:rPr>
              <w:t>2.17</w:t>
            </w:r>
          </w:p>
        </w:tc>
        <w:tc>
          <w:tcPr>
            <w:tcW w:w="1418" w:type="dxa"/>
            <w:shd w:val="clear" w:color="auto" w:fill="auto"/>
          </w:tcPr>
          <w:p w14:paraId="3A4FBD9B" w14:textId="77777777" w:rsidR="007D20CA" w:rsidRPr="008110A4" w:rsidRDefault="007D20CA" w:rsidP="00D2370D">
            <w:pPr>
              <w:rPr>
                <w:bCs/>
              </w:rPr>
            </w:pPr>
            <w:r w:rsidRPr="008110A4">
              <w:rPr>
                <w:bCs/>
              </w:rPr>
              <w:t>1.30-3.63</w:t>
            </w:r>
          </w:p>
        </w:tc>
        <w:tc>
          <w:tcPr>
            <w:tcW w:w="1848" w:type="dxa"/>
            <w:shd w:val="clear" w:color="auto" w:fill="auto"/>
          </w:tcPr>
          <w:p w14:paraId="2029C551" w14:textId="77777777" w:rsidR="007D20CA" w:rsidRPr="00AB7F80" w:rsidRDefault="007D20CA" w:rsidP="00D2370D">
            <w:pPr>
              <w:rPr>
                <w:b/>
                <w:bCs/>
              </w:rPr>
            </w:pPr>
            <w:r w:rsidRPr="00AB7F80">
              <w:rPr>
                <w:b/>
                <w:bCs/>
              </w:rPr>
              <w:t>0.003</w:t>
            </w:r>
          </w:p>
        </w:tc>
      </w:tr>
      <w:tr w:rsidR="007D20CA" w:rsidRPr="001463B6" w14:paraId="34C1D233" w14:textId="77777777" w:rsidTr="005C116E">
        <w:trPr>
          <w:jc w:val="center"/>
        </w:trPr>
        <w:tc>
          <w:tcPr>
            <w:tcW w:w="2830" w:type="dxa"/>
            <w:shd w:val="clear" w:color="auto" w:fill="auto"/>
          </w:tcPr>
          <w:p w14:paraId="389433CB" w14:textId="77777777" w:rsidR="007D20CA" w:rsidRPr="001463B6" w:rsidRDefault="007D20CA" w:rsidP="00D2370D">
            <w:pPr>
              <w:rPr>
                <w:b/>
              </w:rPr>
            </w:pPr>
            <w:r w:rsidRPr="001463B6">
              <w:rPr>
                <w:b/>
              </w:rPr>
              <w:t>Health care</w:t>
            </w:r>
          </w:p>
        </w:tc>
        <w:tc>
          <w:tcPr>
            <w:tcW w:w="1134" w:type="dxa"/>
            <w:shd w:val="clear" w:color="auto" w:fill="auto"/>
          </w:tcPr>
          <w:p w14:paraId="2893C398" w14:textId="3595D2A4" w:rsidR="007D20CA" w:rsidRPr="008110A4" w:rsidRDefault="007D20CA" w:rsidP="00D2370D">
            <w:pPr>
              <w:rPr>
                <w:bCs/>
              </w:rPr>
            </w:pPr>
            <w:r w:rsidRPr="008110A4">
              <w:rPr>
                <w:bCs/>
              </w:rPr>
              <w:t>1.26</w:t>
            </w:r>
          </w:p>
        </w:tc>
        <w:tc>
          <w:tcPr>
            <w:tcW w:w="1418" w:type="dxa"/>
            <w:shd w:val="clear" w:color="auto" w:fill="auto"/>
          </w:tcPr>
          <w:p w14:paraId="47C377AF" w14:textId="77777777" w:rsidR="007D20CA" w:rsidRPr="008110A4" w:rsidRDefault="007D20CA" w:rsidP="00D2370D">
            <w:pPr>
              <w:rPr>
                <w:bCs/>
              </w:rPr>
            </w:pPr>
            <w:r w:rsidRPr="008110A4">
              <w:rPr>
                <w:bCs/>
              </w:rPr>
              <w:t>1.02-2.25</w:t>
            </w:r>
          </w:p>
        </w:tc>
        <w:tc>
          <w:tcPr>
            <w:tcW w:w="1848" w:type="dxa"/>
            <w:shd w:val="clear" w:color="auto" w:fill="auto"/>
          </w:tcPr>
          <w:p w14:paraId="30D349C5" w14:textId="77777777" w:rsidR="007D20CA" w:rsidRPr="00AB7F80" w:rsidRDefault="007D20CA" w:rsidP="00D2370D">
            <w:pPr>
              <w:rPr>
                <w:b/>
                <w:bCs/>
              </w:rPr>
            </w:pPr>
            <w:r w:rsidRPr="00AB7F80">
              <w:rPr>
                <w:b/>
                <w:bCs/>
              </w:rPr>
              <w:t>0.04</w:t>
            </w:r>
          </w:p>
        </w:tc>
      </w:tr>
    </w:tbl>
    <w:p w14:paraId="11AC70F2" w14:textId="3993FB4C" w:rsidR="00E6482D" w:rsidRPr="00624F8B" w:rsidRDefault="00E6482D" w:rsidP="00E6482D">
      <w:r w:rsidRPr="009D6AAD">
        <w:rPr>
          <w:b/>
        </w:rPr>
        <w:t xml:space="preserve">Abbreviations: </w:t>
      </w:r>
      <w:r w:rsidRPr="009D6AAD">
        <w:t>CRPS: complex regional pain syndrome; OR</w:t>
      </w:r>
      <w:r>
        <w:t xml:space="preserve"> </w:t>
      </w:r>
      <w:r w:rsidRPr="009D6AAD">
        <w:t>(95%CI): Odds ratio and 95% confidence intervals</w:t>
      </w:r>
      <w:r w:rsidR="00682F78">
        <w:t xml:space="preserve">. </w:t>
      </w:r>
      <w:r w:rsidR="00682F78" w:rsidRPr="00682F78">
        <w:t>Significant p-values (&lt;0.05) are in bold</w:t>
      </w:r>
    </w:p>
    <w:p w14:paraId="29CF64BE" w14:textId="28BDAF73" w:rsidR="00496F9C" w:rsidRPr="003F060D" w:rsidRDefault="00496F9C" w:rsidP="00E6482D"/>
    <w:p w14:paraId="1F75BD7F" w14:textId="77777777" w:rsidR="00E6482D" w:rsidRPr="003F060D" w:rsidRDefault="00E6482D" w:rsidP="00E6482D">
      <w:pPr>
        <w:rPr>
          <w:b/>
        </w:rPr>
      </w:pPr>
    </w:p>
    <w:p w14:paraId="02F372DA" w14:textId="77777777" w:rsidR="00E6482D" w:rsidRPr="003F060D" w:rsidRDefault="00E6482D" w:rsidP="00E6482D">
      <w:pPr>
        <w:rPr>
          <w:b/>
        </w:rPr>
      </w:pPr>
    </w:p>
    <w:p w14:paraId="5089D422" w14:textId="77777777" w:rsidR="00E6482D" w:rsidRPr="003F060D" w:rsidRDefault="00E6482D" w:rsidP="00E6482D"/>
    <w:p w14:paraId="529C0C5F" w14:textId="77777777" w:rsidR="00E6482D" w:rsidRPr="00431388" w:rsidRDefault="00E6482D" w:rsidP="00E6482D"/>
    <w:p w14:paraId="47937832" w14:textId="77777777" w:rsidR="00AC3B74" w:rsidRDefault="00AC3B74"/>
    <w:sectPr w:rsidR="00AC3B74" w:rsidSect="00F82795">
      <w:footerReference w:type="even" r:id="rId6"/>
      <w:footerReference w:type="default" r:id="rId7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9494E7" w14:textId="77777777" w:rsidR="008C6484" w:rsidRDefault="00A377D5">
      <w:pPr>
        <w:spacing w:line="240" w:lineRule="auto"/>
      </w:pPr>
      <w:r>
        <w:separator/>
      </w:r>
    </w:p>
  </w:endnote>
  <w:endnote w:type="continuationSeparator" w:id="0">
    <w:p w14:paraId="0E5463C3" w14:textId="77777777" w:rsidR="008C6484" w:rsidRDefault="00A377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23E85" w14:textId="77777777" w:rsidR="003F060D" w:rsidRDefault="006B1A5C" w:rsidP="00FF2660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B8542FF" w14:textId="77777777" w:rsidR="003F060D" w:rsidRDefault="00A460E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ED092" w14:textId="6359D5D3" w:rsidR="003F060D" w:rsidRDefault="006B1A5C" w:rsidP="00FF2660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682F78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1464542C" w14:textId="77777777" w:rsidR="003F060D" w:rsidRDefault="00A460E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9DC29" w14:textId="77777777" w:rsidR="008C6484" w:rsidRDefault="00A377D5">
      <w:pPr>
        <w:spacing w:line="240" w:lineRule="auto"/>
      </w:pPr>
      <w:r>
        <w:separator/>
      </w:r>
    </w:p>
  </w:footnote>
  <w:footnote w:type="continuationSeparator" w:id="0">
    <w:p w14:paraId="4C6DA7DB" w14:textId="77777777" w:rsidR="008C6484" w:rsidRDefault="00A377D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fr-CH" w:vendorID="64" w:dllVersion="131078" w:nlCheck="1" w:checkStyle="0"/>
  <w:activeWritingStyle w:appName="MSWord" w:lang="en-US" w:vendorID="64" w:dllVersion="131078" w:nlCheck="1" w:checkStyle="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82D"/>
    <w:rsid w:val="00091E16"/>
    <w:rsid w:val="003522F2"/>
    <w:rsid w:val="00392E9B"/>
    <w:rsid w:val="003C5814"/>
    <w:rsid w:val="0042512B"/>
    <w:rsid w:val="00460BD3"/>
    <w:rsid w:val="00473AD8"/>
    <w:rsid w:val="00496F9C"/>
    <w:rsid w:val="004C1DA8"/>
    <w:rsid w:val="0051652B"/>
    <w:rsid w:val="0055581D"/>
    <w:rsid w:val="005C116E"/>
    <w:rsid w:val="00613F3F"/>
    <w:rsid w:val="00624F8B"/>
    <w:rsid w:val="00627E0F"/>
    <w:rsid w:val="00641585"/>
    <w:rsid w:val="00647947"/>
    <w:rsid w:val="00682F78"/>
    <w:rsid w:val="006B1A5C"/>
    <w:rsid w:val="007302D8"/>
    <w:rsid w:val="00730BC0"/>
    <w:rsid w:val="007D20CA"/>
    <w:rsid w:val="008417CB"/>
    <w:rsid w:val="008601EC"/>
    <w:rsid w:val="008C6484"/>
    <w:rsid w:val="009009ED"/>
    <w:rsid w:val="00983761"/>
    <w:rsid w:val="00A033DF"/>
    <w:rsid w:val="00A377D5"/>
    <w:rsid w:val="00A460EF"/>
    <w:rsid w:val="00AB7F80"/>
    <w:rsid w:val="00AC3B74"/>
    <w:rsid w:val="00AF3750"/>
    <w:rsid w:val="00B7466D"/>
    <w:rsid w:val="00BA2425"/>
    <w:rsid w:val="00DB46CE"/>
    <w:rsid w:val="00DB5AD1"/>
    <w:rsid w:val="00E6482D"/>
    <w:rsid w:val="00F64FE1"/>
    <w:rsid w:val="00F9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DE4925"/>
  <w15:chartTrackingRefBased/>
  <w15:docId w15:val="{AAD7186D-69E0-4BD2-AF6D-45CA95A06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82D"/>
    <w:pPr>
      <w:spacing w:after="0" w:line="480" w:lineRule="auto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E6482D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rsid w:val="00E6482D"/>
    <w:rPr>
      <w:rFonts w:ascii="Arial" w:eastAsia="Times New Roman" w:hAnsi="Arial" w:cs="Times New Roman"/>
      <w:sz w:val="20"/>
      <w:szCs w:val="24"/>
      <w:lang w:val="en-US"/>
    </w:rPr>
  </w:style>
  <w:style w:type="character" w:styleId="Numrodepage">
    <w:name w:val="page number"/>
    <w:basedOn w:val="Policepardfaut"/>
    <w:rsid w:val="00E6482D"/>
  </w:style>
  <w:style w:type="character" w:styleId="Marquedecommentaire">
    <w:name w:val="annotation reference"/>
    <w:basedOn w:val="Policepardfaut"/>
    <w:uiPriority w:val="99"/>
    <w:semiHidden/>
    <w:unhideWhenUsed/>
    <w:rsid w:val="00473AD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73AD8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73AD8"/>
    <w:rPr>
      <w:rFonts w:ascii="Arial" w:eastAsia="Times New Roman" w:hAnsi="Arial" w:cs="Times New Roman"/>
      <w:sz w:val="20"/>
      <w:szCs w:val="2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73AD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73AD8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73AD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3AD8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215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Duong Hong Phuoc</dc:creator>
  <cp:keywords/>
  <dc:description/>
  <cp:lastModifiedBy>Leger Bertrand</cp:lastModifiedBy>
  <cp:revision>4</cp:revision>
  <cp:lastPrinted>2020-10-19T11:16:00Z</cp:lastPrinted>
  <dcterms:created xsi:type="dcterms:W3CDTF">2020-10-23T06:38:00Z</dcterms:created>
  <dcterms:modified xsi:type="dcterms:W3CDTF">2020-10-23T08:03:00Z</dcterms:modified>
</cp:coreProperties>
</file>