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6112"/>
        <w:gridCol w:w="2072"/>
        <w:gridCol w:w="2072"/>
        <w:gridCol w:w="2072"/>
        <w:gridCol w:w="2072"/>
      </w:tblGrid>
      <w:tr w:rsidR="00797542" w:rsidRPr="00797542" w:rsidTr="00797542">
        <w:trPr>
          <w:trHeight w:val="675"/>
        </w:trPr>
        <w:tc>
          <w:tcPr>
            <w:tcW w:w="14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542" w:rsidRPr="00797542" w:rsidRDefault="00797542" w:rsidP="0079754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Table S1 The ordinal logistic regression analyses examining the individual relationship between items of Brief Symptom Rating Scale with insomnia</w:t>
            </w:r>
            <w:r w:rsidR="0096540B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symptoms</w:t>
            </w:r>
          </w:p>
        </w:tc>
      </w:tr>
      <w:tr w:rsidR="00797542" w:rsidRPr="00797542" w:rsidTr="00797542">
        <w:trPr>
          <w:trHeight w:val="37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Insomnia</w:t>
            </w:r>
            <w:r w:rsidR="00F32721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symptoms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Brief Symptom Rating Scale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tense or "keyed up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2.89 (2.78-3.00)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easily annoyed or irritated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2.70 (2.60-2.79)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blue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3.01 (2.90-3.13)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inferior to others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2.21 (2.13-2.30)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 (years)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15-24 vs. 24-34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0.52 (0.46-0.58)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0.56 (0.50-0.63)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0.55 (0.49-0.62)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0.51 (0.46-0.58)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35-44 vs. 24-34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1.21 (1.10-1.34)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1.26 (1.14-1.39)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1.17 (1.06-1.29)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1.21 (1.09-1.33)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45-54 vs. 24-34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1.39 (1.25-1.55)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1.57 (1.41-1.74)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1.36 (1.22-1.51)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1.38 (1.24-1.54)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55-64 vs. 24-34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1.56 (1.39-1.75)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1.86 (1.66-2.09)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1.55 (1.38-1.74)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1.54 (1.38-1.73)</w:t>
            </w:r>
          </w:p>
        </w:tc>
      </w:tr>
      <w:tr w:rsidR="00797542" w:rsidRPr="00797542" w:rsidTr="00797542">
        <w:trPr>
          <w:trHeight w:val="330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≥ 65 vs. 24-34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1.44 (1.27-1.63)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1.73 (1.53-1.96)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1.46 (1.29-1.65)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1.47 (1.30-1.66)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34B55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Sex (</w:t>
            </w:r>
            <w:r w:rsidR="00734B55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women</w:t>
            </w: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vs. m</w:t>
            </w:r>
            <w:r w:rsidR="00734B55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en</w:t>
            </w: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1.22 (1.15-1.28)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1.22 (1.03-1.30)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1.28 (1.20-1.35)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1.32 (1.23-1.39)</w:t>
            </w:r>
          </w:p>
        </w:tc>
      </w:tr>
      <w:tr w:rsidR="00797542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34B55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Education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34B55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 Senior high school and below vs. college and above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25F9D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1.26 (1.18-1.35)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25F9D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1.19 (1.11-1.27)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25F9D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1.20 (1.12-1.28)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25F9D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1.17 (1.10-1.25)</w:t>
            </w:r>
          </w:p>
        </w:tc>
      </w:tr>
      <w:tr w:rsidR="00734B55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Marital status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34B55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Married vs. single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0.82 (0.75-0.89)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0.76 (0.69-0.83)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0.84 (0.77-0.92)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0.86 (0.78-0.93)</w:t>
            </w:r>
          </w:p>
        </w:tc>
      </w:tr>
      <w:tr w:rsidR="00734B55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Widowed vs. single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1.22 (1.04-1.43)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1.18 (1.01-1.38)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1.19 (1.02-1.39)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1.35 (1.16-1.58)</w:t>
            </w:r>
          </w:p>
        </w:tc>
      </w:tr>
      <w:tr w:rsidR="00734B55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Job (no vs. yes)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1.17 (1.09-1.25)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1.19 (1.11-1.27)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1.15 (1.07-1.24)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1.14 (1.06-1.22)</w:t>
            </w:r>
          </w:p>
        </w:tc>
      </w:tr>
      <w:tr w:rsidR="00734B55" w:rsidRPr="00797542" w:rsidTr="00797542">
        <w:trPr>
          <w:trHeight w:val="315"/>
        </w:trPr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Survey year (calendar years)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(1.00-1.01)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1.01 (1.00-1.02)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4B55" w:rsidRPr="00797542" w:rsidRDefault="00734B55" w:rsidP="00797542">
            <w:pPr>
              <w:widowControl/>
              <w:adjustRightInd w:val="0"/>
              <w:snapToGrid w:val="0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</w:tr>
    </w:tbl>
    <w:p w:rsidR="00713E1D" w:rsidRDefault="00713E1D">
      <w:pPr>
        <w:widowControl/>
      </w:pPr>
      <w:r>
        <w:br w:type="page"/>
      </w:r>
    </w:p>
    <w:p w:rsidR="00713E1D" w:rsidRDefault="00713E1D"/>
    <w:tbl>
      <w:tblPr>
        <w:tblW w:w="1420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6027"/>
        <w:gridCol w:w="2044"/>
        <w:gridCol w:w="2043"/>
        <w:gridCol w:w="2043"/>
        <w:gridCol w:w="2043"/>
      </w:tblGrid>
      <w:tr w:rsidR="00797542" w:rsidRPr="00797542" w:rsidTr="00797542">
        <w:trPr>
          <w:trHeight w:val="720"/>
        </w:trPr>
        <w:tc>
          <w:tcPr>
            <w:tcW w:w="14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542" w:rsidRPr="00797542" w:rsidRDefault="00797542" w:rsidP="0022037D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Table S2 The ordinal logistic regression analyses examining the individual relationship between items of Brief Symptom Rating Scale with insomnia </w:t>
            </w:r>
            <w:r w:rsidR="0096540B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symptoms </w:t>
            </w: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in </w:t>
            </w:r>
            <w:r w:rsidR="0022037D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men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Insomnia</w:t>
            </w:r>
            <w:r w:rsidR="00F32721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symptoms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Brief Symptom Rating Scale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tense or "keyed up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2.98 (2.82-3.16)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easily annoyed or irritated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2.81 (2.67-2.96)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blue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3.13 (2.96-3.30)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inferior to others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2.12 (2.01-2.23)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 (years)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15-24 vs. 24-34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0.48 (0.40-0.57)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0.51 (0.43-0.61)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0.52 (0.44-0.63)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0.48 (0.40-0.57)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35-44 vs. 24-34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1.31 (1.13-1.52)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1.34 (1.15-1.56)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1.23 (1.06-1.44)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1.30 (1.12-1.51)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45-54 vs. 24-34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1.45 (1.23-1.70)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1.60 (1.36-1.88)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1.41 (1.20-1.65)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1.41 (1.21-1.66)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55-64 vs. 24-34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1.51 (1.27-1.80)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1.68 (1.41-2.01)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1.46 (1.22-1.74)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1.46 (1.23-1.74)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≥ 65 vs. 24-34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1.37 (1.12-1.67)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1.54 (1.27-1.88)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1.35 (1.11-1.65)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1.36 (1.12-1.66)</w:t>
            </w:r>
          </w:p>
        </w:tc>
      </w:tr>
      <w:tr w:rsidR="00797542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5B107E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Education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542" w:rsidRPr="00797542" w:rsidRDefault="00797542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B107E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 Senior high school and below vs. college and above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1.27 (1.15-1.39)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1.20 (1.09-1.32)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1.24 (1.13-1.37)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1.20 (1.09-1.32)</w:t>
            </w:r>
          </w:p>
        </w:tc>
      </w:tr>
      <w:tr w:rsidR="005B107E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Marital status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B107E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Married vs. single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0.76 (0.66-0.86)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0.74 (0.65-0.84)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0.82 (0.72-0.94)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0.82 (0.72-0.93)</w:t>
            </w:r>
          </w:p>
        </w:tc>
      </w:tr>
      <w:tr w:rsidR="005B107E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Widowed vs. single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1.12 (0.87-1.43)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0.98 (0.77-1.25)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1.03 (0.80-1.32)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1.26 (0.99-1.61)</w:t>
            </w:r>
          </w:p>
        </w:tc>
      </w:tr>
      <w:tr w:rsidR="005B107E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Job (no vs. yes)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1.14 (1.01-1.28)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1.18 (1.04-1.32)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1.11 (0.98-1.25)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1.15 (1.02-1.29)</w:t>
            </w:r>
          </w:p>
        </w:tc>
      </w:tr>
      <w:tr w:rsidR="005B107E" w:rsidRPr="00797542" w:rsidTr="00797542">
        <w:trPr>
          <w:trHeight w:val="330"/>
        </w:trPr>
        <w:tc>
          <w:tcPr>
            <w:tcW w:w="6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Survey year (calend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a</w:t>
            </w: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 years)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1.01 (1.00-1.02)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07E" w:rsidRPr="00797542" w:rsidRDefault="005B107E" w:rsidP="00797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79754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</w:tr>
    </w:tbl>
    <w:p w:rsidR="00713E1D" w:rsidRDefault="00713E1D">
      <w:pPr>
        <w:widowControl/>
      </w:pPr>
      <w:r>
        <w:br w:type="page"/>
      </w:r>
    </w:p>
    <w:p w:rsidR="00713E1D" w:rsidRDefault="00713E1D"/>
    <w:tbl>
      <w:tblPr>
        <w:tblW w:w="1446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6136"/>
        <w:gridCol w:w="2081"/>
        <w:gridCol w:w="2081"/>
        <w:gridCol w:w="2081"/>
        <w:gridCol w:w="2081"/>
      </w:tblGrid>
      <w:tr w:rsidR="00B43A68" w:rsidRPr="00B43A68" w:rsidTr="00B43A68">
        <w:trPr>
          <w:trHeight w:val="660"/>
        </w:trPr>
        <w:tc>
          <w:tcPr>
            <w:tcW w:w="14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A68" w:rsidRPr="00B43A68" w:rsidRDefault="00B43A68" w:rsidP="0022037D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Table S3 The ordinal logistic regression analyses examining the individual relationship between items of Brief Symptom Rating Scale with insomnia </w:t>
            </w:r>
            <w:r w:rsidR="0096540B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symptoms </w:t>
            </w: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in </w:t>
            </w:r>
            <w:r w:rsidR="0022037D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>women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Insomnia</w:t>
            </w:r>
            <w:r w:rsidR="00F32721"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symptoms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OR (95% CI)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Brief Symptom Rating Scale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tense or "keyed up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2.81 (2.67-2.97)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easily annoyed or irritated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2.62 (2.49-2.75)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blue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2.92 (2.77-3.07)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Feeling inferior to others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2.31 (2.19-2.44)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Age (years)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15-24 vs. 24-34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0.57 (0.48-0.67)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0.61 (0.52-0.72)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0.58 (0.49-0.69)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0.55 (0.47-0.65)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35-44 vs. 24-34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1.14 (0.99-1.30)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1.19 (1.04-1.36)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1.11 (0.97-1.28)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1.13 (0.99-1.30)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45-54 vs. 24-34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1.35 (1.17-1.56)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1.53 (1.33-1.77)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1.32 (1.14-1.52)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1.36 (1.18-1.57)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55-64 vs. 24-34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1.62 (1.39-1.89)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2.01 (1.72-2.36)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1.63 (1.39-1.90)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1.62 (1.39-1.89)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≥ 65 vs. 24-34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1.53 (1.30-1.81)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1.89 (1.60-2.23)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1.56 (1.32-1.84)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1.57 (1.33-1.85)</w:t>
            </w:r>
          </w:p>
        </w:tc>
      </w:tr>
      <w:tr w:rsidR="00B43A68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5D52E3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Education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A68" w:rsidRPr="00B43A68" w:rsidRDefault="00B43A68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D52E3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szCs w:val="24"/>
              </w:rPr>
              <w:t xml:space="preserve">  Senior high school and below vs. college and above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1.23 (1.12-1.36)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1.15 (1.05-1.27)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1.14 (1.03-1.25)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725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1.13 (1.03-1.25)</w:t>
            </w:r>
          </w:p>
        </w:tc>
      </w:tr>
      <w:tr w:rsidR="005D52E3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Marital status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D52E3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Married vs. single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0.89 (0.79-1.01)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0.80 (0.71-0.91)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0.88 (0.77-0.99)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0.91 (0.80-1.03)</w:t>
            </w:r>
          </w:p>
        </w:tc>
      </w:tr>
      <w:tr w:rsidR="005D52E3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 Widowed vs. single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1.31 (1.07-1.61)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1.32 (1.08-1.62)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1.30 (1.06-1.60)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1.43 (1.17-1.76)</w:t>
            </w:r>
          </w:p>
        </w:tc>
      </w:tr>
      <w:tr w:rsidR="005D52E3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Job (no vs. yes)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1.17 (1.07-1.29)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1.20 (1.10-1.32)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1.19 (1.09-1.31)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1.14 (1.05-1.25)</w:t>
            </w:r>
          </w:p>
        </w:tc>
      </w:tr>
      <w:tr w:rsidR="005D52E3" w:rsidRPr="00B43A68" w:rsidTr="00B43A68">
        <w:trPr>
          <w:trHeight w:val="330"/>
        </w:trPr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Survey year (calendar years)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1.01 (1.00-1.02)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52E3" w:rsidRPr="00B43A68" w:rsidRDefault="005D52E3" w:rsidP="00B43A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B43A68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1.00 (0.99-1.01)</w:t>
            </w:r>
          </w:p>
        </w:tc>
      </w:tr>
    </w:tbl>
    <w:p w:rsidR="00713E1D" w:rsidRDefault="00713E1D"/>
    <w:sectPr w:rsidR="00713E1D" w:rsidSect="00797542">
      <w:pgSz w:w="16838" w:h="11906" w:orient="landscape" w:code="9"/>
      <w:pgMar w:top="1797" w:right="1440" w:bottom="1797" w:left="1304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DCE4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5D9FA" w16cex:dateUtc="2020-12-29T0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DCE498" w16cid:durableId="2395D9F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wrence, Shani">
    <w15:presenceInfo w15:providerId="None" w15:userId="Lawrence, Shan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E25"/>
    <w:rsid w:val="000337E6"/>
    <w:rsid w:val="000C37DA"/>
    <w:rsid w:val="000D3B13"/>
    <w:rsid w:val="000E0369"/>
    <w:rsid w:val="001256B6"/>
    <w:rsid w:val="0018050A"/>
    <w:rsid w:val="001F2F07"/>
    <w:rsid w:val="0021703E"/>
    <w:rsid w:val="0022037D"/>
    <w:rsid w:val="00283054"/>
    <w:rsid w:val="00312C4A"/>
    <w:rsid w:val="00344D60"/>
    <w:rsid w:val="00355590"/>
    <w:rsid w:val="00357A59"/>
    <w:rsid w:val="003951F3"/>
    <w:rsid w:val="0040633B"/>
    <w:rsid w:val="00437949"/>
    <w:rsid w:val="0045719E"/>
    <w:rsid w:val="004641CE"/>
    <w:rsid w:val="004A6CB3"/>
    <w:rsid w:val="004C4A71"/>
    <w:rsid w:val="00503A4D"/>
    <w:rsid w:val="00553D40"/>
    <w:rsid w:val="00585137"/>
    <w:rsid w:val="005B107E"/>
    <w:rsid w:val="005B2579"/>
    <w:rsid w:val="005B728E"/>
    <w:rsid w:val="005D52E3"/>
    <w:rsid w:val="00617E2D"/>
    <w:rsid w:val="00621C95"/>
    <w:rsid w:val="0067165E"/>
    <w:rsid w:val="006A1B8E"/>
    <w:rsid w:val="006B6DB0"/>
    <w:rsid w:val="00713E1D"/>
    <w:rsid w:val="00734B55"/>
    <w:rsid w:val="00767ED3"/>
    <w:rsid w:val="00797542"/>
    <w:rsid w:val="007F6C31"/>
    <w:rsid w:val="00814E52"/>
    <w:rsid w:val="008549BC"/>
    <w:rsid w:val="0087095C"/>
    <w:rsid w:val="00896455"/>
    <w:rsid w:val="008D08AC"/>
    <w:rsid w:val="009103F1"/>
    <w:rsid w:val="009470AA"/>
    <w:rsid w:val="0096540B"/>
    <w:rsid w:val="009A1B0F"/>
    <w:rsid w:val="009E7D15"/>
    <w:rsid w:val="00A13A29"/>
    <w:rsid w:val="00A15CD0"/>
    <w:rsid w:val="00AC3987"/>
    <w:rsid w:val="00AF6EF0"/>
    <w:rsid w:val="00B04DF7"/>
    <w:rsid w:val="00B162FD"/>
    <w:rsid w:val="00B26DC5"/>
    <w:rsid w:val="00B43A68"/>
    <w:rsid w:val="00B564C7"/>
    <w:rsid w:val="00B63E24"/>
    <w:rsid w:val="00BB1BCF"/>
    <w:rsid w:val="00BB4DDB"/>
    <w:rsid w:val="00BD506C"/>
    <w:rsid w:val="00BE59C7"/>
    <w:rsid w:val="00BE613A"/>
    <w:rsid w:val="00C043B3"/>
    <w:rsid w:val="00C16A79"/>
    <w:rsid w:val="00CD3DBC"/>
    <w:rsid w:val="00CE1E8A"/>
    <w:rsid w:val="00D02BC6"/>
    <w:rsid w:val="00D50704"/>
    <w:rsid w:val="00DB0A5B"/>
    <w:rsid w:val="00DD7016"/>
    <w:rsid w:val="00E03E98"/>
    <w:rsid w:val="00E33D12"/>
    <w:rsid w:val="00E44792"/>
    <w:rsid w:val="00E45934"/>
    <w:rsid w:val="00E54A39"/>
    <w:rsid w:val="00E712F4"/>
    <w:rsid w:val="00E81708"/>
    <w:rsid w:val="00E831D4"/>
    <w:rsid w:val="00E87DE3"/>
    <w:rsid w:val="00EB6DFA"/>
    <w:rsid w:val="00EF2E60"/>
    <w:rsid w:val="00F03E49"/>
    <w:rsid w:val="00F32721"/>
    <w:rsid w:val="00F42E25"/>
    <w:rsid w:val="00F90D85"/>
    <w:rsid w:val="00FE7DEF"/>
    <w:rsid w:val="00FF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C398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3987"/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AC398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39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C398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3987"/>
    <w:rPr>
      <w:rFonts w:ascii="Segoe UI" w:hAnsi="Segoe UI" w:cs="Segoe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3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Hsichung</dc:creator>
  <cp:lastModifiedBy>Hsichung</cp:lastModifiedBy>
  <cp:revision>2</cp:revision>
  <dcterms:created xsi:type="dcterms:W3CDTF">2020-12-29T13:27:00Z</dcterms:created>
  <dcterms:modified xsi:type="dcterms:W3CDTF">2020-12-29T13:27:00Z</dcterms:modified>
</cp:coreProperties>
</file>