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Arial" w:hAnsi="Arial" w:cs="Arial"/>
          <w:bCs/>
          <w:color w:val="000000"/>
          <w:sz w:val="20"/>
          <w:szCs w:val="20"/>
        </w:rPr>
      </w:pPr>
      <w:r>
        <w:rPr>
          <w:rFonts w:hint="default" w:ascii="Arial" w:hAnsi="Arial" w:cs="Arial"/>
          <w:b/>
          <w:color w:val="000000"/>
          <w:sz w:val="20"/>
          <w:szCs w:val="20"/>
        </w:rPr>
        <w:t xml:space="preserve">Supplementary Table S1 </w:t>
      </w:r>
      <w:r>
        <w:rPr>
          <w:rFonts w:hint="default" w:ascii="Arial" w:hAnsi="Arial" w:cs="Arial"/>
          <w:bCs/>
          <w:color w:val="000000"/>
          <w:sz w:val="20"/>
          <w:szCs w:val="20"/>
        </w:rPr>
        <w:t xml:space="preserve">Univariate Analyses of Factors Associated with Overall Survival and </w:t>
      </w:r>
      <w:r>
        <w:rPr>
          <w:rFonts w:hint="default" w:ascii="Arial" w:hAnsi="Arial" w:cs="Arial"/>
          <w:bCs/>
          <w:color w:val="000000"/>
          <w:kern w:val="0"/>
          <w:sz w:val="20"/>
          <w:szCs w:val="20"/>
          <w:lang w:bidi="ar"/>
        </w:rPr>
        <w:t>Progression-Free Survival</w:t>
      </w:r>
    </w:p>
    <w:tbl>
      <w:tblPr>
        <w:tblStyle w:val="3"/>
        <w:tblW w:w="863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33"/>
        <w:gridCol w:w="1880"/>
        <w:gridCol w:w="1100"/>
        <w:gridCol w:w="2137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30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hint="default"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color w:val="000000"/>
                <w:kern w:val="0"/>
                <w:sz w:val="20"/>
                <w:szCs w:val="20"/>
                <w:lang w:bidi="ar"/>
              </w:rPr>
              <w:t>Overall Survival</w:t>
            </w:r>
          </w:p>
        </w:tc>
        <w:tc>
          <w:tcPr>
            <w:tcW w:w="3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color w:val="000000"/>
                <w:kern w:val="0"/>
                <w:sz w:val="20"/>
                <w:szCs w:val="20"/>
                <w:lang w:bidi="ar"/>
              </w:rPr>
              <w:t>Progression-Free Survival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color w:val="000000"/>
                <w:kern w:val="0"/>
                <w:sz w:val="20"/>
                <w:szCs w:val="20"/>
                <w:lang w:bidi="ar"/>
              </w:rPr>
              <w:t>Characteristic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color w:val="000000"/>
                <w:kern w:val="0"/>
                <w:sz w:val="20"/>
                <w:szCs w:val="20"/>
                <w:lang w:bidi="ar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color w:val="000000"/>
                <w:kern w:val="0"/>
                <w:sz w:val="20"/>
                <w:szCs w:val="20"/>
                <w:lang w:bidi="ar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Median age (range),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1.01 (0.98-1.03)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0.742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1.00 (0.98-1.02)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0.771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1.59 (0.62-4.06)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0.332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0.98 (0.53-1.82)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0.946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ECOG performance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3.10 (1.52-6.35)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0.002*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1.41 (0.81-2.45)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0.223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≥2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5.72 (2.53-12.94)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Style w:val="6"/>
                <w:rFonts w:hint="default" w:ascii="Arial" w:hAnsi="Arial" w:cs="Arial"/>
                <w:sz w:val="20"/>
                <w:szCs w:val="20"/>
                <w:lang w:bidi="ar"/>
              </w:rPr>
              <w:t>＜</w:t>
            </w:r>
            <w:r>
              <w:rPr>
                <w:rStyle w:val="5"/>
                <w:rFonts w:hint="default" w:ascii="Arial" w:hAnsi="Arial" w:cs="Arial"/>
                <w:sz w:val="20"/>
                <w:szCs w:val="20"/>
                <w:lang w:bidi="ar"/>
              </w:rPr>
              <w:t>0.0001*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2.27 (1.14-4.53)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0.020*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Child‐Pugh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0.93 (0.38-2.23)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0.863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1.03 (0.55-1.93)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0.918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7.41 (2.15-25.60)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0.002*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3.2 (1.15-8.93)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0.027*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BCLC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0.86 (0.38-1.97)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0.729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0.9 (0.48-1.69)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0.752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4.63 (1.34-16.04)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0.016*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2.79 (0.89-8.75)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0.078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Viral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Uninfected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HBV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0.53 (0.26-1.06)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0.071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0.99 (0.54-1.80)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0.963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HCV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Arial" w:hAnsi="Arial" w:eastAsia="宋体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0.00 (0.00-∞)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  <w:highlight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0.977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0.87 (0.20-3.86)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0.851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Extrahepatic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0.76 (0.39-1.47)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0.411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0.78 (0.47-1.28)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0.322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Macrovascular invasion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1.62 (0.87-3.03)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0.131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1.36 (0.85-2.16)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0.195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Prior target 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1.29 (0.64-2.58)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0.479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1.37 (0.83-2.26)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0.226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Prior Locoregional 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0.68 (0.34-1.34)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0.259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0.94 (0.56-1.60)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0.828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Baseline AFP, ng/mL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Style w:val="6"/>
                <w:rFonts w:hint="default" w:ascii="Arial" w:hAnsi="Arial" w:cs="Arial"/>
                <w:sz w:val="20"/>
                <w:szCs w:val="20"/>
                <w:lang w:bidi="ar"/>
              </w:rPr>
              <w:t>＜</w:t>
            </w:r>
            <w:r>
              <w:rPr>
                <w:rStyle w:val="5"/>
                <w:rFonts w:hint="default" w:ascii="Arial" w:hAnsi="Arial" w:cs="Arial"/>
                <w:sz w:val="20"/>
                <w:szCs w:val="20"/>
                <w:lang w:bidi="a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≥200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0.75 (0.40-1.41)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0.370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0.69 (0.43-1.11)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0.124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Immunotherapy as systemic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1.41 (0.71-2.79)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0.325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1.29 (0.77-2.16)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0.335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0.91 (0.12-6.74)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0.930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1.95 (0.70-5.46)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0.202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Combined with target 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0.55 (0.29-1.05)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0.068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0.51 (0.31-0.85)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0.009*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PD-1 inhibition agent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Nivolumab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Pembrolizumab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1.03 (0.50-2.10)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0.945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1.36 (0.77-2.38)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0.287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0.29 (0.09-0.96)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0.042*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0.66 (0.35-1.24)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0.198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LIPI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Intermediate/poor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2.86 (1.49-5.49)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0.002*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2.51 (1.55-4.06)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Style w:val="6"/>
                <w:rFonts w:hint="default" w:ascii="Arial" w:hAnsi="Arial" w:cs="Arial"/>
                <w:sz w:val="20"/>
                <w:szCs w:val="20"/>
                <w:lang w:bidi="ar"/>
              </w:rPr>
              <w:t>＜</w:t>
            </w:r>
            <w:r>
              <w:rPr>
                <w:rStyle w:val="5"/>
                <w:rFonts w:hint="default" w:ascii="Arial" w:hAnsi="Arial" w:cs="Arial"/>
                <w:sz w:val="20"/>
                <w:szCs w:val="20"/>
                <w:lang w:bidi="ar"/>
              </w:rPr>
              <w:t>0.001*</w:t>
            </w:r>
          </w:p>
        </w:tc>
      </w:tr>
    </w:tbl>
    <w:p>
      <w:pPr>
        <w:rPr>
          <w:rFonts w:hint="default" w:ascii="Arial" w:hAnsi="Arial" w:cs="Arial"/>
          <w:color w:val="000000"/>
          <w:kern w:val="0"/>
          <w:sz w:val="20"/>
          <w:szCs w:val="20"/>
          <w:lang w:bidi="ar"/>
        </w:rPr>
      </w:pPr>
      <w:r>
        <w:rPr>
          <w:rFonts w:hint="default" w:ascii="Arial" w:hAnsi="Arial" w:cs="Arial"/>
          <w:color w:val="000000"/>
          <w:kern w:val="0"/>
          <w:sz w:val="20"/>
          <w:szCs w:val="20"/>
          <w:lang w:bidi="ar"/>
        </w:rPr>
        <w:t>* P &lt; 0.05, statistically significant.</w:t>
      </w:r>
    </w:p>
    <w:p>
      <w:pPr>
        <w:jc w:val="left"/>
        <w:rPr>
          <w:rFonts w:hint="default" w:ascii="Arial" w:hAnsi="Arial" w:cs="Arial"/>
          <w:sz w:val="20"/>
          <w:szCs w:val="20"/>
        </w:rPr>
      </w:pPr>
      <w:r>
        <w:rPr>
          <w:rFonts w:hint="eastAsia" w:ascii="Arial" w:hAnsi="Arial" w:cs="Arial"/>
          <w:color w:val="000000"/>
          <w:kern w:val="0"/>
          <w:sz w:val="20"/>
          <w:szCs w:val="20"/>
          <w:highlight w:val="none"/>
          <w:vertAlign w:val="superscript"/>
          <w:lang w:val="en-US" w:eastAsia="zh-CN" w:bidi="ar"/>
        </w:rPr>
        <w:t>a</w:t>
      </w:r>
      <w:r>
        <w:rPr>
          <w:rFonts w:hint="default" w:ascii="Arial" w:hAnsi="Arial" w:cs="Arial"/>
          <w:color w:val="000000"/>
          <w:kern w:val="0"/>
          <w:sz w:val="20"/>
          <w:szCs w:val="20"/>
          <w:highlight w:val="none"/>
          <w:vertAlign w:val="superscript"/>
          <w:lang w:val="en-US" w:eastAsia="zh-CN" w:bidi="ar"/>
        </w:rPr>
        <w:t xml:space="preserve"> </w:t>
      </w:r>
      <w:r>
        <w:rPr>
          <w:rFonts w:hint="default" w:ascii="Arial" w:hAnsi="Arial" w:cs="Arial"/>
          <w:sz w:val="20"/>
          <w:szCs w:val="20"/>
        </w:rPr>
        <w:t>The model failed because of the small sample size.</w:t>
      </w:r>
    </w:p>
    <w:p>
      <w:pPr>
        <w:jc w:val="left"/>
        <w:rPr>
          <w:rFonts w:hint="default" w:ascii="Arial" w:hAnsi="Arial" w:cs="Arial"/>
          <w:sz w:val="20"/>
          <w:szCs w:val="20"/>
        </w:rPr>
      </w:pPr>
    </w:p>
    <w:p>
      <w:pPr>
        <w:jc w:val="left"/>
        <w:rPr>
          <w:rFonts w:hint="default" w:ascii="Arial" w:hAnsi="Arial" w:cs="Arial"/>
          <w:bCs/>
          <w:color w:val="000000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br w:type="page"/>
      </w:r>
      <w:r>
        <w:rPr>
          <w:rFonts w:hint="default" w:ascii="Arial" w:hAnsi="Arial" w:cs="Arial"/>
          <w:b/>
          <w:color w:val="000000"/>
          <w:sz w:val="20"/>
          <w:szCs w:val="20"/>
        </w:rPr>
        <w:t xml:space="preserve">Supplementary Table S2 </w:t>
      </w:r>
      <w:r>
        <w:rPr>
          <w:rFonts w:hint="default" w:ascii="Arial" w:hAnsi="Arial" w:cs="Arial"/>
          <w:bCs/>
          <w:color w:val="000000"/>
          <w:sz w:val="20"/>
          <w:szCs w:val="20"/>
        </w:rPr>
        <w:t>Univariate</w:t>
      </w:r>
      <w:r>
        <w:rPr>
          <w:rFonts w:hint="default" w:ascii="Arial" w:hAnsi="Arial" w:cs="Arial"/>
          <w:bCs/>
          <w:color w:val="000000"/>
          <w:kern w:val="0"/>
          <w:sz w:val="20"/>
          <w:szCs w:val="20"/>
          <w:lang w:bidi="ar"/>
        </w:rPr>
        <w:t xml:space="preserve"> Logistic Regression of Disease Control Rate</w:t>
      </w:r>
    </w:p>
    <w:tbl>
      <w:tblPr>
        <w:tblStyle w:val="3"/>
        <w:tblW w:w="557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4"/>
        <w:gridCol w:w="2039"/>
        <w:gridCol w:w="11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hint="default"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15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color w:val="000000"/>
                <w:kern w:val="0"/>
                <w:sz w:val="20"/>
                <w:szCs w:val="20"/>
                <w:lang w:bidi="ar"/>
              </w:rPr>
              <w:t>Univariate Analysis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color w:val="000000"/>
                <w:kern w:val="0"/>
                <w:sz w:val="20"/>
                <w:szCs w:val="20"/>
                <w:lang w:bidi="ar"/>
              </w:rPr>
              <w:t>Characteristic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color w:val="000000"/>
                <w:kern w:val="0"/>
                <w:sz w:val="20"/>
                <w:szCs w:val="20"/>
                <w:lang w:bidi="ar"/>
              </w:rPr>
              <w:t>OR (95% CI)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color w:val="000000"/>
                <w:kern w:val="0"/>
                <w:sz w:val="20"/>
                <w:szCs w:val="20"/>
                <w:lang w:bidi="ar"/>
              </w:rPr>
              <w:t xml:space="preserve">P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Median age (range), years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(0.96-1.04)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0.998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Sex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Male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Female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1.39 (0.42-4.63)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0.593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ECOG performance status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1.42 (0.50-4.01)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0.513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≥2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4.13 (1.11-15.30)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0.034*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Child‐Pugh stage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2.49 (0.88-7.07)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0.087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6.84 (0.59-79.63)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0.125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BCLC stage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0.71 (0.22-2.28)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0.566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6.60 (0.54-80.24)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0.139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Viral status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Uninfected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HBV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1.62 (0.49-5.36)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0.432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HCV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Arial" w:hAnsi="Arial" w:eastAsia="宋体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highlight w:val="none"/>
                <w:lang w:bidi="ar"/>
              </w:rPr>
              <w:t>0.00 (0.00-∞)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  <w:highlight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Extrahepatic disease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0.54 (0.22-1.33)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0.180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Macrovascular invasion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1.56 (0.66-3.68)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0.313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Prior target therapy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2.92 (1.15-7.39)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0.024*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Prior Loco-regional therapy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2.31 (0.79-6.76)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0.127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Baseline AFP, ng/mL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＜200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≥200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1.03 (0.42-2.52)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0.955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Immunotherapy as systemic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1 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2 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2.55 (0.99-6.56)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0.053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3 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1.16 (0.11-11.85)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0.902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Combined with target therapy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0.27 (0.11-0.70)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0.006*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PD-1 inhibition agent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Nivolumab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Pembrolizumab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0.76 (0.27-2.15)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0.603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others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0.45 (0.15-1.38)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0.162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LIPI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Good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1 [Ref.]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14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Intermediate/poor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2.81 (1.14-6.96)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bidi="ar"/>
              </w:rPr>
              <w:t>0.025*</w:t>
            </w:r>
          </w:p>
        </w:tc>
      </w:tr>
    </w:tbl>
    <w:p>
      <w:pPr>
        <w:rPr>
          <w:rFonts w:hint="default" w:ascii="Arial" w:hAnsi="Arial" w:cs="Arial"/>
          <w:color w:val="000000"/>
          <w:kern w:val="0"/>
          <w:sz w:val="20"/>
          <w:szCs w:val="20"/>
          <w:lang w:bidi="ar"/>
        </w:rPr>
      </w:pPr>
      <w:r>
        <w:rPr>
          <w:rFonts w:hint="default" w:ascii="Arial" w:hAnsi="Arial" w:cs="Arial"/>
          <w:color w:val="000000"/>
          <w:kern w:val="0"/>
          <w:sz w:val="20"/>
          <w:szCs w:val="20"/>
          <w:lang w:bidi="ar"/>
        </w:rPr>
        <w:t>* P &lt; 0.05, statistically significant.</w:t>
      </w:r>
      <w:bookmarkStart w:id="0" w:name="_GoBack"/>
      <w:bookmarkEnd w:id="0"/>
    </w:p>
    <w:p>
      <w:pPr>
        <w:jc w:val="left"/>
        <w:rPr>
          <w:rFonts w:hint="default" w:ascii="Arial" w:hAnsi="Arial" w:cs="Arial"/>
          <w:sz w:val="20"/>
          <w:szCs w:val="20"/>
        </w:rPr>
      </w:pPr>
      <w:r>
        <w:rPr>
          <w:rFonts w:hint="eastAsia" w:ascii="Arial" w:hAnsi="Arial" w:cs="Arial"/>
          <w:color w:val="000000"/>
          <w:kern w:val="0"/>
          <w:sz w:val="20"/>
          <w:szCs w:val="20"/>
          <w:highlight w:val="none"/>
          <w:vertAlign w:val="superscript"/>
          <w:lang w:val="en-US" w:eastAsia="zh-CN" w:bidi="ar"/>
        </w:rPr>
        <w:t>a</w:t>
      </w:r>
      <w:r>
        <w:rPr>
          <w:rFonts w:hint="default" w:ascii="Arial" w:hAnsi="Arial" w:cs="Arial"/>
          <w:color w:val="000000"/>
          <w:kern w:val="0"/>
          <w:sz w:val="20"/>
          <w:szCs w:val="20"/>
          <w:highlight w:val="none"/>
          <w:vertAlign w:val="superscript"/>
          <w:lang w:val="en-US" w:eastAsia="zh-CN" w:bidi="ar"/>
        </w:rPr>
        <w:t xml:space="preserve"> </w:t>
      </w:r>
      <w:r>
        <w:rPr>
          <w:rFonts w:hint="default" w:ascii="Arial" w:hAnsi="Arial" w:cs="Arial"/>
          <w:sz w:val="20"/>
          <w:szCs w:val="20"/>
        </w:rPr>
        <w:t>The model failed because of the small sample size.</w:t>
      </w:r>
    </w:p>
    <w:p>
      <w:pPr>
        <w:rPr>
          <w:rFonts w:ascii="Times New Roman" w:hAnsi="Times New Roman"/>
          <w:color w:val="000000"/>
          <w:kern w:val="0"/>
          <w:sz w:val="20"/>
          <w:szCs w:val="20"/>
          <w:lang w:bidi="ar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82B30"/>
    <w:rsid w:val="00082B30"/>
    <w:rsid w:val="001C36B7"/>
    <w:rsid w:val="002D7BF0"/>
    <w:rsid w:val="004E689B"/>
    <w:rsid w:val="0054074D"/>
    <w:rsid w:val="00574359"/>
    <w:rsid w:val="007C7B77"/>
    <w:rsid w:val="00993584"/>
    <w:rsid w:val="00BE62D4"/>
    <w:rsid w:val="00DA5390"/>
    <w:rsid w:val="00F9516C"/>
    <w:rsid w:val="03424615"/>
    <w:rsid w:val="04A22172"/>
    <w:rsid w:val="05472C5D"/>
    <w:rsid w:val="069C15A6"/>
    <w:rsid w:val="08355929"/>
    <w:rsid w:val="087D0D0A"/>
    <w:rsid w:val="08B83275"/>
    <w:rsid w:val="0A5D3231"/>
    <w:rsid w:val="115D523C"/>
    <w:rsid w:val="13490C74"/>
    <w:rsid w:val="17721670"/>
    <w:rsid w:val="1B743B7D"/>
    <w:rsid w:val="1C534F76"/>
    <w:rsid w:val="1E7E5597"/>
    <w:rsid w:val="220A2B35"/>
    <w:rsid w:val="22214E69"/>
    <w:rsid w:val="23996586"/>
    <w:rsid w:val="239B354D"/>
    <w:rsid w:val="27CA4556"/>
    <w:rsid w:val="282050C8"/>
    <w:rsid w:val="2DB55BA4"/>
    <w:rsid w:val="328A3537"/>
    <w:rsid w:val="32A104DE"/>
    <w:rsid w:val="342E7E12"/>
    <w:rsid w:val="432E730D"/>
    <w:rsid w:val="46FF3EA3"/>
    <w:rsid w:val="47021784"/>
    <w:rsid w:val="4A4510EF"/>
    <w:rsid w:val="60C96B51"/>
    <w:rsid w:val="66333E91"/>
    <w:rsid w:val="66FD7564"/>
    <w:rsid w:val="6A46412D"/>
    <w:rsid w:val="6A52664E"/>
    <w:rsid w:val="6E2E7EAF"/>
    <w:rsid w:val="71280F55"/>
    <w:rsid w:val="72A1503D"/>
    <w:rsid w:val="7885663E"/>
    <w:rsid w:val="78CB4946"/>
    <w:rsid w:val="7AC5676D"/>
    <w:rsid w:val="7DCC5372"/>
    <w:rsid w:val="7F50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rFonts w:ascii="Segoe UI" w:hAnsi="Segoe UI" w:cs="Segoe UI"/>
      <w:sz w:val="18"/>
      <w:szCs w:val="18"/>
    </w:rPr>
  </w:style>
  <w:style w:type="character" w:customStyle="1" w:styleId="5">
    <w:name w:val="font11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">
    <w:name w:val="font0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Balloon Text Char"/>
    <w:link w:val="2"/>
    <w:qFormat/>
    <w:uiPriority w:val="0"/>
    <w:rPr>
      <w:rFonts w:ascii="Segoe UI" w:hAnsi="Segoe UI" w:cs="Segoe UI"/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4F56B9-0FFB-42F3-9BB7-E56C5F4417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520</Words>
  <Characters>2966</Characters>
  <Lines>24</Lines>
  <Paragraphs>6</Paragraphs>
  <TotalTime>7</TotalTime>
  <ScaleCrop>false</ScaleCrop>
  <LinksUpToDate>false</LinksUpToDate>
  <CharactersWithSpaces>3480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2020-07-16T04:53:00Z</dcterms:created>
  <dc:creator>陈诗雪</dc:creator>
  <cp:lastModifiedBy>陈诗雪</cp:lastModifiedBy>
  <dcterms:modified xsi:type="dcterms:W3CDTF">2020-10-04T04:57:01Z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