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74921" w14:textId="616D5B9E" w:rsidR="00B76F7C" w:rsidRDefault="00B76F7C" w:rsidP="00B76F7C">
      <w:pPr>
        <w:pStyle w:val="MDPI41tablecaption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  <w:r w:rsidRPr="00854018">
        <w:rPr>
          <w:rFonts w:ascii="Times New Roman" w:hAnsi="Times New Roman" w:cs="Times New Roman"/>
          <w:b/>
          <w:sz w:val="24"/>
        </w:rPr>
        <w:t>SUPPLEMENTARY MATERIAL</w:t>
      </w:r>
    </w:p>
    <w:p w14:paraId="3B609411" w14:textId="77777777" w:rsidR="00B76F7C" w:rsidRPr="00854018" w:rsidRDefault="00B76F7C" w:rsidP="00B76F7C">
      <w:pPr>
        <w:pStyle w:val="MDPI41tablecaption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11D5F755" w14:textId="77777777" w:rsidR="00051198" w:rsidRPr="00BB7B09" w:rsidRDefault="00051198" w:rsidP="00051198">
      <w:pPr>
        <w:suppressLineNumber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B09">
        <w:rPr>
          <w:rFonts w:ascii="Times New Roman" w:hAnsi="Times New Roman" w:cs="Times New Roman"/>
          <w:b/>
          <w:i/>
          <w:sz w:val="24"/>
          <w:szCs w:val="24"/>
        </w:rPr>
        <w:t>CHDH-PNPLA3</w:t>
      </w:r>
      <w:r w:rsidRPr="00BB7B09">
        <w:rPr>
          <w:rFonts w:ascii="Times New Roman" w:hAnsi="Times New Roman" w:cs="Times New Roman"/>
          <w:b/>
          <w:sz w:val="24"/>
          <w:szCs w:val="24"/>
        </w:rPr>
        <w:t xml:space="preserve"> gene-gene interactions predict insulin resistance in children with obesity</w:t>
      </w:r>
    </w:p>
    <w:p w14:paraId="2A8388CD" w14:textId="77777777" w:rsidR="00AD4236" w:rsidRDefault="00AD4236" w:rsidP="00CC7A67">
      <w:pPr>
        <w:pStyle w:val="MDPI41tablecaption"/>
        <w:spacing w:after="0"/>
        <w:rPr>
          <w:rFonts w:ascii="Times New Roman" w:hAnsi="Times New Roman" w:cs="Times New Roman"/>
          <w:b/>
          <w:sz w:val="22"/>
        </w:rPr>
      </w:pPr>
    </w:p>
    <w:p w14:paraId="26BA733D" w14:textId="77777777" w:rsidR="00B76F7C" w:rsidRDefault="00B76F7C" w:rsidP="00CC7A67">
      <w:pPr>
        <w:pStyle w:val="MDPI41tablecaption"/>
        <w:spacing w:after="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Supplementary text</w:t>
      </w:r>
    </w:p>
    <w:p w14:paraId="5DCB1BB8" w14:textId="13EA8344" w:rsidR="00CC7A67" w:rsidRPr="00CC7A67" w:rsidRDefault="00CC7A67" w:rsidP="00CC7A67">
      <w:pPr>
        <w:pStyle w:val="MDPI41tablecaption"/>
        <w:spacing w:after="0"/>
        <w:rPr>
          <w:rFonts w:ascii="Times New Roman" w:hAnsi="Times New Roman" w:cs="Times New Roman"/>
          <w:b/>
          <w:sz w:val="22"/>
        </w:rPr>
      </w:pPr>
      <w:r w:rsidRPr="00CC7A67">
        <w:rPr>
          <w:rFonts w:ascii="Times New Roman" w:hAnsi="Times New Roman" w:cs="Times New Roman"/>
          <w:b/>
          <w:sz w:val="22"/>
        </w:rPr>
        <w:t>Quantification</w:t>
      </w:r>
      <w:r>
        <w:rPr>
          <w:rFonts w:ascii="Times New Roman" w:hAnsi="Times New Roman" w:cs="Times New Roman"/>
          <w:b/>
          <w:sz w:val="22"/>
        </w:rPr>
        <w:t xml:space="preserve"> of plasma choline and betaine </w:t>
      </w:r>
    </w:p>
    <w:p w14:paraId="53F35CCD" w14:textId="77777777" w:rsidR="00CC7A67" w:rsidRPr="00CC7A67" w:rsidRDefault="00CC7A67" w:rsidP="00CC7A67">
      <w:pPr>
        <w:pStyle w:val="MDPI41tablecaption"/>
        <w:spacing w:before="0" w:after="0"/>
        <w:rPr>
          <w:rFonts w:ascii="Times New Roman" w:hAnsi="Times New Roman" w:cs="Times New Roman"/>
          <w:b/>
          <w:sz w:val="22"/>
        </w:rPr>
      </w:pPr>
      <w:r w:rsidRPr="00CC7A67">
        <w:rPr>
          <w:rFonts w:ascii="Times New Roman" w:hAnsi="Times New Roman" w:cs="Times New Roman"/>
          <w:b/>
          <w:sz w:val="22"/>
        </w:rPr>
        <w:t>Standards and reagents</w:t>
      </w:r>
    </w:p>
    <w:p w14:paraId="3A3C0116" w14:textId="77777777" w:rsidR="00CC7A67" w:rsidRPr="00CC7A67" w:rsidRDefault="00CC7A67" w:rsidP="00CC7A67">
      <w:pPr>
        <w:pStyle w:val="MDPI41tablecaption"/>
        <w:spacing w:before="0" w:after="0"/>
        <w:rPr>
          <w:rFonts w:ascii="Times New Roman" w:hAnsi="Times New Roman" w:cs="Times New Roman"/>
          <w:sz w:val="22"/>
        </w:rPr>
      </w:pPr>
      <w:r w:rsidRPr="00CC7A67">
        <w:rPr>
          <w:rFonts w:ascii="Times New Roman" w:hAnsi="Times New Roman" w:cs="Times New Roman"/>
          <w:b/>
          <w:sz w:val="22"/>
        </w:rPr>
        <w:t xml:space="preserve">Choline, betaine, choline chloride-(trimethyl-d9) and Betaine-(trimethyl-d9) </w:t>
      </w:r>
      <w:r w:rsidRPr="00CC7A67">
        <w:rPr>
          <w:rFonts w:ascii="Times New Roman" w:hAnsi="Times New Roman" w:cs="Times New Roman"/>
          <w:sz w:val="22"/>
        </w:rPr>
        <w:t>hydrochloride were purchased from Sigma-</w:t>
      </w:r>
      <w:proofErr w:type="spellStart"/>
      <w:r w:rsidRPr="00CC7A67">
        <w:rPr>
          <w:rFonts w:ascii="Times New Roman" w:hAnsi="Times New Roman" w:cs="Times New Roman"/>
          <w:sz w:val="22"/>
        </w:rPr>
        <w:t>Aldich</w:t>
      </w:r>
      <w:proofErr w:type="spellEnd"/>
      <w:r w:rsidRPr="00CC7A67">
        <w:rPr>
          <w:rFonts w:ascii="Times New Roman" w:hAnsi="Times New Roman" w:cs="Times New Roman"/>
          <w:sz w:val="22"/>
        </w:rPr>
        <w:t xml:space="preserve"> (St. Louis, MO, USA). Formic acid and ammonium </w:t>
      </w:r>
      <w:proofErr w:type="spellStart"/>
      <w:r w:rsidRPr="00CC7A67">
        <w:rPr>
          <w:rFonts w:ascii="Times New Roman" w:hAnsi="Times New Roman" w:cs="Times New Roman"/>
          <w:sz w:val="22"/>
        </w:rPr>
        <w:t>formate</w:t>
      </w:r>
      <w:proofErr w:type="spellEnd"/>
      <w:r w:rsidRPr="00CC7A67">
        <w:rPr>
          <w:rFonts w:ascii="Times New Roman" w:hAnsi="Times New Roman" w:cs="Times New Roman"/>
          <w:sz w:val="22"/>
        </w:rPr>
        <w:t xml:space="preserve"> were purchased from Merck (Darmstadt, Germany), acetonitrile was purchased from AppliChem GmbH (Darmstadt, Germany), and water from VWR International (Radnor, Pennsylvania, USA). </w:t>
      </w:r>
      <w:r>
        <w:rPr>
          <w:rFonts w:ascii="Times New Roman" w:hAnsi="Times New Roman" w:cs="Times New Roman"/>
          <w:sz w:val="22"/>
        </w:rPr>
        <w:t xml:space="preserve">All reagents were HPLC-grade. </w:t>
      </w:r>
    </w:p>
    <w:p w14:paraId="2B026FF3" w14:textId="77777777" w:rsidR="00CC7A67" w:rsidRPr="00CC7A67" w:rsidRDefault="00CC7A67" w:rsidP="00CC7A67">
      <w:pPr>
        <w:pStyle w:val="MDPI41tablecaption"/>
        <w:spacing w:before="0" w:after="0"/>
        <w:rPr>
          <w:rFonts w:ascii="Times New Roman" w:hAnsi="Times New Roman" w:cs="Times New Roman"/>
          <w:b/>
          <w:sz w:val="22"/>
        </w:rPr>
      </w:pPr>
      <w:r w:rsidRPr="00CC7A67">
        <w:rPr>
          <w:rFonts w:ascii="Times New Roman" w:hAnsi="Times New Roman" w:cs="Times New Roman"/>
          <w:b/>
          <w:sz w:val="22"/>
        </w:rPr>
        <w:t>Methodology</w:t>
      </w:r>
    </w:p>
    <w:p w14:paraId="178D97A5" w14:textId="0E1E8CF1" w:rsidR="00CC7A67" w:rsidRPr="00CC7A67" w:rsidRDefault="00CC7A67" w:rsidP="00CC7A67">
      <w:pPr>
        <w:pStyle w:val="MDPI41tablecaption"/>
        <w:spacing w:before="0" w:after="0"/>
        <w:rPr>
          <w:rFonts w:ascii="Times New Roman" w:hAnsi="Times New Roman" w:cs="Times New Roman"/>
          <w:sz w:val="22"/>
        </w:rPr>
      </w:pPr>
      <w:r w:rsidRPr="00CC7A67">
        <w:rPr>
          <w:rFonts w:ascii="Times New Roman" w:hAnsi="Times New Roman" w:cs="Times New Roman"/>
          <w:sz w:val="22"/>
        </w:rPr>
        <w:t>Choline and betaine were measured from plasma by liquid chromatography-tandem mass spectrometry (LC-MS/MS) using an existing method (</w:t>
      </w:r>
      <w:r w:rsidR="00B76F7C">
        <w:rPr>
          <w:rFonts w:ascii="Times New Roman" w:hAnsi="Times New Roman" w:cs="Times New Roman"/>
          <w:sz w:val="22"/>
        </w:rPr>
        <w:t>1</w:t>
      </w:r>
      <w:r w:rsidRPr="00CC7A67">
        <w:rPr>
          <w:rFonts w:ascii="Times New Roman" w:hAnsi="Times New Roman" w:cs="Times New Roman"/>
          <w:sz w:val="22"/>
        </w:rPr>
        <w:t xml:space="preserve">) with adaptations for the laboratory specifics. </w:t>
      </w:r>
    </w:p>
    <w:p w14:paraId="2DFF4AAB" w14:textId="77777777" w:rsidR="00CC7A67" w:rsidRPr="00CC7A67" w:rsidRDefault="00CC7A67" w:rsidP="00CC7A67">
      <w:pPr>
        <w:pStyle w:val="MDPI41tablecaption"/>
        <w:spacing w:before="0" w:after="0"/>
        <w:rPr>
          <w:rFonts w:ascii="Times New Roman" w:hAnsi="Times New Roman" w:cs="Times New Roman"/>
          <w:b/>
          <w:sz w:val="22"/>
        </w:rPr>
      </w:pPr>
      <w:r w:rsidRPr="00CC7A67">
        <w:rPr>
          <w:rFonts w:ascii="Times New Roman" w:hAnsi="Times New Roman" w:cs="Times New Roman"/>
          <w:b/>
          <w:sz w:val="22"/>
        </w:rPr>
        <w:t>Sample preparation</w:t>
      </w:r>
    </w:p>
    <w:p w14:paraId="35E03EAA" w14:textId="77777777" w:rsidR="00CC7A67" w:rsidRPr="00CC7A67" w:rsidRDefault="00CC7A67" w:rsidP="00CC7A67">
      <w:pPr>
        <w:pStyle w:val="MDPI41tablecaption"/>
        <w:spacing w:before="0" w:after="0"/>
        <w:rPr>
          <w:rFonts w:ascii="Times New Roman" w:hAnsi="Times New Roman" w:cs="Times New Roman"/>
          <w:sz w:val="22"/>
        </w:rPr>
      </w:pPr>
      <w:r w:rsidRPr="00CC7A67">
        <w:rPr>
          <w:rFonts w:ascii="Times New Roman" w:hAnsi="Times New Roman" w:cs="Times New Roman"/>
          <w:sz w:val="22"/>
        </w:rPr>
        <w:t>Aliquots of 10 µL plasma were transferred into test tubes and mixed with 400 µL acetonitrile containing internal standards (choline-d9 and betaine d-9, each to a final concentration of 100 ng/mL). The mixtures were kept at -20°C for 5 minutes and then centrifuged at 13,000 g for 5 min. The supernatant was transferred into autosampler vials.</w:t>
      </w:r>
    </w:p>
    <w:p w14:paraId="76D0D09A" w14:textId="77777777" w:rsidR="00CC7A67" w:rsidRPr="00CC7A67" w:rsidRDefault="00CC7A67" w:rsidP="00CC7A67">
      <w:pPr>
        <w:pStyle w:val="MDPI41tablecaption"/>
        <w:spacing w:before="0" w:after="0"/>
        <w:rPr>
          <w:rFonts w:ascii="Times New Roman" w:hAnsi="Times New Roman" w:cs="Times New Roman"/>
          <w:b/>
          <w:sz w:val="22"/>
        </w:rPr>
      </w:pPr>
      <w:r w:rsidRPr="00CC7A67">
        <w:rPr>
          <w:rFonts w:ascii="Times New Roman" w:hAnsi="Times New Roman" w:cs="Times New Roman"/>
          <w:b/>
          <w:sz w:val="22"/>
        </w:rPr>
        <w:t>LC-MS/MS analysis</w:t>
      </w:r>
    </w:p>
    <w:p w14:paraId="43DFA3C6" w14:textId="77777777" w:rsidR="00CC7A67" w:rsidRPr="00CC7A67" w:rsidRDefault="00CC7A67" w:rsidP="00CC7A67">
      <w:pPr>
        <w:pStyle w:val="MDPI41tablecaption"/>
        <w:spacing w:before="0" w:after="0"/>
        <w:rPr>
          <w:rFonts w:ascii="Times New Roman" w:hAnsi="Times New Roman" w:cs="Times New Roman"/>
          <w:sz w:val="22"/>
        </w:rPr>
      </w:pPr>
      <w:r w:rsidRPr="00CC7A67">
        <w:rPr>
          <w:rFonts w:ascii="Times New Roman" w:hAnsi="Times New Roman" w:cs="Times New Roman"/>
          <w:sz w:val="22"/>
        </w:rPr>
        <w:t xml:space="preserve">Analysis was performed using a Shimadzu UHPLC </w:t>
      </w:r>
      <w:proofErr w:type="spellStart"/>
      <w:r w:rsidRPr="00CC7A67">
        <w:rPr>
          <w:rFonts w:ascii="Times New Roman" w:hAnsi="Times New Roman" w:cs="Times New Roman"/>
          <w:sz w:val="22"/>
        </w:rPr>
        <w:t>Nexera</w:t>
      </w:r>
      <w:proofErr w:type="spellEnd"/>
      <w:r w:rsidRPr="00CC7A67">
        <w:rPr>
          <w:rFonts w:ascii="Times New Roman" w:hAnsi="Times New Roman" w:cs="Times New Roman"/>
          <w:sz w:val="22"/>
        </w:rPr>
        <w:t xml:space="preserve"> X2 LC system coupled to a LCMS-8045 triple quadrupole mass spectrometer (Shimadzu Corporation, Kyoto, Japan) operated with an electrospray ionization (ESI) source in positive mode. The MS/MS parameters (table 1) were </w:t>
      </w:r>
      <w:proofErr w:type="spellStart"/>
      <w:r w:rsidRPr="00CC7A67">
        <w:rPr>
          <w:rFonts w:ascii="Times New Roman" w:hAnsi="Times New Roman" w:cs="Times New Roman"/>
          <w:sz w:val="22"/>
        </w:rPr>
        <w:t>optimised</w:t>
      </w:r>
      <w:proofErr w:type="spellEnd"/>
      <w:r w:rsidRPr="00CC7A67">
        <w:rPr>
          <w:rFonts w:ascii="Times New Roman" w:hAnsi="Times New Roman" w:cs="Times New Roman"/>
          <w:sz w:val="22"/>
        </w:rPr>
        <w:t xml:space="preserve"> by injection of 1 μL aliquots with concentrations of 1 μg/</w:t>
      </w:r>
      <w:proofErr w:type="spellStart"/>
      <w:r w:rsidRPr="00CC7A67">
        <w:rPr>
          <w:rFonts w:ascii="Times New Roman" w:hAnsi="Times New Roman" w:cs="Times New Roman"/>
          <w:sz w:val="22"/>
        </w:rPr>
        <w:t>mL.</w:t>
      </w:r>
      <w:proofErr w:type="spellEnd"/>
      <w:r w:rsidRPr="00CC7A67">
        <w:rPr>
          <w:rFonts w:ascii="Times New Roman" w:hAnsi="Times New Roman" w:cs="Times New Roman"/>
          <w:sz w:val="22"/>
        </w:rPr>
        <w:t xml:space="preserve"> The chromatographic separation was achieved using an ACQUITY UPLC BEH HILIC 50 × 2.1 mm, 1.7 μm particle size, and 130Å pore diameter (Waters, Milford, Massachusetts, USA) column. The mobile phases consisted of ’A’ - 15 mM ammonium </w:t>
      </w:r>
      <w:proofErr w:type="spellStart"/>
      <w:r w:rsidRPr="00CC7A67">
        <w:rPr>
          <w:rFonts w:ascii="Times New Roman" w:hAnsi="Times New Roman" w:cs="Times New Roman"/>
          <w:sz w:val="22"/>
        </w:rPr>
        <w:t>formate</w:t>
      </w:r>
      <w:proofErr w:type="spellEnd"/>
      <w:r w:rsidRPr="00CC7A67">
        <w:rPr>
          <w:rFonts w:ascii="Times New Roman" w:hAnsi="Times New Roman" w:cs="Times New Roman"/>
          <w:sz w:val="22"/>
        </w:rPr>
        <w:t xml:space="preserve"> pH 3.5 and ’B’ - acetonitrile. The elution profile started at 90% B then decreased to 70% over 0.1 min, it was maintained at this level for 2.5 min and then returned to 90% B  over 0.1 min and maintained at this level for another 3.8 min – for a total run time of 6.5 min. LC Total pump flow was set to 0.4 mL/min, while autosampler and column thermostat temperature were set to 5°C and 30°C respectively. Sample injection volume was set to 2 μL. Other instrument parameters were: interface temperature - 300 °C, </w:t>
      </w:r>
      <w:proofErr w:type="spellStart"/>
      <w:r w:rsidRPr="00CC7A67">
        <w:rPr>
          <w:rFonts w:ascii="Times New Roman" w:hAnsi="Times New Roman" w:cs="Times New Roman"/>
          <w:sz w:val="22"/>
        </w:rPr>
        <w:t>desolvation</w:t>
      </w:r>
      <w:proofErr w:type="spellEnd"/>
      <w:r w:rsidRPr="00CC7A67">
        <w:rPr>
          <w:rFonts w:ascii="Times New Roman" w:hAnsi="Times New Roman" w:cs="Times New Roman"/>
          <w:sz w:val="22"/>
        </w:rPr>
        <w:t xml:space="preserve"> line - 250 °C, heat block temperatures - 400 °C, interface voltage - 3kV, nebulizing gas (nitrogen) flow - 3 L/min, drying and heating gas (nitrogen) flow - 10 L/min,  collision gas (argon) pressure - 230 kPa.</w:t>
      </w:r>
    </w:p>
    <w:p w14:paraId="759AB845" w14:textId="4F179BBC" w:rsidR="00CC7A67" w:rsidRDefault="00CC7A67" w:rsidP="00CC7A67">
      <w:pPr>
        <w:pStyle w:val="MDPI41tablecaption"/>
        <w:spacing w:before="0" w:after="0"/>
        <w:rPr>
          <w:rFonts w:ascii="Times New Roman" w:hAnsi="Times New Roman" w:cs="Times New Roman"/>
          <w:sz w:val="22"/>
        </w:rPr>
      </w:pPr>
      <w:r w:rsidRPr="00CC7A67">
        <w:rPr>
          <w:rFonts w:ascii="Times New Roman" w:hAnsi="Times New Roman" w:cs="Times New Roman"/>
          <w:sz w:val="22"/>
        </w:rPr>
        <w:t xml:space="preserve">MS data were processed using </w:t>
      </w:r>
      <w:proofErr w:type="spellStart"/>
      <w:r w:rsidRPr="00CC7A67">
        <w:rPr>
          <w:rFonts w:ascii="Times New Roman" w:hAnsi="Times New Roman" w:cs="Times New Roman"/>
          <w:sz w:val="22"/>
        </w:rPr>
        <w:t>LabSolution</w:t>
      </w:r>
      <w:proofErr w:type="spellEnd"/>
      <w:r w:rsidRPr="00CC7A67">
        <w:rPr>
          <w:rFonts w:ascii="Times New Roman" w:hAnsi="Times New Roman" w:cs="Times New Roman"/>
          <w:sz w:val="22"/>
        </w:rPr>
        <w:t xml:space="preserve"> software (v5.91/2017, Shimadzu Corporation, Kyoto, Japan). i-</w:t>
      </w:r>
      <w:proofErr w:type="spellStart"/>
      <w:r w:rsidRPr="00CC7A67">
        <w:rPr>
          <w:rFonts w:ascii="Times New Roman" w:hAnsi="Times New Roman" w:cs="Times New Roman"/>
          <w:sz w:val="22"/>
        </w:rPr>
        <w:t>PeakFinder</w:t>
      </w:r>
      <w:proofErr w:type="spellEnd"/>
      <w:r w:rsidRPr="00CC7A67">
        <w:rPr>
          <w:rFonts w:ascii="Times New Roman" w:hAnsi="Times New Roman" w:cs="Times New Roman"/>
          <w:sz w:val="22"/>
        </w:rPr>
        <w:t xml:space="preserve"> method was used for peak integration. Peak identification was based on absolute retention time (RT) with a window of 2%. Reference ion ratio allowance was set to 30%. The quantitation method was based on 5-point calibration: 6.25, 12.5, 25, 50 and 100 μg/mL for choline and 12.5, 25, 50,</w:t>
      </w:r>
      <w:r>
        <w:rPr>
          <w:rFonts w:ascii="Times New Roman" w:hAnsi="Times New Roman" w:cs="Times New Roman"/>
          <w:sz w:val="22"/>
        </w:rPr>
        <w:t xml:space="preserve"> 100 and 200 μg/mL for betaine.</w:t>
      </w:r>
    </w:p>
    <w:p w14:paraId="57BE579B" w14:textId="3C33CD1F" w:rsidR="00AD4236" w:rsidRDefault="00AD4236" w:rsidP="00CC7A67">
      <w:pPr>
        <w:pStyle w:val="MDPI41tablecaption"/>
        <w:spacing w:before="0" w:after="0"/>
        <w:rPr>
          <w:rFonts w:ascii="Times New Roman" w:hAnsi="Times New Roman" w:cs="Times New Roman"/>
          <w:sz w:val="22"/>
        </w:rPr>
      </w:pPr>
    </w:p>
    <w:p w14:paraId="2A50E2BF" w14:textId="7C1793F9" w:rsidR="00AD4236" w:rsidRDefault="00AD4236" w:rsidP="00CC7A67">
      <w:pPr>
        <w:pStyle w:val="MDPI41tablecaption"/>
        <w:spacing w:before="0" w:after="0"/>
        <w:rPr>
          <w:rFonts w:ascii="Times New Roman" w:hAnsi="Times New Roman" w:cs="Times New Roman"/>
          <w:sz w:val="22"/>
        </w:rPr>
      </w:pPr>
    </w:p>
    <w:p w14:paraId="2F94A873" w14:textId="750F1A51" w:rsidR="00AD4236" w:rsidRDefault="00AD4236" w:rsidP="00CC7A67">
      <w:pPr>
        <w:pStyle w:val="MDPI41tablecaption"/>
        <w:spacing w:before="0" w:after="0"/>
        <w:rPr>
          <w:rFonts w:ascii="Times New Roman" w:hAnsi="Times New Roman" w:cs="Times New Roman"/>
          <w:sz w:val="22"/>
        </w:rPr>
      </w:pPr>
    </w:p>
    <w:p w14:paraId="5F718DC2" w14:textId="1323F49F" w:rsidR="00AD4236" w:rsidRDefault="00AD4236" w:rsidP="00CC7A67">
      <w:pPr>
        <w:pStyle w:val="MDPI41tablecaption"/>
        <w:spacing w:before="0" w:after="0"/>
        <w:rPr>
          <w:rFonts w:ascii="Times New Roman" w:hAnsi="Times New Roman" w:cs="Times New Roman"/>
          <w:sz w:val="22"/>
        </w:rPr>
      </w:pPr>
    </w:p>
    <w:p w14:paraId="4B9C2AFF" w14:textId="77777777" w:rsidR="006B1173" w:rsidRDefault="006B1173" w:rsidP="00101BCD">
      <w:pPr>
        <w:pStyle w:val="MDPI41tablecaption"/>
        <w:spacing w:after="0"/>
        <w:ind w:left="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lastRenderedPageBreak/>
        <w:t>Table S1.</w:t>
      </w:r>
      <w:r w:rsidRPr="006B1173">
        <w:t xml:space="preserve"> </w:t>
      </w:r>
      <w:r w:rsidRPr="006B1173">
        <w:rPr>
          <w:rFonts w:ascii="Times New Roman" w:hAnsi="Times New Roman" w:cs="Times New Roman"/>
          <w:b/>
          <w:sz w:val="22"/>
        </w:rPr>
        <w:t>LC-MS/MS optimized transitions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90"/>
        <w:gridCol w:w="2160"/>
      </w:tblGrid>
      <w:tr w:rsidR="006B1173" w:rsidRPr="00F17503" w14:paraId="2796082C" w14:textId="77777777" w:rsidTr="002D0D3F">
        <w:trPr>
          <w:trHeight w:val="290"/>
          <w:jc w:val="center"/>
        </w:trPr>
        <w:tc>
          <w:tcPr>
            <w:tcW w:w="1890" w:type="dxa"/>
            <w:noWrap/>
            <w:vAlign w:val="center"/>
            <w:hideMark/>
          </w:tcPr>
          <w:p w14:paraId="412A6343" w14:textId="77777777" w:rsidR="006B1173" w:rsidRPr="00F17503" w:rsidRDefault="006B1173" w:rsidP="002D0D3F">
            <w:pPr>
              <w:ind w:left="720"/>
              <w:rPr>
                <w:rFonts w:cstheme="minorHAnsi"/>
              </w:rPr>
            </w:pPr>
          </w:p>
        </w:tc>
        <w:tc>
          <w:tcPr>
            <w:tcW w:w="2160" w:type="dxa"/>
            <w:noWrap/>
            <w:vAlign w:val="center"/>
            <w:hideMark/>
          </w:tcPr>
          <w:p w14:paraId="122EC707" w14:textId="77777777" w:rsidR="006B1173" w:rsidRPr="00F17503" w:rsidRDefault="006B1173" w:rsidP="002D0D3F">
            <w:pPr>
              <w:rPr>
                <w:rFonts w:cstheme="minorHAnsi"/>
              </w:rPr>
            </w:pPr>
            <w:r w:rsidRPr="00F17503">
              <w:rPr>
                <w:rFonts w:cstheme="minorHAnsi"/>
              </w:rPr>
              <w:t>Transitions (</w:t>
            </w:r>
            <w:r w:rsidRPr="00F17503">
              <w:rPr>
                <w:rFonts w:cstheme="minorHAnsi"/>
                <w:i/>
                <w:iCs/>
              </w:rPr>
              <w:t>m/z</w:t>
            </w:r>
            <w:r w:rsidRPr="00F17503">
              <w:rPr>
                <w:rFonts w:cstheme="minorHAnsi"/>
              </w:rPr>
              <w:t>)</w:t>
            </w:r>
          </w:p>
        </w:tc>
      </w:tr>
      <w:tr w:rsidR="006B1173" w:rsidRPr="00F17503" w14:paraId="2F8258C2" w14:textId="77777777" w:rsidTr="002D0D3F">
        <w:trPr>
          <w:trHeight w:val="290"/>
          <w:jc w:val="center"/>
        </w:trPr>
        <w:tc>
          <w:tcPr>
            <w:tcW w:w="1890" w:type="dxa"/>
            <w:noWrap/>
            <w:vAlign w:val="center"/>
            <w:hideMark/>
          </w:tcPr>
          <w:p w14:paraId="41C45567" w14:textId="77777777" w:rsidR="006B1173" w:rsidRPr="00F17503" w:rsidRDefault="006B1173" w:rsidP="002D0D3F">
            <w:pPr>
              <w:rPr>
                <w:rFonts w:cstheme="minorHAnsi"/>
              </w:rPr>
            </w:pPr>
            <w:r w:rsidRPr="00F17503">
              <w:rPr>
                <w:rFonts w:cstheme="minorHAnsi"/>
              </w:rPr>
              <w:t>Choline</w:t>
            </w:r>
          </w:p>
        </w:tc>
        <w:tc>
          <w:tcPr>
            <w:tcW w:w="2160" w:type="dxa"/>
            <w:noWrap/>
            <w:vAlign w:val="center"/>
            <w:hideMark/>
          </w:tcPr>
          <w:p w14:paraId="240D2CF5" w14:textId="77777777" w:rsidR="006B1173" w:rsidRPr="00F17503" w:rsidRDefault="006B1173" w:rsidP="002D0D3F">
            <w:pPr>
              <w:rPr>
                <w:rFonts w:cstheme="minorHAnsi"/>
              </w:rPr>
            </w:pPr>
            <w:r w:rsidRPr="00F17503">
              <w:rPr>
                <w:rFonts w:cstheme="minorHAnsi"/>
              </w:rPr>
              <w:t>104.10&gt;60.15</w:t>
            </w:r>
          </w:p>
          <w:p w14:paraId="288272FF" w14:textId="77777777" w:rsidR="006B1173" w:rsidRPr="00F17503" w:rsidRDefault="006B1173" w:rsidP="002D0D3F">
            <w:pPr>
              <w:rPr>
                <w:rFonts w:cstheme="minorHAnsi"/>
              </w:rPr>
            </w:pPr>
            <w:r w:rsidRPr="00F17503">
              <w:rPr>
                <w:rFonts w:cstheme="minorHAnsi"/>
              </w:rPr>
              <w:t>104.10&gt;58.15</w:t>
            </w:r>
          </w:p>
        </w:tc>
      </w:tr>
      <w:tr w:rsidR="006B1173" w:rsidRPr="00F17503" w14:paraId="3EA6CE40" w14:textId="77777777" w:rsidTr="002D0D3F">
        <w:trPr>
          <w:trHeight w:val="290"/>
          <w:jc w:val="center"/>
        </w:trPr>
        <w:tc>
          <w:tcPr>
            <w:tcW w:w="1890" w:type="dxa"/>
            <w:noWrap/>
            <w:vAlign w:val="center"/>
            <w:hideMark/>
          </w:tcPr>
          <w:p w14:paraId="3693E631" w14:textId="77777777" w:rsidR="006B1173" w:rsidRPr="00F17503" w:rsidRDefault="006B1173" w:rsidP="002D0D3F">
            <w:pPr>
              <w:rPr>
                <w:rFonts w:cstheme="minorHAnsi"/>
              </w:rPr>
            </w:pPr>
            <w:r w:rsidRPr="00F17503">
              <w:rPr>
                <w:rFonts w:cstheme="minorHAnsi"/>
              </w:rPr>
              <w:t>Choline-d9</w:t>
            </w:r>
          </w:p>
        </w:tc>
        <w:tc>
          <w:tcPr>
            <w:tcW w:w="2160" w:type="dxa"/>
            <w:noWrap/>
            <w:vAlign w:val="center"/>
            <w:hideMark/>
          </w:tcPr>
          <w:p w14:paraId="62F2A5DD" w14:textId="77777777" w:rsidR="006B1173" w:rsidRPr="00F17503" w:rsidRDefault="006B1173" w:rsidP="002D0D3F">
            <w:pPr>
              <w:rPr>
                <w:rFonts w:cstheme="minorHAnsi"/>
              </w:rPr>
            </w:pPr>
            <w:r w:rsidRPr="00F17503">
              <w:rPr>
                <w:rFonts w:cstheme="minorHAnsi"/>
              </w:rPr>
              <w:t>113.25&gt;69.20</w:t>
            </w:r>
          </w:p>
          <w:p w14:paraId="11D1F4BE" w14:textId="77777777" w:rsidR="006B1173" w:rsidRPr="00F17503" w:rsidRDefault="006B1173" w:rsidP="002D0D3F">
            <w:pPr>
              <w:rPr>
                <w:rFonts w:cstheme="minorHAnsi"/>
              </w:rPr>
            </w:pPr>
            <w:r w:rsidRPr="00F17503">
              <w:rPr>
                <w:rFonts w:cstheme="minorHAnsi"/>
              </w:rPr>
              <w:t>113.25&gt;66.20</w:t>
            </w:r>
          </w:p>
        </w:tc>
      </w:tr>
      <w:tr w:rsidR="006B1173" w:rsidRPr="00F17503" w14:paraId="6D8ECA20" w14:textId="77777777" w:rsidTr="002D0D3F">
        <w:trPr>
          <w:trHeight w:val="290"/>
          <w:jc w:val="center"/>
        </w:trPr>
        <w:tc>
          <w:tcPr>
            <w:tcW w:w="1890" w:type="dxa"/>
            <w:noWrap/>
            <w:vAlign w:val="center"/>
            <w:hideMark/>
          </w:tcPr>
          <w:p w14:paraId="2043540E" w14:textId="77777777" w:rsidR="006B1173" w:rsidRPr="00F17503" w:rsidRDefault="006B1173" w:rsidP="002D0D3F">
            <w:pPr>
              <w:rPr>
                <w:rFonts w:cstheme="minorHAnsi"/>
              </w:rPr>
            </w:pPr>
            <w:r w:rsidRPr="00F17503">
              <w:rPr>
                <w:rFonts w:cstheme="minorHAnsi"/>
              </w:rPr>
              <w:t xml:space="preserve">Betaine </w:t>
            </w:r>
          </w:p>
        </w:tc>
        <w:tc>
          <w:tcPr>
            <w:tcW w:w="2160" w:type="dxa"/>
            <w:noWrap/>
            <w:vAlign w:val="center"/>
            <w:hideMark/>
          </w:tcPr>
          <w:p w14:paraId="51FC58A7" w14:textId="77777777" w:rsidR="006B1173" w:rsidRPr="00F17503" w:rsidRDefault="006B1173" w:rsidP="002D0D3F">
            <w:pPr>
              <w:rPr>
                <w:rFonts w:cstheme="minorHAnsi"/>
              </w:rPr>
            </w:pPr>
            <w:r w:rsidRPr="00F17503">
              <w:rPr>
                <w:rFonts w:cstheme="minorHAnsi"/>
              </w:rPr>
              <w:t>118.30&gt;58.10</w:t>
            </w:r>
          </w:p>
          <w:p w14:paraId="58E1E804" w14:textId="77777777" w:rsidR="006B1173" w:rsidRPr="00F17503" w:rsidRDefault="006B1173" w:rsidP="002D0D3F">
            <w:pPr>
              <w:rPr>
                <w:rFonts w:cstheme="minorHAnsi"/>
              </w:rPr>
            </w:pPr>
            <w:r w:rsidRPr="00F17503">
              <w:rPr>
                <w:rFonts w:cstheme="minorHAnsi"/>
              </w:rPr>
              <w:t>118.30&gt;59.15</w:t>
            </w:r>
          </w:p>
        </w:tc>
      </w:tr>
      <w:tr w:rsidR="006B1173" w:rsidRPr="00F17503" w14:paraId="6C208436" w14:textId="77777777" w:rsidTr="002D0D3F">
        <w:trPr>
          <w:trHeight w:val="290"/>
          <w:jc w:val="center"/>
        </w:trPr>
        <w:tc>
          <w:tcPr>
            <w:tcW w:w="1890" w:type="dxa"/>
            <w:vMerge w:val="restart"/>
            <w:noWrap/>
            <w:vAlign w:val="center"/>
            <w:hideMark/>
          </w:tcPr>
          <w:p w14:paraId="19ED2450" w14:textId="77777777" w:rsidR="006B1173" w:rsidRPr="00F17503" w:rsidRDefault="006B1173" w:rsidP="002D0D3F">
            <w:pPr>
              <w:rPr>
                <w:rFonts w:cstheme="minorHAnsi"/>
              </w:rPr>
            </w:pPr>
            <w:r w:rsidRPr="00F17503">
              <w:rPr>
                <w:rFonts w:cstheme="minorHAnsi"/>
              </w:rPr>
              <w:t>Betaine-d9</w:t>
            </w:r>
          </w:p>
        </w:tc>
        <w:tc>
          <w:tcPr>
            <w:tcW w:w="2160" w:type="dxa"/>
            <w:noWrap/>
            <w:vAlign w:val="center"/>
            <w:hideMark/>
          </w:tcPr>
          <w:p w14:paraId="3996E01D" w14:textId="77777777" w:rsidR="006B1173" w:rsidRPr="00F17503" w:rsidRDefault="006B1173" w:rsidP="002D0D3F">
            <w:pPr>
              <w:rPr>
                <w:rFonts w:cstheme="minorHAnsi"/>
              </w:rPr>
            </w:pPr>
            <w:r w:rsidRPr="00F17503">
              <w:rPr>
                <w:rFonts w:cstheme="minorHAnsi"/>
              </w:rPr>
              <w:t>127.15&gt;66.20</w:t>
            </w:r>
          </w:p>
        </w:tc>
      </w:tr>
      <w:tr w:rsidR="006B1173" w:rsidRPr="00F17503" w14:paraId="1AF6C107" w14:textId="77777777" w:rsidTr="002D0D3F">
        <w:trPr>
          <w:trHeight w:val="290"/>
          <w:jc w:val="center"/>
        </w:trPr>
        <w:tc>
          <w:tcPr>
            <w:tcW w:w="1890" w:type="dxa"/>
            <w:vMerge/>
            <w:noWrap/>
            <w:vAlign w:val="center"/>
            <w:hideMark/>
          </w:tcPr>
          <w:p w14:paraId="367CF6FE" w14:textId="77777777" w:rsidR="006B1173" w:rsidRPr="00F17503" w:rsidRDefault="006B1173" w:rsidP="002D0D3F">
            <w:pPr>
              <w:ind w:left="720"/>
              <w:rPr>
                <w:rFonts w:cstheme="minorHAnsi"/>
              </w:rPr>
            </w:pPr>
          </w:p>
        </w:tc>
        <w:tc>
          <w:tcPr>
            <w:tcW w:w="2160" w:type="dxa"/>
            <w:noWrap/>
            <w:vAlign w:val="center"/>
            <w:hideMark/>
          </w:tcPr>
          <w:p w14:paraId="731C2CFC" w14:textId="77777777" w:rsidR="006B1173" w:rsidRPr="00F17503" w:rsidRDefault="006B1173" w:rsidP="002D0D3F">
            <w:pPr>
              <w:rPr>
                <w:rFonts w:cstheme="minorHAnsi"/>
              </w:rPr>
            </w:pPr>
            <w:r w:rsidRPr="00F17503">
              <w:rPr>
                <w:rFonts w:cstheme="minorHAnsi"/>
              </w:rPr>
              <w:t>127.15&gt;68.20</w:t>
            </w:r>
          </w:p>
        </w:tc>
      </w:tr>
    </w:tbl>
    <w:p w14:paraId="0757D83A" w14:textId="77777777" w:rsidR="006B1173" w:rsidRPr="00F17503" w:rsidRDefault="006B1173" w:rsidP="006B1173">
      <w:pPr>
        <w:spacing w:after="0" w:line="240" w:lineRule="auto"/>
        <w:ind w:left="2160"/>
        <w:rPr>
          <w:rFonts w:cstheme="minorHAnsi"/>
          <w:sz w:val="20"/>
          <w:szCs w:val="20"/>
        </w:rPr>
      </w:pPr>
      <w:r w:rsidRPr="00F17503">
        <w:rPr>
          <w:rFonts w:cstheme="minorHAnsi"/>
          <w:sz w:val="20"/>
          <w:szCs w:val="20"/>
        </w:rPr>
        <w:t>Legend: m/z – mass to charge ratio</w:t>
      </w:r>
    </w:p>
    <w:p w14:paraId="500EE2C4" w14:textId="74698D5B" w:rsidR="006B1173" w:rsidRDefault="006B1173" w:rsidP="00101BCD">
      <w:pPr>
        <w:pStyle w:val="MDPI41tablecaption"/>
        <w:spacing w:after="0"/>
        <w:ind w:left="0"/>
        <w:rPr>
          <w:rFonts w:ascii="Times New Roman" w:hAnsi="Times New Roman" w:cs="Times New Roman"/>
          <w:b/>
          <w:sz w:val="22"/>
        </w:rPr>
      </w:pPr>
    </w:p>
    <w:p w14:paraId="1060DC1D" w14:textId="6EE90858" w:rsidR="00AD4236" w:rsidRDefault="00AD4236" w:rsidP="00101BCD">
      <w:pPr>
        <w:pStyle w:val="MDPI41tablecaption"/>
        <w:spacing w:after="0"/>
        <w:ind w:left="0"/>
        <w:rPr>
          <w:rFonts w:ascii="Times New Roman" w:hAnsi="Times New Roman" w:cs="Times New Roman"/>
          <w:b/>
          <w:sz w:val="22"/>
        </w:rPr>
      </w:pPr>
    </w:p>
    <w:p w14:paraId="7CF20091" w14:textId="6B0CAA64" w:rsidR="00AD4236" w:rsidRDefault="00AD4236" w:rsidP="00101BCD">
      <w:pPr>
        <w:pStyle w:val="MDPI41tablecaption"/>
        <w:spacing w:after="0"/>
        <w:ind w:left="0"/>
        <w:rPr>
          <w:rFonts w:ascii="Times New Roman" w:hAnsi="Times New Roman" w:cs="Times New Roman"/>
          <w:b/>
          <w:sz w:val="22"/>
        </w:rPr>
      </w:pPr>
    </w:p>
    <w:p w14:paraId="5FF1B7EF" w14:textId="108A6D79" w:rsidR="00AD4236" w:rsidRDefault="00247F12" w:rsidP="00101BCD">
      <w:pPr>
        <w:pStyle w:val="MDPI41tablecaption"/>
        <w:spacing w:after="0"/>
        <w:ind w:left="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Table S2. Number of children in each age group </w:t>
      </w:r>
    </w:p>
    <w:tbl>
      <w:tblPr>
        <w:tblW w:w="492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735"/>
        <w:gridCol w:w="1009"/>
        <w:gridCol w:w="1009"/>
        <w:gridCol w:w="1009"/>
      </w:tblGrid>
      <w:tr w:rsidR="00247F12" w:rsidRPr="00F61520" w14:paraId="48202140" w14:textId="77777777" w:rsidTr="00772176">
        <w:trPr>
          <w:cantSplit/>
        </w:trPr>
        <w:tc>
          <w:tcPr>
            <w:tcW w:w="189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DB39496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27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D581B67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GENDER</w:t>
            </w:r>
          </w:p>
        </w:tc>
      </w:tr>
      <w:tr w:rsidR="00247F12" w:rsidRPr="00F61520" w14:paraId="63AE3EF4" w14:textId="77777777" w:rsidTr="00772176">
        <w:trPr>
          <w:cantSplit/>
        </w:trPr>
        <w:tc>
          <w:tcPr>
            <w:tcW w:w="189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3A85E22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tcBorders>
              <w:left w:val="single" w:sz="16" w:space="0" w:color="000000"/>
            </w:tcBorders>
            <w:shd w:val="clear" w:color="auto" w:fill="FFFFFF"/>
          </w:tcPr>
          <w:p w14:paraId="3D2FF593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Boys</w:t>
            </w:r>
          </w:p>
        </w:tc>
        <w:tc>
          <w:tcPr>
            <w:tcW w:w="1009" w:type="dxa"/>
            <w:shd w:val="clear" w:color="auto" w:fill="FFFFFF"/>
          </w:tcPr>
          <w:p w14:paraId="73ECDD38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Girls</w:t>
            </w:r>
          </w:p>
        </w:tc>
        <w:tc>
          <w:tcPr>
            <w:tcW w:w="1009" w:type="dxa"/>
            <w:tcBorders>
              <w:right w:val="single" w:sz="16" w:space="0" w:color="000000"/>
            </w:tcBorders>
            <w:shd w:val="clear" w:color="auto" w:fill="FFFFFF"/>
          </w:tcPr>
          <w:p w14:paraId="60EF9EDC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</w:tr>
      <w:tr w:rsidR="00247F12" w:rsidRPr="00F61520" w14:paraId="267BDF8D" w14:textId="77777777" w:rsidTr="00772176">
        <w:trPr>
          <w:cantSplit/>
        </w:trPr>
        <w:tc>
          <w:tcPr>
            <w:tcW w:w="189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EB1F919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CAE017B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14:paraId="3A7BBDE0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0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8300D52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</w:tr>
      <w:tr w:rsidR="00247F12" w:rsidRPr="00F61520" w14:paraId="3CFCA9FE" w14:textId="77777777" w:rsidTr="00772176">
        <w:trPr>
          <w:cantSplit/>
        </w:trPr>
        <w:tc>
          <w:tcPr>
            <w:tcW w:w="116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93BF91D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Age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D0C606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40498AA7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0590487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20FA368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247F12" w:rsidRPr="00F61520" w14:paraId="4F2144B9" w14:textId="77777777" w:rsidTr="00772176">
        <w:trPr>
          <w:cantSplit/>
        </w:trPr>
        <w:tc>
          <w:tcPr>
            <w:tcW w:w="11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4124D9D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385FCC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6BFCDD4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47482B1C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6AABCFF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</w:t>
            </w:r>
          </w:p>
        </w:tc>
      </w:tr>
      <w:tr w:rsidR="00247F12" w:rsidRPr="00F61520" w14:paraId="4A2EA916" w14:textId="77777777" w:rsidTr="00772176">
        <w:trPr>
          <w:cantSplit/>
        </w:trPr>
        <w:tc>
          <w:tcPr>
            <w:tcW w:w="11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A564EFD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211B52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D2209B5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2DDB3467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D76307A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</w:t>
            </w:r>
          </w:p>
        </w:tc>
      </w:tr>
      <w:tr w:rsidR="00247F12" w:rsidRPr="00F61520" w14:paraId="7E87AC17" w14:textId="77777777" w:rsidTr="00772176">
        <w:trPr>
          <w:cantSplit/>
        </w:trPr>
        <w:tc>
          <w:tcPr>
            <w:tcW w:w="11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B1998FD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0F269C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048FC87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0B0C6FF5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72FC439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</w:t>
            </w:r>
          </w:p>
        </w:tc>
      </w:tr>
      <w:tr w:rsidR="00247F12" w:rsidRPr="00F61520" w14:paraId="4CCB024E" w14:textId="77777777" w:rsidTr="00772176">
        <w:trPr>
          <w:cantSplit/>
        </w:trPr>
        <w:tc>
          <w:tcPr>
            <w:tcW w:w="11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5E1E6EB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6482E3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8FE1D2D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57B2119A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55A1B02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18</w:t>
            </w:r>
          </w:p>
        </w:tc>
      </w:tr>
      <w:tr w:rsidR="00247F12" w:rsidRPr="00F61520" w14:paraId="6F476DA9" w14:textId="77777777" w:rsidTr="00772176">
        <w:trPr>
          <w:cantSplit/>
        </w:trPr>
        <w:tc>
          <w:tcPr>
            <w:tcW w:w="11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324375D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6CBA22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92D91E7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744325CE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F0E3656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</w:t>
            </w:r>
          </w:p>
        </w:tc>
      </w:tr>
      <w:tr w:rsidR="00247F12" w:rsidRPr="00F61520" w14:paraId="5B10E957" w14:textId="77777777" w:rsidTr="00772176">
        <w:trPr>
          <w:cantSplit/>
        </w:trPr>
        <w:tc>
          <w:tcPr>
            <w:tcW w:w="11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246E63B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FB2666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1FCDD0B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5CB89522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03E24A7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18</w:t>
            </w:r>
          </w:p>
        </w:tc>
      </w:tr>
      <w:tr w:rsidR="00247F12" w:rsidRPr="00F61520" w14:paraId="539AB200" w14:textId="77777777" w:rsidTr="00772176">
        <w:trPr>
          <w:cantSplit/>
        </w:trPr>
        <w:tc>
          <w:tcPr>
            <w:tcW w:w="11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2D4A42B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AADF3D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042E3EE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712EE0D9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E74D84C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247F12" w:rsidRPr="00F61520" w14:paraId="596635B9" w14:textId="77777777" w:rsidTr="00772176">
        <w:trPr>
          <w:cantSplit/>
        </w:trPr>
        <w:tc>
          <w:tcPr>
            <w:tcW w:w="11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0AB9465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68E433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0073598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1F9FE37C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3E6D42A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247F12" w:rsidRPr="00F61520" w14:paraId="0D23B443" w14:textId="77777777" w:rsidTr="00772176">
        <w:trPr>
          <w:cantSplit/>
        </w:trPr>
        <w:tc>
          <w:tcPr>
            <w:tcW w:w="11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127CFED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608925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57A2650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5A1C84AE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31AFB34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</w:t>
            </w:r>
          </w:p>
        </w:tc>
      </w:tr>
      <w:tr w:rsidR="00247F12" w:rsidRPr="00F61520" w14:paraId="26794482" w14:textId="77777777" w:rsidTr="00772176">
        <w:trPr>
          <w:cantSplit/>
        </w:trPr>
        <w:tc>
          <w:tcPr>
            <w:tcW w:w="11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DC734EC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461F9E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337E116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41C31063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358887E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247F12" w:rsidRPr="00F61520" w14:paraId="188A1C33" w14:textId="77777777" w:rsidTr="00772176">
        <w:trPr>
          <w:cantSplit/>
        </w:trPr>
        <w:tc>
          <w:tcPr>
            <w:tcW w:w="11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545F716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824C1E3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52EF276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5188045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7FDA405" w14:textId="77777777" w:rsidR="00247F12" w:rsidRPr="00F61520" w:rsidRDefault="00247F12" w:rsidP="0077217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6152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</w:tr>
    </w:tbl>
    <w:p w14:paraId="6239C7D1" w14:textId="77777777" w:rsidR="00247F12" w:rsidRDefault="00247F12" w:rsidP="00101BCD">
      <w:pPr>
        <w:pStyle w:val="MDPI41tablecaption"/>
        <w:spacing w:after="0"/>
        <w:ind w:left="0"/>
        <w:rPr>
          <w:rFonts w:ascii="Times New Roman" w:hAnsi="Times New Roman" w:cs="Times New Roman"/>
          <w:b/>
          <w:sz w:val="22"/>
        </w:rPr>
      </w:pPr>
    </w:p>
    <w:p w14:paraId="0B940727" w14:textId="48E30C4E" w:rsidR="00AD4236" w:rsidRDefault="00AD4236" w:rsidP="00101BCD">
      <w:pPr>
        <w:pStyle w:val="MDPI41tablecaption"/>
        <w:spacing w:after="0"/>
        <w:ind w:left="0"/>
        <w:rPr>
          <w:rFonts w:ascii="Times New Roman" w:hAnsi="Times New Roman" w:cs="Times New Roman"/>
          <w:b/>
          <w:sz w:val="22"/>
        </w:rPr>
      </w:pPr>
    </w:p>
    <w:p w14:paraId="288C2866" w14:textId="23F69CE2" w:rsidR="00AD4236" w:rsidRDefault="00AD4236" w:rsidP="00101BCD">
      <w:pPr>
        <w:pStyle w:val="MDPI41tablecaption"/>
        <w:spacing w:after="0"/>
        <w:ind w:left="0"/>
        <w:rPr>
          <w:rFonts w:ascii="Times New Roman" w:hAnsi="Times New Roman" w:cs="Times New Roman"/>
          <w:b/>
          <w:sz w:val="22"/>
        </w:rPr>
      </w:pPr>
    </w:p>
    <w:p w14:paraId="46ED5D0C" w14:textId="1B177220" w:rsidR="00AD4236" w:rsidRDefault="00AD4236" w:rsidP="00101BCD">
      <w:pPr>
        <w:pStyle w:val="MDPI41tablecaption"/>
        <w:spacing w:after="0"/>
        <w:ind w:left="0"/>
        <w:rPr>
          <w:rFonts w:ascii="Times New Roman" w:hAnsi="Times New Roman" w:cs="Times New Roman"/>
          <w:b/>
          <w:sz w:val="22"/>
        </w:rPr>
      </w:pPr>
    </w:p>
    <w:p w14:paraId="6D81E427" w14:textId="2B1AA4A7" w:rsidR="00AD4236" w:rsidRDefault="00AD4236" w:rsidP="00101BCD">
      <w:pPr>
        <w:pStyle w:val="MDPI41tablecaption"/>
        <w:spacing w:after="0"/>
        <w:ind w:left="0"/>
        <w:rPr>
          <w:rFonts w:ascii="Times New Roman" w:hAnsi="Times New Roman" w:cs="Times New Roman"/>
          <w:b/>
          <w:sz w:val="22"/>
        </w:rPr>
      </w:pPr>
    </w:p>
    <w:p w14:paraId="382B7781" w14:textId="76946BB9" w:rsidR="00AD4236" w:rsidRDefault="00AD4236" w:rsidP="00101BCD">
      <w:pPr>
        <w:pStyle w:val="MDPI41tablecaption"/>
        <w:spacing w:after="0"/>
        <w:ind w:left="0"/>
        <w:rPr>
          <w:rFonts w:ascii="Times New Roman" w:hAnsi="Times New Roman" w:cs="Times New Roman"/>
          <w:b/>
          <w:sz w:val="22"/>
        </w:rPr>
      </w:pPr>
    </w:p>
    <w:p w14:paraId="36F58C92" w14:textId="051E9A54" w:rsidR="00AD4236" w:rsidRDefault="00AD4236" w:rsidP="00101BCD">
      <w:pPr>
        <w:pStyle w:val="MDPI41tablecaption"/>
        <w:spacing w:after="0"/>
        <w:ind w:left="0"/>
        <w:rPr>
          <w:rFonts w:ascii="Times New Roman" w:hAnsi="Times New Roman" w:cs="Times New Roman"/>
          <w:b/>
          <w:sz w:val="22"/>
        </w:rPr>
      </w:pPr>
    </w:p>
    <w:p w14:paraId="02134177" w14:textId="37C32781" w:rsidR="00AD4236" w:rsidRDefault="00AD4236" w:rsidP="00101BCD">
      <w:pPr>
        <w:pStyle w:val="MDPI41tablecaption"/>
        <w:spacing w:after="0"/>
        <w:ind w:left="0"/>
        <w:rPr>
          <w:rFonts w:ascii="Times New Roman" w:hAnsi="Times New Roman" w:cs="Times New Roman"/>
          <w:b/>
          <w:sz w:val="22"/>
        </w:rPr>
      </w:pPr>
    </w:p>
    <w:p w14:paraId="7E0AF41F" w14:textId="054438FC" w:rsidR="00AD4236" w:rsidRDefault="00AD4236" w:rsidP="00101BCD">
      <w:pPr>
        <w:pStyle w:val="MDPI41tablecaption"/>
        <w:spacing w:after="0"/>
        <w:ind w:left="0"/>
        <w:rPr>
          <w:rFonts w:ascii="Times New Roman" w:hAnsi="Times New Roman" w:cs="Times New Roman"/>
          <w:b/>
          <w:sz w:val="22"/>
        </w:rPr>
      </w:pPr>
    </w:p>
    <w:p w14:paraId="254AC86E" w14:textId="77777777" w:rsidR="00AD4236" w:rsidRDefault="00AD4236" w:rsidP="00101BCD">
      <w:pPr>
        <w:pStyle w:val="MDPI41tablecaption"/>
        <w:spacing w:after="0"/>
        <w:ind w:left="0"/>
        <w:rPr>
          <w:rFonts w:ascii="Times New Roman" w:hAnsi="Times New Roman" w:cs="Times New Roman"/>
          <w:b/>
          <w:sz w:val="22"/>
        </w:rPr>
      </w:pPr>
    </w:p>
    <w:p w14:paraId="661E4DCC" w14:textId="45965557" w:rsidR="00101BCD" w:rsidRPr="00CE159A" w:rsidRDefault="00101BCD" w:rsidP="00101BCD">
      <w:pPr>
        <w:pStyle w:val="MDPI41tablecaption"/>
        <w:spacing w:after="0"/>
        <w:ind w:left="0"/>
        <w:rPr>
          <w:rFonts w:ascii="Times New Roman" w:hAnsi="Times New Roman" w:cs="Times New Roman"/>
          <w:sz w:val="22"/>
        </w:rPr>
      </w:pPr>
      <w:r w:rsidRPr="00CE159A">
        <w:rPr>
          <w:rFonts w:ascii="Times New Roman" w:hAnsi="Times New Roman" w:cs="Times New Roman"/>
          <w:b/>
          <w:sz w:val="22"/>
        </w:rPr>
        <w:t xml:space="preserve">Table </w:t>
      </w:r>
      <w:r w:rsidR="00FF0109" w:rsidRPr="00CE159A">
        <w:rPr>
          <w:rFonts w:ascii="Times New Roman" w:hAnsi="Times New Roman" w:cs="Times New Roman"/>
          <w:b/>
          <w:sz w:val="22"/>
        </w:rPr>
        <w:t>S</w:t>
      </w:r>
      <w:r w:rsidR="00FF0109">
        <w:rPr>
          <w:rFonts w:ascii="Times New Roman" w:hAnsi="Times New Roman" w:cs="Times New Roman"/>
          <w:b/>
          <w:sz w:val="22"/>
        </w:rPr>
        <w:t>3</w:t>
      </w:r>
      <w:r w:rsidRPr="00CE159A">
        <w:rPr>
          <w:rFonts w:ascii="Times New Roman" w:hAnsi="Times New Roman" w:cs="Times New Roman"/>
          <w:b/>
          <w:sz w:val="22"/>
        </w:rPr>
        <w:t xml:space="preserve">. </w:t>
      </w:r>
      <w:r w:rsidRPr="00CE159A">
        <w:rPr>
          <w:rFonts w:ascii="Times New Roman" w:hAnsi="Times New Roman" w:cs="Times New Roman"/>
          <w:sz w:val="22"/>
        </w:rPr>
        <w:t>The frequencies of 52 single nucleotide polymorphisms studied within 153 subjects.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60"/>
        <w:gridCol w:w="3330"/>
        <w:gridCol w:w="1500"/>
        <w:gridCol w:w="870"/>
        <w:gridCol w:w="855"/>
        <w:gridCol w:w="840"/>
      </w:tblGrid>
      <w:tr w:rsidR="00101BCD" w:rsidRPr="00A01B51" w14:paraId="5EDCBA18" w14:textId="77777777" w:rsidTr="00FE3A2C">
        <w:trPr>
          <w:jc w:val="center"/>
        </w:trPr>
        <w:tc>
          <w:tcPr>
            <w:tcW w:w="1260" w:type="dxa"/>
            <w:hideMark/>
          </w:tcPr>
          <w:p w14:paraId="339B67B9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Gene</w:t>
            </w:r>
          </w:p>
        </w:tc>
        <w:tc>
          <w:tcPr>
            <w:tcW w:w="3330" w:type="dxa"/>
            <w:hideMark/>
          </w:tcPr>
          <w:p w14:paraId="6BE6EB29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Rs </w:t>
            </w:r>
            <w:proofErr w:type="spellStart"/>
            <w:r w:rsidRPr="00A01B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Chr</w:t>
            </w:r>
            <w:proofErr w:type="spellEnd"/>
            <w:r w:rsidRPr="00A01B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Position GRCh37</w:t>
            </w:r>
          </w:p>
        </w:tc>
        <w:tc>
          <w:tcPr>
            <w:tcW w:w="1500" w:type="dxa"/>
            <w:hideMark/>
          </w:tcPr>
          <w:p w14:paraId="14D884A0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AA/AB/BB</w:t>
            </w:r>
          </w:p>
        </w:tc>
        <w:tc>
          <w:tcPr>
            <w:tcW w:w="870" w:type="dxa"/>
            <w:hideMark/>
          </w:tcPr>
          <w:p w14:paraId="5164A3FF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AA%</w:t>
            </w:r>
          </w:p>
        </w:tc>
        <w:tc>
          <w:tcPr>
            <w:tcW w:w="855" w:type="dxa"/>
            <w:hideMark/>
          </w:tcPr>
          <w:p w14:paraId="1CF45E7B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AB%</w:t>
            </w:r>
          </w:p>
        </w:tc>
        <w:tc>
          <w:tcPr>
            <w:tcW w:w="840" w:type="dxa"/>
            <w:hideMark/>
          </w:tcPr>
          <w:p w14:paraId="65D95D4A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BB%</w:t>
            </w:r>
          </w:p>
        </w:tc>
      </w:tr>
      <w:tr w:rsidR="00101BCD" w:rsidRPr="00A01B51" w14:paraId="33F790A7" w14:textId="77777777" w:rsidTr="00FE3A2C">
        <w:trPr>
          <w:jc w:val="center"/>
        </w:trPr>
        <w:tc>
          <w:tcPr>
            <w:tcW w:w="1260" w:type="dxa"/>
            <w:vMerge w:val="restart"/>
            <w:hideMark/>
          </w:tcPr>
          <w:p w14:paraId="54DC1F3B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/>
              </w:rPr>
              <w:t>ABCB4</w:t>
            </w:r>
          </w:p>
          <w:p w14:paraId="1BA70595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718DF539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rs1149222 chr7:87073775</w:t>
            </w:r>
          </w:p>
        </w:tc>
        <w:tc>
          <w:tcPr>
            <w:tcW w:w="1500" w:type="dxa"/>
            <w:hideMark/>
          </w:tcPr>
          <w:p w14:paraId="6E059293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GG/GT/TT</w:t>
            </w:r>
          </w:p>
        </w:tc>
        <w:tc>
          <w:tcPr>
            <w:tcW w:w="870" w:type="dxa"/>
          </w:tcPr>
          <w:p w14:paraId="66D50FCE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855" w:type="dxa"/>
          </w:tcPr>
          <w:p w14:paraId="16CC3C29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25.5</w:t>
            </w:r>
          </w:p>
        </w:tc>
        <w:tc>
          <w:tcPr>
            <w:tcW w:w="840" w:type="dxa"/>
          </w:tcPr>
          <w:p w14:paraId="342CC112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72.5</w:t>
            </w:r>
          </w:p>
        </w:tc>
      </w:tr>
      <w:tr w:rsidR="00101BCD" w:rsidRPr="00A01B51" w14:paraId="01D118BE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3B752A97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18EFA71E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rs2071645 chr7:87105276</w:t>
            </w:r>
          </w:p>
        </w:tc>
        <w:tc>
          <w:tcPr>
            <w:tcW w:w="1500" w:type="dxa"/>
            <w:hideMark/>
          </w:tcPr>
          <w:p w14:paraId="3CEAEF95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GG/GC/CC</w:t>
            </w:r>
          </w:p>
        </w:tc>
        <w:tc>
          <w:tcPr>
            <w:tcW w:w="870" w:type="dxa"/>
          </w:tcPr>
          <w:p w14:paraId="1BF5FE20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74.0</w:t>
            </w:r>
          </w:p>
        </w:tc>
        <w:tc>
          <w:tcPr>
            <w:tcW w:w="855" w:type="dxa"/>
          </w:tcPr>
          <w:p w14:paraId="4722C0AE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840" w:type="dxa"/>
          </w:tcPr>
          <w:p w14:paraId="1B46AFC0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</w:tr>
      <w:tr w:rsidR="00101BCD" w:rsidRPr="00A01B51" w14:paraId="53F8289A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4DAEE925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4A330C28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rs31672 chr7:87059699</w:t>
            </w:r>
          </w:p>
        </w:tc>
        <w:tc>
          <w:tcPr>
            <w:tcW w:w="1500" w:type="dxa"/>
            <w:hideMark/>
          </w:tcPr>
          <w:p w14:paraId="2366319A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CC/CT/TT</w:t>
            </w:r>
          </w:p>
        </w:tc>
        <w:tc>
          <w:tcPr>
            <w:tcW w:w="870" w:type="dxa"/>
          </w:tcPr>
          <w:p w14:paraId="228996F9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855" w:type="dxa"/>
          </w:tcPr>
          <w:p w14:paraId="13718083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30.7</w:t>
            </w:r>
          </w:p>
        </w:tc>
        <w:tc>
          <w:tcPr>
            <w:tcW w:w="840" w:type="dxa"/>
          </w:tcPr>
          <w:p w14:paraId="045BE1F5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67.3</w:t>
            </w:r>
          </w:p>
        </w:tc>
      </w:tr>
      <w:tr w:rsidR="00101BCD" w:rsidRPr="00A01B51" w14:paraId="27E58158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723A896A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4AB68FCF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rs4148811 chr7:87101486</w:t>
            </w:r>
          </w:p>
        </w:tc>
        <w:tc>
          <w:tcPr>
            <w:tcW w:w="1500" w:type="dxa"/>
            <w:hideMark/>
          </w:tcPr>
          <w:p w14:paraId="58B7CC0B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TT/TG/GG</w:t>
            </w:r>
          </w:p>
        </w:tc>
        <w:tc>
          <w:tcPr>
            <w:tcW w:w="870" w:type="dxa"/>
          </w:tcPr>
          <w:p w14:paraId="1E1BA5A7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74.5</w:t>
            </w:r>
          </w:p>
        </w:tc>
        <w:tc>
          <w:tcPr>
            <w:tcW w:w="855" w:type="dxa"/>
          </w:tcPr>
          <w:p w14:paraId="25AEC179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23.5</w:t>
            </w:r>
          </w:p>
        </w:tc>
        <w:tc>
          <w:tcPr>
            <w:tcW w:w="840" w:type="dxa"/>
          </w:tcPr>
          <w:p w14:paraId="3C411593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</w:t>
            </w:r>
          </w:p>
        </w:tc>
      </w:tr>
      <w:tr w:rsidR="00101BCD" w:rsidRPr="00A01B51" w14:paraId="7B3EA327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2A9FD7C0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51249EDD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rs9655950 chr7:87033561</w:t>
            </w:r>
          </w:p>
        </w:tc>
        <w:tc>
          <w:tcPr>
            <w:tcW w:w="1500" w:type="dxa"/>
            <w:hideMark/>
          </w:tcPr>
          <w:p w14:paraId="04EF7462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CC/CT/TT</w:t>
            </w:r>
          </w:p>
        </w:tc>
        <w:tc>
          <w:tcPr>
            <w:tcW w:w="870" w:type="dxa"/>
          </w:tcPr>
          <w:p w14:paraId="71507CE2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855" w:type="dxa"/>
          </w:tcPr>
          <w:p w14:paraId="37D3ED87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28.8</w:t>
            </w:r>
          </w:p>
        </w:tc>
        <w:tc>
          <w:tcPr>
            <w:tcW w:w="840" w:type="dxa"/>
          </w:tcPr>
          <w:p w14:paraId="584C1E98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70.6</w:t>
            </w:r>
          </w:p>
        </w:tc>
      </w:tr>
      <w:tr w:rsidR="00101BCD" w:rsidRPr="00A01B51" w14:paraId="5AE1DD99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2D060BA0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5BF8C7B9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rs1202283 chr7:87082292</w:t>
            </w:r>
          </w:p>
        </w:tc>
        <w:tc>
          <w:tcPr>
            <w:tcW w:w="1500" w:type="dxa"/>
            <w:hideMark/>
          </w:tcPr>
          <w:p w14:paraId="7212F2CC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GG/GA/AA</w:t>
            </w:r>
          </w:p>
        </w:tc>
        <w:tc>
          <w:tcPr>
            <w:tcW w:w="870" w:type="dxa"/>
          </w:tcPr>
          <w:p w14:paraId="5BF98035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855" w:type="dxa"/>
          </w:tcPr>
          <w:p w14:paraId="0DB85416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50.3</w:t>
            </w:r>
          </w:p>
        </w:tc>
        <w:tc>
          <w:tcPr>
            <w:tcW w:w="840" w:type="dxa"/>
          </w:tcPr>
          <w:p w14:paraId="737E99DE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35.3</w:t>
            </w:r>
          </w:p>
        </w:tc>
      </w:tr>
      <w:tr w:rsidR="00101BCD" w:rsidRPr="00A01B51" w14:paraId="7BD5D898" w14:textId="77777777" w:rsidTr="00FE3A2C">
        <w:trPr>
          <w:jc w:val="center"/>
        </w:trPr>
        <w:tc>
          <w:tcPr>
            <w:tcW w:w="1260" w:type="dxa"/>
            <w:hideMark/>
          </w:tcPr>
          <w:p w14:paraId="25FF0B7A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/>
              </w:rPr>
              <w:t>APOC3</w:t>
            </w:r>
          </w:p>
        </w:tc>
        <w:tc>
          <w:tcPr>
            <w:tcW w:w="3330" w:type="dxa"/>
            <w:hideMark/>
          </w:tcPr>
          <w:p w14:paraId="44681971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rs2854117 chr11:116700142</w:t>
            </w:r>
          </w:p>
        </w:tc>
        <w:tc>
          <w:tcPr>
            <w:tcW w:w="1500" w:type="dxa"/>
            <w:hideMark/>
          </w:tcPr>
          <w:p w14:paraId="68A4E0E3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TT/TC/CC</w:t>
            </w:r>
          </w:p>
        </w:tc>
        <w:tc>
          <w:tcPr>
            <w:tcW w:w="870" w:type="dxa"/>
          </w:tcPr>
          <w:p w14:paraId="18544054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855" w:type="dxa"/>
          </w:tcPr>
          <w:p w14:paraId="7334A483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44.4</w:t>
            </w:r>
          </w:p>
        </w:tc>
        <w:tc>
          <w:tcPr>
            <w:tcW w:w="840" w:type="dxa"/>
          </w:tcPr>
          <w:p w14:paraId="4598392A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46.4</w:t>
            </w:r>
          </w:p>
        </w:tc>
      </w:tr>
      <w:tr w:rsidR="00101BCD" w:rsidRPr="00A01B51" w14:paraId="5CF61482" w14:textId="77777777" w:rsidTr="00FE3A2C">
        <w:trPr>
          <w:jc w:val="center"/>
        </w:trPr>
        <w:tc>
          <w:tcPr>
            <w:tcW w:w="1260" w:type="dxa"/>
            <w:vMerge w:val="restart"/>
            <w:hideMark/>
          </w:tcPr>
          <w:p w14:paraId="55E34557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/>
              </w:rPr>
              <w:t>CHDH</w:t>
            </w:r>
          </w:p>
          <w:p w14:paraId="0AE7F9D8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006881C7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rs12676 chr3:53857803</w:t>
            </w:r>
          </w:p>
        </w:tc>
        <w:tc>
          <w:tcPr>
            <w:tcW w:w="1500" w:type="dxa"/>
            <w:hideMark/>
          </w:tcPr>
          <w:p w14:paraId="44476C82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AA/AC/CC</w:t>
            </w:r>
          </w:p>
        </w:tc>
        <w:tc>
          <w:tcPr>
            <w:tcW w:w="870" w:type="dxa"/>
          </w:tcPr>
          <w:p w14:paraId="031AA06E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55" w:type="dxa"/>
          </w:tcPr>
          <w:p w14:paraId="2F895EB9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41.8</w:t>
            </w:r>
          </w:p>
        </w:tc>
        <w:tc>
          <w:tcPr>
            <w:tcW w:w="840" w:type="dxa"/>
          </w:tcPr>
          <w:p w14:paraId="4403B2FB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47.1</w:t>
            </w:r>
          </w:p>
        </w:tc>
      </w:tr>
      <w:tr w:rsidR="00101BCD" w:rsidRPr="00A01B51" w14:paraId="701ACEAF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677DAA72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5B00D4D8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rs2289209 chr3:53852835</w:t>
            </w:r>
          </w:p>
        </w:tc>
        <w:tc>
          <w:tcPr>
            <w:tcW w:w="1500" w:type="dxa"/>
            <w:hideMark/>
          </w:tcPr>
          <w:p w14:paraId="49F23EDB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CC/CT/TT</w:t>
            </w:r>
          </w:p>
        </w:tc>
        <w:tc>
          <w:tcPr>
            <w:tcW w:w="870" w:type="dxa"/>
          </w:tcPr>
          <w:p w14:paraId="6D622FF9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88.9</w:t>
            </w:r>
          </w:p>
        </w:tc>
        <w:tc>
          <w:tcPr>
            <w:tcW w:w="855" w:type="dxa"/>
          </w:tcPr>
          <w:p w14:paraId="6AD74A2E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40" w:type="dxa"/>
          </w:tcPr>
          <w:p w14:paraId="6045C81C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01BCD" w:rsidRPr="00A01B51" w14:paraId="270D46FB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4F77FAB9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48DA5B74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rs4563403 chr3:53850814</w:t>
            </w:r>
          </w:p>
        </w:tc>
        <w:tc>
          <w:tcPr>
            <w:tcW w:w="1500" w:type="dxa"/>
            <w:hideMark/>
          </w:tcPr>
          <w:p w14:paraId="7BF35F95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CC/CT/TT</w:t>
            </w:r>
          </w:p>
        </w:tc>
        <w:tc>
          <w:tcPr>
            <w:tcW w:w="870" w:type="dxa"/>
          </w:tcPr>
          <w:p w14:paraId="42A6CD4A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79.1</w:t>
            </w:r>
          </w:p>
        </w:tc>
        <w:tc>
          <w:tcPr>
            <w:tcW w:w="855" w:type="dxa"/>
          </w:tcPr>
          <w:p w14:paraId="141E7AF5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20.9</w:t>
            </w:r>
          </w:p>
        </w:tc>
        <w:tc>
          <w:tcPr>
            <w:tcW w:w="840" w:type="dxa"/>
          </w:tcPr>
          <w:p w14:paraId="705FD222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01BCD" w:rsidRPr="00A01B51" w14:paraId="48FF4182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4368E2ED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29D66C79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rs4687591 chr3:53864407</w:t>
            </w:r>
          </w:p>
        </w:tc>
        <w:tc>
          <w:tcPr>
            <w:tcW w:w="1500" w:type="dxa"/>
            <w:hideMark/>
          </w:tcPr>
          <w:p w14:paraId="220C37A6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AA/AG/GG</w:t>
            </w:r>
          </w:p>
        </w:tc>
        <w:tc>
          <w:tcPr>
            <w:tcW w:w="870" w:type="dxa"/>
          </w:tcPr>
          <w:p w14:paraId="49BF9F0A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86.8</w:t>
            </w:r>
          </w:p>
        </w:tc>
        <w:tc>
          <w:tcPr>
            <w:tcW w:w="855" w:type="dxa"/>
          </w:tcPr>
          <w:p w14:paraId="57452443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40" w:type="dxa"/>
          </w:tcPr>
          <w:p w14:paraId="128D122F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</w:tr>
      <w:tr w:rsidR="00101BCD" w:rsidRPr="00A01B51" w14:paraId="287421C9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0380E70E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032CBADD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rs6807783 chr3:53859662</w:t>
            </w:r>
          </w:p>
        </w:tc>
        <w:tc>
          <w:tcPr>
            <w:tcW w:w="1500" w:type="dxa"/>
            <w:hideMark/>
          </w:tcPr>
          <w:p w14:paraId="66095B4B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GG/GC/CC</w:t>
            </w:r>
          </w:p>
        </w:tc>
        <w:tc>
          <w:tcPr>
            <w:tcW w:w="870" w:type="dxa"/>
          </w:tcPr>
          <w:p w14:paraId="10003022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64.1</w:t>
            </w:r>
          </w:p>
        </w:tc>
        <w:tc>
          <w:tcPr>
            <w:tcW w:w="855" w:type="dxa"/>
          </w:tcPr>
          <w:p w14:paraId="72433156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840" w:type="dxa"/>
          </w:tcPr>
          <w:p w14:paraId="16C897CC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</w:t>
            </w:r>
          </w:p>
        </w:tc>
      </w:tr>
      <w:tr w:rsidR="00101BCD" w:rsidRPr="00A01B51" w14:paraId="71C65C5E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0A40EA19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77617EE5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rs7634578 chr3:53876728</w:t>
            </w:r>
          </w:p>
        </w:tc>
        <w:tc>
          <w:tcPr>
            <w:tcW w:w="1500" w:type="dxa"/>
            <w:hideMark/>
          </w:tcPr>
          <w:p w14:paraId="724E11C5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CC/CT/TT</w:t>
            </w:r>
          </w:p>
        </w:tc>
        <w:tc>
          <w:tcPr>
            <w:tcW w:w="870" w:type="dxa"/>
          </w:tcPr>
          <w:p w14:paraId="380CB910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98.7</w:t>
            </w:r>
          </w:p>
        </w:tc>
        <w:tc>
          <w:tcPr>
            <w:tcW w:w="855" w:type="dxa"/>
          </w:tcPr>
          <w:p w14:paraId="5B247673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840" w:type="dxa"/>
          </w:tcPr>
          <w:p w14:paraId="20E0F93D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01BCD" w:rsidRPr="00A01B51" w14:paraId="4E7D0785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61D27FBA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637AECE4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rs881883 chr3:53847805</w:t>
            </w:r>
          </w:p>
        </w:tc>
        <w:tc>
          <w:tcPr>
            <w:tcW w:w="1500" w:type="dxa"/>
            <w:hideMark/>
          </w:tcPr>
          <w:p w14:paraId="7DDEDD5C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AA/AG/GG</w:t>
            </w:r>
          </w:p>
        </w:tc>
        <w:tc>
          <w:tcPr>
            <w:tcW w:w="870" w:type="dxa"/>
          </w:tcPr>
          <w:p w14:paraId="69DF2042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69.5</w:t>
            </w:r>
          </w:p>
        </w:tc>
        <w:tc>
          <w:tcPr>
            <w:tcW w:w="855" w:type="dxa"/>
          </w:tcPr>
          <w:p w14:paraId="2FE57E56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27.8</w:t>
            </w:r>
          </w:p>
        </w:tc>
        <w:tc>
          <w:tcPr>
            <w:tcW w:w="840" w:type="dxa"/>
          </w:tcPr>
          <w:p w14:paraId="122C7479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</w:t>
            </w:r>
          </w:p>
        </w:tc>
      </w:tr>
      <w:tr w:rsidR="00101BCD" w:rsidRPr="00A01B51" w14:paraId="49E90D39" w14:textId="77777777" w:rsidTr="00FE3A2C">
        <w:trPr>
          <w:jc w:val="center"/>
        </w:trPr>
        <w:tc>
          <w:tcPr>
            <w:tcW w:w="1260" w:type="dxa"/>
            <w:vMerge w:val="restart"/>
            <w:hideMark/>
          </w:tcPr>
          <w:p w14:paraId="2D9650AF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/>
              </w:rPr>
              <w:t>CHKB</w:t>
            </w:r>
          </w:p>
          <w:p w14:paraId="7AA21B78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3804B8E4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rs1557502 chr22:51013998</w:t>
            </w:r>
          </w:p>
        </w:tc>
        <w:tc>
          <w:tcPr>
            <w:tcW w:w="1500" w:type="dxa"/>
            <w:hideMark/>
          </w:tcPr>
          <w:p w14:paraId="2835C4B1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CC/CT/TT</w:t>
            </w:r>
          </w:p>
        </w:tc>
        <w:tc>
          <w:tcPr>
            <w:tcW w:w="870" w:type="dxa"/>
          </w:tcPr>
          <w:p w14:paraId="31C7872E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60.1</w:t>
            </w:r>
          </w:p>
        </w:tc>
        <w:tc>
          <w:tcPr>
            <w:tcW w:w="855" w:type="dxa"/>
          </w:tcPr>
          <w:p w14:paraId="4E99B11F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35.3</w:t>
            </w:r>
          </w:p>
        </w:tc>
        <w:tc>
          <w:tcPr>
            <w:tcW w:w="840" w:type="dxa"/>
          </w:tcPr>
          <w:p w14:paraId="792CE20D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4.6</w:t>
            </w:r>
          </w:p>
        </w:tc>
      </w:tr>
      <w:tr w:rsidR="00101BCD" w:rsidRPr="00A01B51" w14:paraId="6B2B23E5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0CAD3155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6B4A3363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rs1557503 chr22:51013072</w:t>
            </w:r>
          </w:p>
        </w:tc>
        <w:tc>
          <w:tcPr>
            <w:tcW w:w="1500" w:type="dxa"/>
            <w:hideMark/>
          </w:tcPr>
          <w:p w14:paraId="18A24EEF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GG/GA/AA</w:t>
            </w:r>
          </w:p>
        </w:tc>
        <w:tc>
          <w:tcPr>
            <w:tcW w:w="870" w:type="dxa"/>
          </w:tcPr>
          <w:p w14:paraId="25BAE4F1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88.2</w:t>
            </w:r>
          </w:p>
        </w:tc>
        <w:tc>
          <w:tcPr>
            <w:tcW w:w="855" w:type="dxa"/>
          </w:tcPr>
          <w:p w14:paraId="0DEDBB49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40" w:type="dxa"/>
          </w:tcPr>
          <w:p w14:paraId="743688CD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01BCD" w:rsidRPr="00A01B51" w14:paraId="5FE1E4E0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710CF91B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19BD76D3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rs470117 chr22:51009953</w:t>
            </w:r>
          </w:p>
        </w:tc>
        <w:tc>
          <w:tcPr>
            <w:tcW w:w="1500" w:type="dxa"/>
            <w:hideMark/>
          </w:tcPr>
          <w:p w14:paraId="1484336E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CC/CT/TT</w:t>
            </w:r>
          </w:p>
        </w:tc>
        <w:tc>
          <w:tcPr>
            <w:tcW w:w="870" w:type="dxa"/>
          </w:tcPr>
          <w:p w14:paraId="2EB5ADF9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33.6</w:t>
            </w:r>
          </w:p>
        </w:tc>
        <w:tc>
          <w:tcPr>
            <w:tcW w:w="855" w:type="dxa"/>
          </w:tcPr>
          <w:p w14:paraId="0ADFE6FA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46.6</w:t>
            </w:r>
          </w:p>
        </w:tc>
        <w:tc>
          <w:tcPr>
            <w:tcW w:w="840" w:type="dxa"/>
          </w:tcPr>
          <w:p w14:paraId="4AACBD2B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19.9</w:t>
            </w:r>
          </w:p>
        </w:tc>
      </w:tr>
      <w:tr w:rsidR="00101BCD" w:rsidRPr="00A01B51" w14:paraId="1CCDFC74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78163F70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088C9245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rs7238 chr22:51007488</w:t>
            </w:r>
          </w:p>
        </w:tc>
        <w:tc>
          <w:tcPr>
            <w:tcW w:w="1500" w:type="dxa"/>
            <w:hideMark/>
          </w:tcPr>
          <w:p w14:paraId="13D407CF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AA/AG/GG</w:t>
            </w:r>
          </w:p>
        </w:tc>
        <w:tc>
          <w:tcPr>
            <w:tcW w:w="870" w:type="dxa"/>
          </w:tcPr>
          <w:p w14:paraId="483C4027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855" w:type="dxa"/>
          </w:tcPr>
          <w:p w14:paraId="4A75FB99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840" w:type="dxa"/>
          </w:tcPr>
          <w:p w14:paraId="2B41F7D9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01BCD" w:rsidRPr="00A01B51" w14:paraId="58E2EC81" w14:textId="77777777" w:rsidTr="00FE3A2C">
        <w:trPr>
          <w:jc w:val="center"/>
        </w:trPr>
        <w:tc>
          <w:tcPr>
            <w:tcW w:w="1260" w:type="dxa"/>
            <w:vMerge w:val="restart"/>
            <w:hideMark/>
          </w:tcPr>
          <w:p w14:paraId="255A9F98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/>
              </w:rPr>
              <w:t>FADS2</w:t>
            </w:r>
          </w:p>
        </w:tc>
        <w:tc>
          <w:tcPr>
            <w:tcW w:w="3330" w:type="dxa"/>
            <w:hideMark/>
          </w:tcPr>
          <w:p w14:paraId="20A95F90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rs2526678chr1161623793</w:t>
            </w:r>
          </w:p>
        </w:tc>
        <w:tc>
          <w:tcPr>
            <w:tcW w:w="1500" w:type="dxa"/>
            <w:hideMark/>
          </w:tcPr>
          <w:p w14:paraId="1CC3ECE2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GG/GA/AA</w:t>
            </w:r>
          </w:p>
        </w:tc>
        <w:tc>
          <w:tcPr>
            <w:tcW w:w="870" w:type="dxa"/>
          </w:tcPr>
          <w:p w14:paraId="23635E37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85.0</w:t>
            </w:r>
          </w:p>
        </w:tc>
        <w:tc>
          <w:tcPr>
            <w:tcW w:w="855" w:type="dxa"/>
          </w:tcPr>
          <w:p w14:paraId="36221BBA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840" w:type="dxa"/>
          </w:tcPr>
          <w:p w14:paraId="558E8DCE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01BCD" w:rsidRPr="00A01B51" w14:paraId="7D6BA7D8" w14:textId="77777777" w:rsidTr="00FE3A2C">
        <w:trPr>
          <w:trHeight w:val="170"/>
          <w:jc w:val="center"/>
        </w:trPr>
        <w:tc>
          <w:tcPr>
            <w:tcW w:w="0" w:type="auto"/>
            <w:vMerge/>
            <w:hideMark/>
          </w:tcPr>
          <w:p w14:paraId="1497F472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24897C41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rs526126chr1161624885</w:t>
            </w:r>
          </w:p>
        </w:tc>
        <w:tc>
          <w:tcPr>
            <w:tcW w:w="1500" w:type="dxa"/>
            <w:hideMark/>
          </w:tcPr>
          <w:p w14:paraId="49707DFD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GG/GC/CC</w:t>
            </w:r>
          </w:p>
        </w:tc>
        <w:tc>
          <w:tcPr>
            <w:tcW w:w="870" w:type="dxa"/>
          </w:tcPr>
          <w:p w14:paraId="7B9E2B79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855" w:type="dxa"/>
          </w:tcPr>
          <w:p w14:paraId="7DF6B59E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</w:t>
            </w:r>
          </w:p>
        </w:tc>
        <w:tc>
          <w:tcPr>
            <w:tcW w:w="840" w:type="dxa"/>
          </w:tcPr>
          <w:p w14:paraId="7CA2678E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68.0</w:t>
            </w:r>
          </w:p>
        </w:tc>
      </w:tr>
      <w:tr w:rsidR="00101BCD" w:rsidRPr="00A01B51" w14:paraId="137C9244" w14:textId="77777777" w:rsidTr="00FE3A2C">
        <w:trPr>
          <w:jc w:val="center"/>
        </w:trPr>
        <w:tc>
          <w:tcPr>
            <w:tcW w:w="1260" w:type="dxa"/>
            <w:hideMark/>
          </w:tcPr>
          <w:p w14:paraId="26131403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/>
              </w:rPr>
              <w:t>MTHFD1</w:t>
            </w:r>
          </w:p>
        </w:tc>
        <w:tc>
          <w:tcPr>
            <w:tcW w:w="3330" w:type="dxa"/>
            <w:hideMark/>
          </w:tcPr>
          <w:p w14:paraId="44F38B62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rs10135928 chr14:64866439</w:t>
            </w:r>
          </w:p>
        </w:tc>
        <w:tc>
          <w:tcPr>
            <w:tcW w:w="1500" w:type="dxa"/>
            <w:hideMark/>
          </w:tcPr>
          <w:p w14:paraId="4E3715B4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TT/TC/CC</w:t>
            </w:r>
          </w:p>
        </w:tc>
        <w:tc>
          <w:tcPr>
            <w:tcW w:w="870" w:type="dxa"/>
          </w:tcPr>
          <w:p w14:paraId="324871D5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94.1</w:t>
            </w:r>
          </w:p>
        </w:tc>
        <w:tc>
          <w:tcPr>
            <w:tcW w:w="855" w:type="dxa"/>
          </w:tcPr>
          <w:p w14:paraId="2043D13F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840" w:type="dxa"/>
          </w:tcPr>
          <w:p w14:paraId="64BF21B2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01BCD" w:rsidRPr="00A01B51" w14:paraId="54A426B9" w14:textId="77777777" w:rsidTr="00FE3A2C">
        <w:trPr>
          <w:jc w:val="center"/>
        </w:trPr>
        <w:tc>
          <w:tcPr>
            <w:tcW w:w="1260" w:type="dxa"/>
            <w:vMerge w:val="restart"/>
            <w:hideMark/>
          </w:tcPr>
          <w:p w14:paraId="2D04040F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/>
              </w:rPr>
              <w:t>MTHFR</w:t>
            </w:r>
          </w:p>
          <w:p w14:paraId="0E1C869F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77654D10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rs1801133 chr1:11856378</w:t>
            </w:r>
          </w:p>
        </w:tc>
        <w:tc>
          <w:tcPr>
            <w:tcW w:w="1500" w:type="dxa"/>
            <w:hideMark/>
          </w:tcPr>
          <w:p w14:paraId="044A4DB6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GG/GA/AA</w:t>
            </w:r>
          </w:p>
        </w:tc>
        <w:tc>
          <w:tcPr>
            <w:tcW w:w="870" w:type="dxa"/>
          </w:tcPr>
          <w:p w14:paraId="3193EC00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41.8</w:t>
            </w:r>
          </w:p>
        </w:tc>
        <w:tc>
          <w:tcPr>
            <w:tcW w:w="855" w:type="dxa"/>
          </w:tcPr>
          <w:p w14:paraId="12D18E46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45.1</w:t>
            </w:r>
          </w:p>
        </w:tc>
        <w:tc>
          <w:tcPr>
            <w:tcW w:w="840" w:type="dxa"/>
          </w:tcPr>
          <w:p w14:paraId="0C4BD7D8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13.1</w:t>
            </w:r>
          </w:p>
        </w:tc>
      </w:tr>
      <w:tr w:rsidR="00101BCD" w:rsidRPr="00A01B51" w14:paraId="796B68CA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386E7C52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01A42BF6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rs2066471 chr1:11860458</w:t>
            </w:r>
          </w:p>
        </w:tc>
        <w:tc>
          <w:tcPr>
            <w:tcW w:w="1500" w:type="dxa"/>
            <w:hideMark/>
          </w:tcPr>
          <w:p w14:paraId="12372B80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CC/CT/TT</w:t>
            </w:r>
          </w:p>
        </w:tc>
        <w:tc>
          <w:tcPr>
            <w:tcW w:w="870" w:type="dxa"/>
          </w:tcPr>
          <w:p w14:paraId="698C8AA4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67.3</w:t>
            </w:r>
          </w:p>
        </w:tc>
        <w:tc>
          <w:tcPr>
            <w:tcW w:w="855" w:type="dxa"/>
          </w:tcPr>
          <w:p w14:paraId="4FAFA34F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</w:t>
            </w:r>
          </w:p>
        </w:tc>
        <w:tc>
          <w:tcPr>
            <w:tcW w:w="840" w:type="dxa"/>
          </w:tcPr>
          <w:p w14:paraId="2018FB3F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</w:t>
            </w:r>
          </w:p>
        </w:tc>
      </w:tr>
      <w:tr w:rsidR="00101BCD" w:rsidRPr="00A01B51" w14:paraId="5D7AE70A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28A00379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1DB1F6A0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rs4846048 chr1:11846252</w:t>
            </w:r>
          </w:p>
        </w:tc>
        <w:tc>
          <w:tcPr>
            <w:tcW w:w="1500" w:type="dxa"/>
            <w:hideMark/>
          </w:tcPr>
          <w:p w14:paraId="4F4F1E68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GG/GA/AA</w:t>
            </w:r>
          </w:p>
        </w:tc>
        <w:tc>
          <w:tcPr>
            <w:tcW w:w="870" w:type="dxa"/>
          </w:tcPr>
          <w:p w14:paraId="294E6428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55" w:type="dxa"/>
          </w:tcPr>
          <w:p w14:paraId="3F652D58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41.8</w:t>
            </w:r>
          </w:p>
        </w:tc>
        <w:tc>
          <w:tcPr>
            <w:tcW w:w="840" w:type="dxa"/>
          </w:tcPr>
          <w:p w14:paraId="27896881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48.4</w:t>
            </w:r>
          </w:p>
        </w:tc>
      </w:tr>
      <w:tr w:rsidR="00101BCD" w:rsidRPr="00A01B51" w14:paraId="5D5BC93E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4EFE6417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1052B10E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rs4846052 chr1:11857951</w:t>
            </w:r>
          </w:p>
        </w:tc>
        <w:tc>
          <w:tcPr>
            <w:tcW w:w="1500" w:type="dxa"/>
            <w:hideMark/>
          </w:tcPr>
          <w:p w14:paraId="4F5F32BD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TT/TC/CC</w:t>
            </w:r>
          </w:p>
        </w:tc>
        <w:tc>
          <w:tcPr>
            <w:tcW w:w="870" w:type="dxa"/>
          </w:tcPr>
          <w:p w14:paraId="122A4F89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855" w:type="dxa"/>
          </w:tcPr>
          <w:p w14:paraId="7C39EA32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48.4</w:t>
            </w:r>
          </w:p>
        </w:tc>
        <w:tc>
          <w:tcPr>
            <w:tcW w:w="840" w:type="dxa"/>
          </w:tcPr>
          <w:p w14:paraId="54DA7F8B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35.3</w:t>
            </w:r>
          </w:p>
        </w:tc>
      </w:tr>
      <w:tr w:rsidR="00101BCD" w:rsidRPr="00A01B51" w14:paraId="071F0959" w14:textId="77777777" w:rsidTr="00FE3A2C">
        <w:trPr>
          <w:jc w:val="center"/>
        </w:trPr>
        <w:tc>
          <w:tcPr>
            <w:tcW w:w="1260" w:type="dxa"/>
            <w:vMerge w:val="restart"/>
            <w:hideMark/>
          </w:tcPr>
          <w:p w14:paraId="25442FE2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/>
              </w:rPr>
              <w:t>SCD</w:t>
            </w:r>
          </w:p>
          <w:p w14:paraId="43EDBB35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1233AC62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rs11557927 chr10:102121816</w:t>
            </w:r>
          </w:p>
        </w:tc>
        <w:tc>
          <w:tcPr>
            <w:tcW w:w="1500" w:type="dxa"/>
            <w:hideMark/>
          </w:tcPr>
          <w:p w14:paraId="6368F40E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TT/TG/GG</w:t>
            </w:r>
          </w:p>
        </w:tc>
        <w:tc>
          <w:tcPr>
            <w:tcW w:w="870" w:type="dxa"/>
          </w:tcPr>
          <w:p w14:paraId="4C67AFBA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89.5</w:t>
            </w:r>
          </w:p>
        </w:tc>
        <w:tc>
          <w:tcPr>
            <w:tcW w:w="855" w:type="dxa"/>
          </w:tcPr>
          <w:p w14:paraId="40CD48F7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40" w:type="dxa"/>
          </w:tcPr>
          <w:p w14:paraId="1E74EFC5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</w:t>
            </w:r>
          </w:p>
        </w:tc>
      </w:tr>
      <w:tr w:rsidR="00101BCD" w:rsidRPr="00A01B51" w14:paraId="3E7F3E14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4CB65853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0A673C73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rs11599710 chr10:102105788</w:t>
            </w:r>
          </w:p>
        </w:tc>
        <w:tc>
          <w:tcPr>
            <w:tcW w:w="1500" w:type="dxa"/>
            <w:hideMark/>
          </w:tcPr>
          <w:p w14:paraId="3586C884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GG/GA/AA</w:t>
            </w:r>
          </w:p>
        </w:tc>
        <w:tc>
          <w:tcPr>
            <w:tcW w:w="870" w:type="dxa"/>
          </w:tcPr>
          <w:p w14:paraId="0EC74766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89.5</w:t>
            </w:r>
          </w:p>
        </w:tc>
        <w:tc>
          <w:tcPr>
            <w:tcW w:w="855" w:type="dxa"/>
          </w:tcPr>
          <w:p w14:paraId="0E0AC68F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40" w:type="dxa"/>
          </w:tcPr>
          <w:p w14:paraId="4E701FC2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</w:t>
            </w:r>
          </w:p>
        </w:tc>
      </w:tr>
      <w:tr w:rsidR="00101BCD" w:rsidRPr="00A01B51" w14:paraId="1E891FE7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327D4E9F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0C3DFCF0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rs12247426 chr10:102115327</w:t>
            </w:r>
          </w:p>
        </w:tc>
        <w:tc>
          <w:tcPr>
            <w:tcW w:w="1500" w:type="dxa"/>
            <w:hideMark/>
          </w:tcPr>
          <w:p w14:paraId="411D2821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CC/CG/GG</w:t>
            </w:r>
          </w:p>
        </w:tc>
        <w:tc>
          <w:tcPr>
            <w:tcW w:w="870" w:type="dxa"/>
          </w:tcPr>
          <w:p w14:paraId="16994286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98.7</w:t>
            </w:r>
          </w:p>
        </w:tc>
        <w:tc>
          <w:tcPr>
            <w:tcW w:w="855" w:type="dxa"/>
          </w:tcPr>
          <w:p w14:paraId="1099BB91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840" w:type="dxa"/>
          </w:tcPr>
          <w:p w14:paraId="74BD5595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01BCD" w:rsidRPr="00A01B51" w14:paraId="19B85887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0D99B49E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5CB2C0C0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rs2167444 chr10:102124744</w:t>
            </w:r>
          </w:p>
        </w:tc>
        <w:tc>
          <w:tcPr>
            <w:tcW w:w="1500" w:type="dxa"/>
            <w:hideMark/>
          </w:tcPr>
          <w:p w14:paraId="50997E29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TT/TA/AA</w:t>
            </w:r>
          </w:p>
        </w:tc>
        <w:tc>
          <w:tcPr>
            <w:tcW w:w="870" w:type="dxa"/>
          </w:tcPr>
          <w:p w14:paraId="2B89C0C4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75.2</w:t>
            </w:r>
          </w:p>
        </w:tc>
        <w:tc>
          <w:tcPr>
            <w:tcW w:w="855" w:type="dxa"/>
          </w:tcPr>
          <w:p w14:paraId="5EB4D8D2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21.6</w:t>
            </w:r>
          </w:p>
        </w:tc>
        <w:tc>
          <w:tcPr>
            <w:tcW w:w="840" w:type="dxa"/>
          </w:tcPr>
          <w:p w14:paraId="5AEEE447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</w:t>
            </w:r>
          </w:p>
        </w:tc>
      </w:tr>
      <w:tr w:rsidR="00101BCD" w:rsidRPr="00A01B51" w14:paraId="13E202A0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5028F9A0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4EFD4D02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rs7849 chr10:102122603</w:t>
            </w:r>
          </w:p>
        </w:tc>
        <w:tc>
          <w:tcPr>
            <w:tcW w:w="1500" w:type="dxa"/>
            <w:hideMark/>
          </w:tcPr>
          <w:p w14:paraId="6680366B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TT/TC/CC</w:t>
            </w:r>
          </w:p>
        </w:tc>
        <w:tc>
          <w:tcPr>
            <w:tcW w:w="870" w:type="dxa"/>
          </w:tcPr>
          <w:p w14:paraId="5FB487E7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70.4</w:t>
            </w:r>
          </w:p>
        </w:tc>
        <w:tc>
          <w:tcPr>
            <w:tcW w:w="855" w:type="dxa"/>
          </w:tcPr>
          <w:p w14:paraId="2BCE8B60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840" w:type="dxa"/>
          </w:tcPr>
          <w:p w14:paraId="2DC5AF47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4.6</w:t>
            </w:r>
          </w:p>
        </w:tc>
      </w:tr>
      <w:tr w:rsidR="00101BCD" w:rsidRPr="00A01B51" w14:paraId="47B60E1D" w14:textId="77777777" w:rsidTr="00FE3A2C">
        <w:trPr>
          <w:jc w:val="center"/>
        </w:trPr>
        <w:tc>
          <w:tcPr>
            <w:tcW w:w="1260" w:type="dxa"/>
            <w:vMerge w:val="restart"/>
            <w:hideMark/>
          </w:tcPr>
          <w:p w14:paraId="608B60B5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/>
              </w:rPr>
              <w:t>SLC44A1</w:t>
            </w:r>
          </w:p>
          <w:p w14:paraId="5E09DC83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3B5D88D9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rs10120572chr9108077756</w:t>
            </w:r>
          </w:p>
        </w:tc>
        <w:tc>
          <w:tcPr>
            <w:tcW w:w="1500" w:type="dxa"/>
            <w:hideMark/>
          </w:tcPr>
          <w:p w14:paraId="0E57BEF5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TT/TG/GG</w:t>
            </w:r>
          </w:p>
        </w:tc>
        <w:tc>
          <w:tcPr>
            <w:tcW w:w="870" w:type="dxa"/>
          </w:tcPr>
          <w:p w14:paraId="5745737A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98.7</w:t>
            </w:r>
          </w:p>
        </w:tc>
        <w:tc>
          <w:tcPr>
            <w:tcW w:w="855" w:type="dxa"/>
          </w:tcPr>
          <w:p w14:paraId="1E6BEB2F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840" w:type="dxa"/>
          </w:tcPr>
          <w:p w14:paraId="2D2A3813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01BCD" w:rsidRPr="00A01B51" w14:paraId="67F11688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2E4846E1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25D3DF23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rs10820799 chr9:108092216</w:t>
            </w:r>
          </w:p>
        </w:tc>
        <w:tc>
          <w:tcPr>
            <w:tcW w:w="1500" w:type="dxa"/>
            <w:hideMark/>
          </w:tcPr>
          <w:p w14:paraId="4C23FA6F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AA/AC/CC</w:t>
            </w:r>
          </w:p>
        </w:tc>
        <w:tc>
          <w:tcPr>
            <w:tcW w:w="870" w:type="dxa"/>
          </w:tcPr>
          <w:p w14:paraId="1B4B616C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92.2</w:t>
            </w:r>
          </w:p>
        </w:tc>
        <w:tc>
          <w:tcPr>
            <w:tcW w:w="855" w:type="dxa"/>
          </w:tcPr>
          <w:p w14:paraId="35E531B2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840" w:type="dxa"/>
          </w:tcPr>
          <w:p w14:paraId="34B03BC0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01BCD" w:rsidRPr="00A01B51" w14:paraId="533492A4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26FA3AD2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68AF54D7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rs193008 chr9:108042806</w:t>
            </w:r>
          </w:p>
        </w:tc>
        <w:tc>
          <w:tcPr>
            <w:tcW w:w="1500" w:type="dxa"/>
            <w:hideMark/>
          </w:tcPr>
          <w:p w14:paraId="2956B20B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TT/TC/CC</w:t>
            </w:r>
          </w:p>
        </w:tc>
        <w:tc>
          <w:tcPr>
            <w:tcW w:w="870" w:type="dxa"/>
          </w:tcPr>
          <w:p w14:paraId="7DF92616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83.6</w:t>
            </w:r>
          </w:p>
        </w:tc>
        <w:tc>
          <w:tcPr>
            <w:tcW w:w="855" w:type="dxa"/>
          </w:tcPr>
          <w:p w14:paraId="5A370EE1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840" w:type="dxa"/>
          </w:tcPr>
          <w:p w14:paraId="0D42B55E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01BCD" w:rsidRPr="00A01B51" w14:paraId="3394334E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22EA7FF6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193BC6CD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rs328006 chr9:108039808</w:t>
            </w:r>
          </w:p>
        </w:tc>
        <w:tc>
          <w:tcPr>
            <w:tcW w:w="1500" w:type="dxa"/>
            <w:hideMark/>
          </w:tcPr>
          <w:p w14:paraId="2546766C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GG/GC/CC</w:t>
            </w:r>
          </w:p>
        </w:tc>
        <w:tc>
          <w:tcPr>
            <w:tcW w:w="870" w:type="dxa"/>
          </w:tcPr>
          <w:p w14:paraId="1B39DFCF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83.7</w:t>
            </w:r>
          </w:p>
        </w:tc>
        <w:tc>
          <w:tcPr>
            <w:tcW w:w="855" w:type="dxa"/>
          </w:tcPr>
          <w:p w14:paraId="164BC21F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840" w:type="dxa"/>
          </w:tcPr>
          <w:p w14:paraId="7362E265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01BCD" w:rsidRPr="00A01B51" w14:paraId="66A22130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5780FF7E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0AD65B8B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rs440290 chr9:107987290</w:t>
            </w:r>
          </w:p>
        </w:tc>
        <w:tc>
          <w:tcPr>
            <w:tcW w:w="1500" w:type="dxa"/>
            <w:hideMark/>
          </w:tcPr>
          <w:p w14:paraId="5C82A402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TT/TC/CC</w:t>
            </w:r>
          </w:p>
        </w:tc>
        <w:tc>
          <w:tcPr>
            <w:tcW w:w="870" w:type="dxa"/>
          </w:tcPr>
          <w:p w14:paraId="1ADAC9A1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84.3</w:t>
            </w:r>
          </w:p>
        </w:tc>
        <w:tc>
          <w:tcPr>
            <w:tcW w:w="855" w:type="dxa"/>
          </w:tcPr>
          <w:p w14:paraId="5675E45A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840" w:type="dxa"/>
          </w:tcPr>
          <w:p w14:paraId="03C639C0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01BCD" w:rsidRPr="00A01B51" w14:paraId="3A7E0CC9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74E00F3E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52B5B170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rs443094 chr9:108016685</w:t>
            </w:r>
          </w:p>
        </w:tc>
        <w:tc>
          <w:tcPr>
            <w:tcW w:w="1500" w:type="dxa"/>
            <w:hideMark/>
          </w:tcPr>
          <w:p w14:paraId="1F64EF87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GG/GC/CC</w:t>
            </w:r>
          </w:p>
        </w:tc>
        <w:tc>
          <w:tcPr>
            <w:tcW w:w="870" w:type="dxa"/>
          </w:tcPr>
          <w:p w14:paraId="7E45DFB6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84.3</w:t>
            </w:r>
          </w:p>
        </w:tc>
        <w:tc>
          <w:tcPr>
            <w:tcW w:w="855" w:type="dxa"/>
          </w:tcPr>
          <w:p w14:paraId="59A448DE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840" w:type="dxa"/>
          </w:tcPr>
          <w:p w14:paraId="0E8C6151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01BCD" w:rsidRPr="00A01B51" w14:paraId="261AECAA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10BD42E1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47BB6CA2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rs7018875 chr9:108077434</w:t>
            </w:r>
          </w:p>
        </w:tc>
        <w:tc>
          <w:tcPr>
            <w:tcW w:w="1500" w:type="dxa"/>
            <w:hideMark/>
          </w:tcPr>
          <w:p w14:paraId="7C4353D8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CC/CA/AA</w:t>
            </w:r>
          </w:p>
        </w:tc>
        <w:tc>
          <w:tcPr>
            <w:tcW w:w="870" w:type="dxa"/>
          </w:tcPr>
          <w:p w14:paraId="3DF4933C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96.1</w:t>
            </w:r>
          </w:p>
        </w:tc>
        <w:tc>
          <w:tcPr>
            <w:tcW w:w="855" w:type="dxa"/>
          </w:tcPr>
          <w:p w14:paraId="6AC131BF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840" w:type="dxa"/>
          </w:tcPr>
          <w:p w14:paraId="109E5B22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01BCD" w:rsidRPr="00A01B51" w14:paraId="1D968E31" w14:textId="77777777" w:rsidTr="00FE3A2C">
        <w:trPr>
          <w:jc w:val="center"/>
        </w:trPr>
        <w:tc>
          <w:tcPr>
            <w:tcW w:w="1260" w:type="dxa"/>
            <w:hideMark/>
          </w:tcPr>
          <w:p w14:paraId="71F5E9E8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/>
              </w:rPr>
              <w:t>STAT3</w:t>
            </w:r>
          </w:p>
        </w:tc>
        <w:tc>
          <w:tcPr>
            <w:tcW w:w="3330" w:type="dxa"/>
            <w:hideMark/>
          </w:tcPr>
          <w:p w14:paraId="021B534F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rs9891119 chr17:40507980</w:t>
            </w:r>
          </w:p>
        </w:tc>
        <w:tc>
          <w:tcPr>
            <w:tcW w:w="1500" w:type="dxa"/>
            <w:hideMark/>
          </w:tcPr>
          <w:p w14:paraId="6D57B212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AA/AC/CC</w:t>
            </w:r>
          </w:p>
        </w:tc>
        <w:tc>
          <w:tcPr>
            <w:tcW w:w="870" w:type="dxa"/>
          </w:tcPr>
          <w:p w14:paraId="58575B78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44.4</w:t>
            </w:r>
          </w:p>
        </w:tc>
        <w:tc>
          <w:tcPr>
            <w:tcW w:w="855" w:type="dxa"/>
          </w:tcPr>
          <w:p w14:paraId="2A5CEFF9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40.5</w:t>
            </w:r>
          </w:p>
        </w:tc>
        <w:tc>
          <w:tcPr>
            <w:tcW w:w="840" w:type="dxa"/>
          </w:tcPr>
          <w:p w14:paraId="4A6EF414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</w:t>
            </w:r>
          </w:p>
        </w:tc>
      </w:tr>
      <w:tr w:rsidR="00101BCD" w:rsidRPr="00A01B51" w14:paraId="725F87D4" w14:textId="77777777" w:rsidTr="00FE3A2C">
        <w:trPr>
          <w:jc w:val="center"/>
        </w:trPr>
        <w:tc>
          <w:tcPr>
            <w:tcW w:w="1260" w:type="dxa"/>
            <w:vMerge w:val="restart"/>
            <w:hideMark/>
          </w:tcPr>
          <w:p w14:paraId="33D9A8FF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/>
              </w:rPr>
              <w:t>PCYT1A</w:t>
            </w:r>
          </w:p>
        </w:tc>
        <w:tc>
          <w:tcPr>
            <w:tcW w:w="3330" w:type="dxa"/>
            <w:hideMark/>
          </w:tcPr>
          <w:p w14:paraId="40350525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rs1580820 chr3:195966258</w:t>
            </w:r>
          </w:p>
        </w:tc>
        <w:tc>
          <w:tcPr>
            <w:tcW w:w="1500" w:type="dxa"/>
            <w:hideMark/>
          </w:tcPr>
          <w:p w14:paraId="4D13335C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GG/GA/AA</w:t>
            </w:r>
          </w:p>
        </w:tc>
        <w:tc>
          <w:tcPr>
            <w:tcW w:w="870" w:type="dxa"/>
          </w:tcPr>
          <w:p w14:paraId="74A61EDE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855" w:type="dxa"/>
          </w:tcPr>
          <w:p w14:paraId="23FB31AC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22.2</w:t>
            </w:r>
          </w:p>
        </w:tc>
        <w:tc>
          <w:tcPr>
            <w:tcW w:w="840" w:type="dxa"/>
          </w:tcPr>
          <w:p w14:paraId="76AD533F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77.1</w:t>
            </w:r>
          </w:p>
        </w:tc>
      </w:tr>
      <w:tr w:rsidR="00101BCD" w:rsidRPr="00A01B51" w14:paraId="147CEF33" w14:textId="77777777" w:rsidTr="00FE3A2C">
        <w:trPr>
          <w:trHeight w:val="233"/>
          <w:jc w:val="center"/>
        </w:trPr>
        <w:tc>
          <w:tcPr>
            <w:tcW w:w="0" w:type="auto"/>
            <w:vMerge/>
            <w:hideMark/>
          </w:tcPr>
          <w:p w14:paraId="55EAB83D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28AAEF7A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rs4898190 chrX:24607933</w:t>
            </w:r>
          </w:p>
        </w:tc>
        <w:tc>
          <w:tcPr>
            <w:tcW w:w="1500" w:type="dxa"/>
            <w:hideMark/>
          </w:tcPr>
          <w:p w14:paraId="40B1E3B4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AA/AC/CC</w:t>
            </w:r>
          </w:p>
        </w:tc>
        <w:tc>
          <w:tcPr>
            <w:tcW w:w="870" w:type="dxa"/>
          </w:tcPr>
          <w:p w14:paraId="037935B4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855" w:type="dxa"/>
          </w:tcPr>
          <w:p w14:paraId="5C0DEE8A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840" w:type="dxa"/>
          </w:tcPr>
          <w:p w14:paraId="1D850E29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94.7</w:t>
            </w:r>
          </w:p>
        </w:tc>
      </w:tr>
      <w:tr w:rsidR="00101BCD" w:rsidRPr="00A01B51" w14:paraId="35EB7A5B" w14:textId="77777777" w:rsidTr="00FE3A2C">
        <w:trPr>
          <w:jc w:val="center"/>
        </w:trPr>
        <w:tc>
          <w:tcPr>
            <w:tcW w:w="1260" w:type="dxa"/>
            <w:vMerge w:val="restart"/>
            <w:hideMark/>
          </w:tcPr>
          <w:p w14:paraId="17F122C4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/>
              </w:rPr>
              <w:t>PEMT</w:t>
            </w:r>
          </w:p>
        </w:tc>
        <w:tc>
          <w:tcPr>
            <w:tcW w:w="3330" w:type="dxa"/>
            <w:hideMark/>
          </w:tcPr>
          <w:p w14:paraId="18CF6544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rs1109859chr1717424333</w:t>
            </w:r>
          </w:p>
        </w:tc>
        <w:tc>
          <w:tcPr>
            <w:tcW w:w="1500" w:type="dxa"/>
            <w:hideMark/>
          </w:tcPr>
          <w:p w14:paraId="676C8DAF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GG/GA/AA</w:t>
            </w:r>
          </w:p>
        </w:tc>
        <w:tc>
          <w:tcPr>
            <w:tcW w:w="870" w:type="dxa"/>
          </w:tcPr>
          <w:p w14:paraId="4A846451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855" w:type="dxa"/>
          </w:tcPr>
          <w:p w14:paraId="540946EC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34.2</w:t>
            </w:r>
          </w:p>
        </w:tc>
        <w:tc>
          <w:tcPr>
            <w:tcW w:w="840" w:type="dxa"/>
          </w:tcPr>
          <w:p w14:paraId="02F2C13A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58.6</w:t>
            </w:r>
          </w:p>
        </w:tc>
      </w:tr>
      <w:tr w:rsidR="00101BCD" w:rsidRPr="00A01B51" w14:paraId="2E8A3955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25C1B5F3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136E014C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rs16961845 chr17:17432456</w:t>
            </w:r>
          </w:p>
        </w:tc>
        <w:tc>
          <w:tcPr>
            <w:tcW w:w="1500" w:type="dxa"/>
            <w:hideMark/>
          </w:tcPr>
          <w:p w14:paraId="7E34882A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CC/CT/TT</w:t>
            </w:r>
          </w:p>
        </w:tc>
        <w:tc>
          <w:tcPr>
            <w:tcW w:w="870" w:type="dxa"/>
          </w:tcPr>
          <w:p w14:paraId="40589F01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84.3</w:t>
            </w:r>
          </w:p>
        </w:tc>
        <w:tc>
          <w:tcPr>
            <w:tcW w:w="855" w:type="dxa"/>
          </w:tcPr>
          <w:p w14:paraId="22D8CAFF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840" w:type="dxa"/>
          </w:tcPr>
          <w:p w14:paraId="71F0661C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1BCD" w:rsidRPr="00A01B51" w14:paraId="507856AA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07C640C8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5BAFF665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rs4244593 chr17:17420218</w:t>
            </w:r>
          </w:p>
        </w:tc>
        <w:tc>
          <w:tcPr>
            <w:tcW w:w="1500" w:type="dxa"/>
            <w:hideMark/>
          </w:tcPr>
          <w:p w14:paraId="088C744F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TT/TG/GG</w:t>
            </w:r>
          </w:p>
        </w:tc>
        <w:tc>
          <w:tcPr>
            <w:tcW w:w="870" w:type="dxa"/>
          </w:tcPr>
          <w:p w14:paraId="0F56B898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21.1</w:t>
            </w:r>
          </w:p>
        </w:tc>
        <w:tc>
          <w:tcPr>
            <w:tcW w:w="855" w:type="dxa"/>
          </w:tcPr>
          <w:p w14:paraId="0CF4540C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48.7</w:t>
            </w:r>
          </w:p>
        </w:tc>
        <w:tc>
          <w:tcPr>
            <w:tcW w:w="840" w:type="dxa"/>
          </w:tcPr>
          <w:p w14:paraId="14490603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30.3</w:t>
            </w:r>
          </w:p>
        </w:tc>
      </w:tr>
      <w:tr w:rsidR="00101BCD" w:rsidRPr="00A01B51" w14:paraId="4D1EC639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33A18CBA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57A094A9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rs4479310 chr17:17405504</w:t>
            </w:r>
          </w:p>
        </w:tc>
        <w:tc>
          <w:tcPr>
            <w:tcW w:w="1500" w:type="dxa"/>
            <w:hideMark/>
          </w:tcPr>
          <w:p w14:paraId="4673F01C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CC/CT/TT</w:t>
            </w:r>
          </w:p>
        </w:tc>
        <w:tc>
          <w:tcPr>
            <w:tcW w:w="870" w:type="dxa"/>
          </w:tcPr>
          <w:p w14:paraId="68CF3E68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55" w:type="dxa"/>
          </w:tcPr>
          <w:p w14:paraId="719A0C9F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48.4</w:t>
            </w:r>
          </w:p>
        </w:tc>
        <w:tc>
          <w:tcPr>
            <w:tcW w:w="840" w:type="dxa"/>
          </w:tcPr>
          <w:p w14:paraId="3DE31EBB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39.9</w:t>
            </w:r>
          </w:p>
        </w:tc>
      </w:tr>
      <w:tr w:rsidR="00101BCD" w:rsidRPr="00A01B51" w14:paraId="07DC8E31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30A74DD4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1D617EAE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rs7214988 chr17:17491836</w:t>
            </w:r>
          </w:p>
        </w:tc>
        <w:tc>
          <w:tcPr>
            <w:tcW w:w="1500" w:type="dxa"/>
            <w:hideMark/>
          </w:tcPr>
          <w:p w14:paraId="4045A9AF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CC/CG/GG</w:t>
            </w:r>
          </w:p>
        </w:tc>
        <w:tc>
          <w:tcPr>
            <w:tcW w:w="870" w:type="dxa"/>
          </w:tcPr>
          <w:p w14:paraId="4B8B7B8F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84.2</w:t>
            </w:r>
          </w:p>
        </w:tc>
        <w:tc>
          <w:tcPr>
            <w:tcW w:w="855" w:type="dxa"/>
          </w:tcPr>
          <w:p w14:paraId="411006C0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840" w:type="dxa"/>
          </w:tcPr>
          <w:p w14:paraId="1EDFB983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01BCD" w:rsidRPr="00A01B51" w14:paraId="6F80E692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334798BC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5CBB4135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rs7946 chr17:17409560</w:t>
            </w:r>
          </w:p>
        </w:tc>
        <w:tc>
          <w:tcPr>
            <w:tcW w:w="1500" w:type="dxa"/>
            <w:hideMark/>
          </w:tcPr>
          <w:p w14:paraId="16C17116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CC/CT/TT</w:t>
            </w:r>
          </w:p>
        </w:tc>
        <w:tc>
          <w:tcPr>
            <w:tcW w:w="870" w:type="dxa"/>
          </w:tcPr>
          <w:p w14:paraId="161C22E0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55" w:type="dxa"/>
          </w:tcPr>
          <w:p w14:paraId="5072A299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48.3</w:t>
            </w:r>
          </w:p>
        </w:tc>
        <w:tc>
          <w:tcPr>
            <w:tcW w:w="840" w:type="dxa"/>
          </w:tcPr>
          <w:p w14:paraId="58D49C66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39.1</w:t>
            </w:r>
          </w:p>
        </w:tc>
      </w:tr>
      <w:tr w:rsidR="00101BCD" w:rsidRPr="00A01B51" w14:paraId="0BDED501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3F1A4FFF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6F7BC545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rs8068641chr1717480187</w:t>
            </w:r>
          </w:p>
        </w:tc>
        <w:tc>
          <w:tcPr>
            <w:tcW w:w="1500" w:type="dxa"/>
            <w:hideMark/>
          </w:tcPr>
          <w:p w14:paraId="7A4BEDE3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AA/AG/GG</w:t>
            </w:r>
          </w:p>
        </w:tc>
        <w:tc>
          <w:tcPr>
            <w:tcW w:w="870" w:type="dxa"/>
          </w:tcPr>
          <w:p w14:paraId="4DF20730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78.4</w:t>
            </w:r>
          </w:p>
        </w:tc>
        <w:tc>
          <w:tcPr>
            <w:tcW w:w="855" w:type="dxa"/>
          </w:tcPr>
          <w:p w14:paraId="590AA1AA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21.6</w:t>
            </w:r>
          </w:p>
        </w:tc>
        <w:tc>
          <w:tcPr>
            <w:tcW w:w="840" w:type="dxa"/>
          </w:tcPr>
          <w:p w14:paraId="07E8DFD0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01BCD" w:rsidRPr="00A01B51" w14:paraId="3BF31CFA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7E9E41CE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184F6FC1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rs936108 chr17:17439793</w:t>
            </w:r>
          </w:p>
        </w:tc>
        <w:tc>
          <w:tcPr>
            <w:tcW w:w="1500" w:type="dxa"/>
            <w:hideMark/>
          </w:tcPr>
          <w:p w14:paraId="3A7EF297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CC/CT/TT</w:t>
            </w:r>
          </w:p>
        </w:tc>
        <w:tc>
          <w:tcPr>
            <w:tcW w:w="870" w:type="dxa"/>
          </w:tcPr>
          <w:p w14:paraId="332D5C87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27.5</w:t>
            </w:r>
          </w:p>
        </w:tc>
        <w:tc>
          <w:tcPr>
            <w:tcW w:w="855" w:type="dxa"/>
          </w:tcPr>
          <w:p w14:paraId="6E43806E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49.7</w:t>
            </w:r>
          </w:p>
        </w:tc>
        <w:tc>
          <w:tcPr>
            <w:tcW w:w="840" w:type="dxa"/>
          </w:tcPr>
          <w:p w14:paraId="2EA2F08D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22.9</w:t>
            </w:r>
          </w:p>
        </w:tc>
      </w:tr>
      <w:tr w:rsidR="00101BCD" w:rsidRPr="00A01B51" w14:paraId="4E4D5F6A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78AB6ECB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63C668FD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rs13342397 chr17:17460926</w:t>
            </w:r>
          </w:p>
        </w:tc>
        <w:tc>
          <w:tcPr>
            <w:tcW w:w="1500" w:type="dxa"/>
            <w:hideMark/>
          </w:tcPr>
          <w:p w14:paraId="4DB6ACDE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TT/TC/CC</w:t>
            </w:r>
          </w:p>
        </w:tc>
        <w:tc>
          <w:tcPr>
            <w:tcW w:w="870" w:type="dxa"/>
          </w:tcPr>
          <w:p w14:paraId="74129D42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83.7</w:t>
            </w:r>
          </w:p>
        </w:tc>
        <w:tc>
          <w:tcPr>
            <w:tcW w:w="855" w:type="dxa"/>
          </w:tcPr>
          <w:p w14:paraId="0927DA4D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840" w:type="dxa"/>
          </w:tcPr>
          <w:p w14:paraId="58EE700C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01BCD" w:rsidRPr="00A01B51" w14:paraId="78EA2935" w14:textId="77777777" w:rsidTr="00FE3A2C">
        <w:trPr>
          <w:jc w:val="center"/>
        </w:trPr>
        <w:tc>
          <w:tcPr>
            <w:tcW w:w="0" w:type="auto"/>
            <w:vMerge/>
            <w:hideMark/>
          </w:tcPr>
          <w:p w14:paraId="0952444C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3412C278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rs6502603 chr17:17445680</w:t>
            </w:r>
          </w:p>
        </w:tc>
        <w:tc>
          <w:tcPr>
            <w:tcW w:w="1500" w:type="dxa"/>
            <w:hideMark/>
          </w:tcPr>
          <w:p w14:paraId="4EBB4B89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GG/GT/TT</w:t>
            </w:r>
          </w:p>
        </w:tc>
        <w:tc>
          <w:tcPr>
            <w:tcW w:w="870" w:type="dxa"/>
          </w:tcPr>
          <w:p w14:paraId="024DADBA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26.8</w:t>
            </w:r>
          </w:p>
        </w:tc>
        <w:tc>
          <w:tcPr>
            <w:tcW w:w="855" w:type="dxa"/>
          </w:tcPr>
          <w:p w14:paraId="790E5BB5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49.7</w:t>
            </w:r>
          </w:p>
        </w:tc>
        <w:tc>
          <w:tcPr>
            <w:tcW w:w="840" w:type="dxa"/>
          </w:tcPr>
          <w:p w14:paraId="36E1363A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23.5</w:t>
            </w:r>
          </w:p>
        </w:tc>
      </w:tr>
      <w:tr w:rsidR="00101BCD" w:rsidRPr="00A01B51" w14:paraId="10EF092D" w14:textId="77777777" w:rsidTr="00FE3A2C">
        <w:trPr>
          <w:trHeight w:val="170"/>
          <w:jc w:val="center"/>
        </w:trPr>
        <w:tc>
          <w:tcPr>
            <w:tcW w:w="1260" w:type="dxa"/>
            <w:vMerge w:val="restart"/>
            <w:hideMark/>
          </w:tcPr>
          <w:p w14:paraId="4A3BC3CC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/>
              </w:rPr>
              <w:t>PNPLA3</w:t>
            </w:r>
          </w:p>
        </w:tc>
        <w:tc>
          <w:tcPr>
            <w:tcW w:w="3330" w:type="dxa"/>
            <w:hideMark/>
          </w:tcPr>
          <w:p w14:paraId="71D35886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rs2281135 chr22:44332570</w:t>
            </w:r>
          </w:p>
        </w:tc>
        <w:tc>
          <w:tcPr>
            <w:tcW w:w="1500" w:type="dxa"/>
            <w:hideMark/>
          </w:tcPr>
          <w:p w14:paraId="53F810B4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GG/GA/AA</w:t>
            </w:r>
          </w:p>
        </w:tc>
        <w:tc>
          <w:tcPr>
            <w:tcW w:w="870" w:type="dxa"/>
          </w:tcPr>
          <w:p w14:paraId="6EA5A553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58.2</w:t>
            </w:r>
          </w:p>
        </w:tc>
        <w:tc>
          <w:tcPr>
            <w:tcW w:w="855" w:type="dxa"/>
          </w:tcPr>
          <w:p w14:paraId="63C45C7C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39.9</w:t>
            </w:r>
          </w:p>
        </w:tc>
        <w:tc>
          <w:tcPr>
            <w:tcW w:w="840" w:type="dxa"/>
          </w:tcPr>
          <w:p w14:paraId="7F1CDA48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</w:t>
            </w:r>
          </w:p>
        </w:tc>
      </w:tr>
      <w:tr w:rsidR="00101BCD" w:rsidRPr="00A01B51" w14:paraId="010D471E" w14:textId="77777777" w:rsidTr="00FE3A2C">
        <w:trPr>
          <w:trHeight w:val="210"/>
          <w:jc w:val="center"/>
        </w:trPr>
        <w:tc>
          <w:tcPr>
            <w:tcW w:w="0" w:type="auto"/>
            <w:vMerge/>
            <w:hideMark/>
          </w:tcPr>
          <w:p w14:paraId="3D3FB121" w14:textId="77777777" w:rsidR="00101BCD" w:rsidRPr="00A01B51" w:rsidRDefault="00101BCD" w:rsidP="00FE3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14:paraId="4F7B1827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rs738409 chr22:44324727</w:t>
            </w:r>
          </w:p>
        </w:tc>
        <w:tc>
          <w:tcPr>
            <w:tcW w:w="1500" w:type="dxa"/>
            <w:hideMark/>
          </w:tcPr>
          <w:p w14:paraId="405A6FDA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CC/CG/GG</w:t>
            </w:r>
          </w:p>
        </w:tc>
        <w:tc>
          <w:tcPr>
            <w:tcW w:w="870" w:type="dxa"/>
          </w:tcPr>
          <w:p w14:paraId="6881D64F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51.6</w:t>
            </w:r>
          </w:p>
        </w:tc>
        <w:tc>
          <w:tcPr>
            <w:tcW w:w="855" w:type="dxa"/>
          </w:tcPr>
          <w:p w14:paraId="580785EA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840" w:type="dxa"/>
          </w:tcPr>
          <w:p w14:paraId="33A94D75" w14:textId="77777777" w:rsidR="00101BCD" w:rsidRPr="00A01B51" w:rsidRDefault="00101BCD" w:rsidP="00FE3A2C">
            <w:pPr>
              <w:spacing w:before="100" w:before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B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29.4</w:t>
            </w:r>
          </w:p>
        </w:tc>
      </w:tr>
    </w:tbl>
    <w:p w14:paraId="756DF38E" w14:textId="77777777" w:rsidR="00101BCD" w:rsidRPr="00A01B51" w:rsidRDefault="00101BCD" w:rsidP="00101BCD">
      <w:pPr>
        <w:pStyle w:val="MDPI43tablefooter"/>
        <w:spacing w:after="0" w:line="240" w:lineRule="auto"/>
        <w:ind w:right="-514"/>
        <w:rPr>
          <w:rFonts w:ascii="Times New Roman" w:hAnsi="Times New Roman" w:cs="Times New Roman"/>
        </w:rPr>
      </w:pPr>
      <w:r w:rsidRPr="00A01B51">
        <w:rPr>
          <w:rFonts w:ascii="Times New Roman" w:hAnsi="Times New Roman" w:cs="Times New Roman"/>
        </w:rPr>
        <w:t xml:space="preserve">Legend: For each SNP, the name of the nearest gene is provided. Gene name as per international nomenclature HUGO Gene Nomenclature Committee (HGNC); </w:t>
      </w:r>
      <w:proofErr w:type="spellStart"/>
      <w:r w:rsidRPr="00A01B51">
        <w:rPr>
          <w:rFonts w:ascii="Times New Roman" w:hAnsi="Times New Roman" w:cs="Times New Roman"/>
        </w:rPr>
        <w:t>Chr</w:t>
      </w:r>
      <w:proofErr w:type="spellEnd"/>
      <w:r w:rsidRPr="00A01B51">
        <w:rPr>
          <w:rFonts w:ascii="Times New Roman" w:hAnsi="Times New Roman" w:cs="Times New Roman"/>
        </w:rPr>
        <w:t xml:space="preserve">—chromosome position reference genome GRCh37; AA—homozygous for one allele; AB—heterozygous; BB—homozygous for the other allele; </w:t>
      </w:r>
      <w:r w:rsidRPr="00A01B51">
        <w:rPr>
          <w:rFonts w:ascii="Times New Roman" w:hAnsi="Times New Roman" w:cs="Times New Roman"/>
          <w:i/>
          <w:iCs/>
        </w:rPr>
        <w:t>ABCB4</w:t>
      </w:r>
      <w:r w:rsidRPr="00A01B51">
        <w:rPr>
          <w:rFonts w:ascii="Times New Roman" w:hAnsi="Times New Roman" w:cs="Times New Roman"/>
        </w:rPr>
        <w:t xml:space="preserve">—ATP binding cassette subfamily B member 4; </w:t>
      </w:r>
      <w:r w:rsidRPr="00A01B51">
        <w:rPr>
          <w:rFonts w:ascii="Times New Roman" w:hAnsi="Times New Roman" w:cs="Times New Roman"/>
          <w:i/>
          <w:iCs/>
        </w:rPr>
        <w:t>APOC3</w:t>
      </w:r>
      <w:r w:rsidRPr="00A01B51">
        <w:rPr>
          <w:rFonts w:ascii="Times New Roman" w:hAnsi="Times New Roman" w:cs="Times New Roman"/>
        </w:rPr>
        <w:t xml:space="preserve">—apolipoprotein C3; </w:t>
      </w:r>
      <w:r w:rsidRPr="00A01B51">
        <w:rPr>
          <w:rFonts w:ascii="Times New Roman" w:hAnsi="Times New Roman" w:cs="Times New Roman"/>
          <w:i/>
          <w:iCs/>
        </w:rPr>
        <w:t>CHDH</w:t>
      </w:r>
      <w:r w:rsidRPr="00A01B51">
        <w:rPr>
          <w:rFonts w:ascii="Times New Roman" w:hAnsi="Times New Roman" w:cs="Times New Roman"/>
        </w:rPr>
        <w:t xml:space="preserve">—choline dehydrogenase; </w:t>
      </w:r>
      <w:r w:rsidRPr="00A01B51">
        <w:rPr>
          <w:rFonts w:ascii="Times New Roman" w:hAnsi="Times New Roman" w:cs="Times New Roman"/>
          <w:i/>
          <w:iCs/>
        </w:rPr>
        <w:t>CHKB</w:t>
      </w:r>
      <w:r w:rsidRPr="00A01B51">
        <w:rPr>
          <w:rFonts w:ascii="Times New Roman" w:hAnsi="Times New Roman" w:cs="Times New Roman"/>
        </w:rPr>
        <w:t xml:space="preserve">—choline/ethanolamine kinase beta; </w:t>
      </w:r>
      <w:r w:rsidRPr="00A01B51">
        <w:rPr>
          <w:rFonts w:ascii="Times New Roman" w:hAnsi="Times New Roman" w:cs="Times New Roman"/>
          <w:i/>
          <w:iCs/>
        </w:rPr>
        <w:t>FADS2</w:t>
      </w:r>
      <w:r w:rsidRPr="00A01B51">
        <w:rPr>
          <w:rFonts w:ascii="Times New Roman" w:hAnsi="Times New Roman" w:cs="Times New Roman"/>
        </w:rPr>
        <w:t xml:space="preserve">—fatty acid desaturase 2; </w:t>
      </w:r>
      <w:r w:rsidRPr="00A01B51">
        <w:rPr>
          <w:rFonts w:ascii="Times New Roman" w:hAnsi="Times New Roman" w:cs="Times New Roman"/>
          <w:i/>
          <w:iCs/>
        </w:rPr>
        <w:t>MTHFD1</w:t>
      </w:r>
      <w:r w:rsidRPr="00A01B51">
        <w:rPr>
          <w:rFonts w:ascii="Times New Roman" w:hAnsi="Times New Roman" w:cs="Times New Roman"/>
        </w:rPr>
        <w:t xml:space="preserve">—methylenetetrahydrofolate dehydrogenase; </w:t>
      </w:r>
      <w:r w:rsidRPr="00A01B51">
        <w:rPr>
          <w:rFonts w:ascii="Times New Roman" w:hAnsi="Times New Roman" w:cs="Times New Roman"/>
          <w:i/>
          <w:iCs/>
        </w:rPr>
        <w:t>MTHFR</w:t>
      </w:r>
      <w:r w:rsidRPr="00A01B51">
        <w:rPr>
          <w:rFonts w:ascii="Times New Roman" w:hAnsi="Times New Roman" w:cs="Times New Roman"/>
        </w:rPr>
        <w:t xml:space="preserve">—methylenetetrahydrofolate reductase; </w:t>
      </w:r>
      <w:r w:rsidRPr="00A01B51">
        <w:rPr>
          <w:rFonts w:ascii="Times New Roman" w:hAnsi="Times New Roman" w:cs="Times New Roman"/>
          <w:i/>
          <w:iCs/>
        </w:rPr>
        <w:t>SCD</w:t>
      </w:r>
      <w:r w:rsidRPr="00A01B51">
        <w:rPr>
          <w:rFonts w:ascii="Times New Roman" w:hAnsi="Times New Roman" w:cs="Times New Roman"/>
        </w:rPr>
        <w:t xml:space="preserve">—stearoyl-CoA desaturase; </w:t>
      </w:r>
      <w:r w:rsidRPr="00A01B51">
        <w:rPr>
          <w:rFonts w:ascii="Times New Roman" w:hAnsi="Times New Roman" w:cs="Times New Roman"/>
          <w:i/>
          <w:iCs/>
        </w:rPr>
        <w:t>SLC44A1</w:t>
      </w:r>
      <w:r w:rsidRPr="00A01B51">
        <w:rPr>
          <w:rFonts w:ascii="Times New Roman" w:hAnsi="Times New Roman" w:cs="Times New Roman"/>
        </w:rPr>
        <w:t xml:space="preserve">—solute carrier family 44 member 1; </w:t>
      </w:r>
      <w:r w:rsidRPr="00A01B51">
        <w:rPr>
          <w:rFonts w:ascii="Times New Roman" w:hAnsi="Times New Roman" w:cs="Times New Roman"/>
          <w:i/>
          <w:iCs/>
        </w:rPr>
        <w:t>STAT3</w:t>
      </w:r>
      <w:r w:rsidRPr="00A01B51">
        <w:rPr>
          <w:rFonts w:ascii="Times New Roman" w:hAnsi="Times New Roman" w:cs="Times New Roman"/>
        </w:rPr>
        <w:t xml:space="preserve">—signal transducer and activator of transcription 3; </w:t>
      </w:r>
      <w:r w:rsidRPr="00A01B51">
        <w:rPr>
          <w:rFonts w:ascii="Times New Roman" w:hAnsi="Times New Roman" w:cs="Times New Roman"/>
          <w:i/>
          <w:iCs/>
        </w:rPr>
        <w:t>PCYT1A</w:t>
      </w:r>
      <w:r w:rsidRPr="00A01B51">
        <w:rPr>
          <w:rFonts w:ascii="Times New Roman" w:hAnsi="Times New Roman" w:cs="Times New Roman"/>
        </w:rPr>
        <w:t xml:space="preserve">—phosphate cytidylyltransferase 1, choline, alpha; </w:t>
      </w:r>
      <w:r w:rsidRPr="00A01B51">
        <w:rPr>
          <w:rFonts w:ascii="Times New Roman" w:hAnsi="Times New Roman" w:cs="Times New Roman"/>
          <w:i/>
          <w:iCs/>
        </w:rPr>
        <w:t>PCYT1B</w:t>
      </w:r>
      <w:r w:rsidRPr="00A01B51">
        <w:rPr>
          <w:rFonts w:ascii="Times New Roman" w:hAnsi="Times New Roman" w:cs="Times New Roman"/>
        </w:rPr>
        <w:t xml:space="preserve">—phosphate cytidylyltransferase 1, choline, beta; </w:t>
      </w:r>
      <w:r w:rsidRPr="00A01B51">
        <w:rPr>
          <w:rFonts w:ascii="Times New Roman" w:hAnsi="Times New Roman" w:cs="Times New Roman"/>
          <w:i/>
          <w:iCs/>
        </w:rPr>
        <w:t>PEMT</w:t>
      </w:r>
      <w:r w:rsidRPr="00A01B51">
        <w:rPr>
          <w:rFonts w:ascii="Times New Roman" w:hAnsi="Times New Roman" w:cs="Times New Roman"/>
        </w:rPr>
        <w:t xml:space="preserve">—phosphatidylethanolamine N-methyltransferase; </w:t>
      </w:r>
      <w:r w:rsidRPr="00A01B51">
        <w:rPr>
          <w:rFonts w:ascii="Times New Roman" w:hAnsi="Times New Roman" w:cs="Times New Roman"/>
          <w:i/>
          <w:iCs/>
        </w:rPr>
        <w:t>PNPLA3</w:t>
      </w:r>
      <w:r w:rsidRPr="00A01B51">
        <w:rPr>
          <w:rFonts w:ascii="Times New Roman" w:hAnsi="Times New Roman" w:cs="Times New Roman"/>
        </w:rPr>
        <w:t>—</w:t>
      </w:r>
      <w:proofErr w:type="spellStart"/>
      <w:r w:rsidRPr="00A01B51">
        <w:rPr>
          <w:rFonts w:ascii="Times New Roman" w:hAnsi="Times New Roman" w:cs="Times New Roman"/>
        </w:rPr>
        <w:t>patatin</w:t>
      </w:r>
      <w:proofErr w:type="spellEnd"/>
      <w:r w:rsidRPr="00A01B51">
        <w:rPr>
          <w:rFonts w:ascii="Times New Roman" w:hAnsi="Times New Roman" w:cs="Times New Roman"/>
        </w:rPr>
        <w:t>-like phospholipase domain containing 3.</w:t>
      </w:r>
    </w:p>
    <w:p w14:paraId="16258E7E" w14:textId="77777777" w:rsidR="004F56DB" w:rsidRDefault="004F56DB"/>
    <w:p w14:paraId="36500E74" w14:textId="77777777" w:rsidR="00B76F7C" w:rsidRDefault="00B76F7C" w:rsidP="00CC7A67">
      <w:pPr>
        <w:pStyle w:val="MDPI41tablecaption"/>
        <w:spacing w:after="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Reference</w:t>
      </w:r>
    </w:p>
    <w:p w14:paraId="39D83930" w14:textId="38474FBC" w:rsidR="00CC7A67" w:rsidRPr="00CC7A67" w:rsidRDefault="00B76F7C" w:rsidP="00CC7A67">
      <w:pPr>
        <w:pStyle w:val="MDPI41tablecaption"/>
        <w:spacing w:after="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1</w:t>
      </w:r>
      <w:r w:rsidR="00CC7A67" w:rsidRPr="00CC7A67">
        <w:rPr>
          <w:rFonts w:ascii="Times New Roman" w:hAnsi="Times New Roman" w:cs="Times New Roman"/>
          <w:b/>
          <w:sz w:val="22"/>
        </w:rPr>
        <w:t xml:space="preserve">. </w:t>
      </w:r>
      <w:r w:rsidR="00CC7A67" w:rsidRPr="00CC7A67">
        <w:rPr>
          <w:rFonts w:ascii="Times New Roman" w:hAnsi="Times New Roman" w:cs="Times New Roman"/>
          <w:b/>
          <w:sz w:val="22"/>
        </w:rPr>
        <w:tab/>
        <w:t xml:space="preserve">Kirsch SH, Herrmann W, </w:t>
      </w:r>
      <w:proofErr w:type="spellStart"/>
      <w:r w:rsidR="00CC7A67" w:rsidRPr="00CC7A67">
        <w:rPr>
          <w:rFonts w:ascii="Times New Roman" w:hAnsi="Times New Roman" w:cs="Times New Roman"/>
          <w:b/>
          <w:sz w:val="22"/>
        </w:rPr>
        <w:t>Rabagny</w:t>
      </w:r>
      <w:proofErr w:type="spellEnd"/>
      <w:r w:rsidR="00CC7A67" w:rsidRPr="00CC7A67">
        <w:rPr>
          <w:rFonts w:ascii="Times New Roman" w:hAnsi="Times New Roman" w:cs="Times New Roman"/>
          <w:b/>
          <w:sz w:val="22"/>
        </w:rPr>
        <w:t xml:space="preserve"> Y, Obeid R. Quantification of acetylcholine, choline, betaine, and dimethylglycine in human plasma and urine using stable-isotope dilution </w:t>
      </w:r>
      <w:proofErr w:type="spellStart"/>
      <w:r w:rsidR="00CC7A67" w:rsidRPr="00CC7A67">
        <w:rPr>
          <w:rFonts w:ascii="Times New Roman" w:hAnsi="Times New Roman" w:cs="Times New Roman"/>
          <w:b/>
          <w:sz w:val="22"/>
        </w:rPr>
        <w:t>ultra performance</w:t>
      </w:r>
      <w:proofErr w:type="spellEnd"/>
      <w:r w:rsidR="00CC7A67" w:rsidRPr="00CC7A67">
        <w:rPr>
          <w:rFonts w:ascii="Times New Roman" w:hAnsi="Times New Roman" w:cs="Times New Roman"/>
          <w:b/>
          <w:sz w:val="22"/>
        </w:rPr>
        <w:t xml:space="preserve"> liquid chromatography-tandem mass spectrometry. J </w:t>
      </w:r>
      <w:proofErr w:type="spellStart"/>
      <w:r w:rsidR="00CC7A67" w:rsidRPr="00CC7A67">
        <w:rPr>
          <w:rFonts w:ascii="Times New Roman" w:hAnsi="Times New Roman" w:cs="Times New Roman"/>
          <w:b/>
          <w:sz w:val="22"/>
        </w:rPr>
        <w:t>Chromatogr</w:t>
      </w:r>
      <w:proofErr w:type="spellEnd"/>
      <w:r w:rsidR="00CC7A67" w:rsidRPr="00CC7A67">
        <w:rPr>
          <w:rFonts w:ascii="Times New Roman" w:hAnsi="Times New Roman" w:cs="Times New Roman"/>
          <w:b/>
          <w:sz w:val="22"/>
        </w:rPr>
        <w:t xml:space="preserve"> B Anal Technol Biomed Life Sci. 2010; </w:t>
      </w:r>
    </w:p>
    <w:p w14:paraId="3716AFDE" w14:textId="77777777" w:rsidR="00CC7A67" w:rsidRDefault="00CC7A67"/>
    <w:sectPr w:rsidR="00CC7A6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CD"/>
    <w:rsid w:val="00051198"/>
    <w:rsid w:val="00101BCD"/>
    <w:rsid w:val="00247F12"/>
    <w:rsid w:val="002B413A"/>
    <w:rsid w:val="00432942"/>
    <w:rsid w:val="004F56DB"/>
    <w:rsid w:val="00545459"/>
    <w:rsid w:val="006B1173"/>
    <w:rsid w:val="00854018"/>
    <w:rsid w:val="00A37AC4"/>
    <w:rsid w:val="00AD4236"/>
    <w:rsid w:val="00B76F7C"/>
    <w:rsid w:val="00CC7A67"/>
    <w:rsid w:val="00FF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25990"/>
  <w15:chartTrackingRefBased/>
  <w15:docId w15:val="{C77D1C67-4671-474C-92A0-BB7DD73B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101BCD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Times New Roman" w:hAnsi="Palatino Linotype"/>
      <w:color w:val="000000"/>
      <w:sz w:val="18"/>
      <w:lang w:val="en-US" w:eastAsia="de-DE" w:bidi="en-US"/>
    </w:rPr>
  </w:style>
  <w:style w:type="paragraph" w:customStyle="1" w:styleId="MDPI43tablefooter">
    <w:name w:val="MDPI_4.3_table_footer"/>
    <w:next w:val="Normal"/>
    <w:qFormat/>
    <w:rsid w:val="00101BC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color w:val="000000"/>
      <w:sz w:val="18"/>
      <w:lang w:val="en-US" w:eastAsia="de-DE" w:bidi="en-US"/>
    </w:rPr>
  </w:style>
  <w:style w:type="table" w:styleId="TableGrid">
    <w:name w:val="Table Grid"/>
    <w:basedOn w:val="TableNormal"/>
    <w:uiPriority w:val="59"/>
    <w:rsid w:val="00101BC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62Acknowledgments">
    <w:name w:val="MDPI_6.2_Acknowledgments"/>
    <w:qFormat/>
    <w:rsid w:val="00854018"/>
    <w:pPr>
      <w:adjustRightInd w:val="0"/>
      <w:snapToGrid w:val="0"/>
      <w:spacing w:before="120" w:after="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381907dfcc33f356e6f98b2c803e92b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88c7e62d0deef5593c624c248ee662c5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33E3C-C366-416B-B847-EDFA06C15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1D9CC-7530-4353-8DD9-E118013B40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D176DD-9F69-4D02-B11E-205B82830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6c50b-363d-4a7d-adb0-cfd422105622"/>
    <ds:schemaRef ds:uri="86f7edec-793f-422f-bf86-565db80f0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Chirita Emandi</dc:creator>
  <cp:keywords/>
  <dc:description/>
  <cp:lastModifiedBy>Mel Phimester</cp:lastModifiedBy>
  <cp:revision>2</cp:revision>
  <dcterms:created xsi:type="dcterms:W3CDTF">2020-11-05T20:54:00Z</dcterms:created>
  <dcterms:modified xsi:type="dcterms:W3CDTF">2020-11-05T20:54:00Z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