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DAC7C" w14:textId="77777777" w:rsidR="003710B2" w:rsidRPr="004C7894" w:rsidRDefault="00BC0982">
      <w:pPr>
        <w:rPr>
          <w:b/>
          <w:sz w:val="28"/>
        </w:rPr>
      </w:pPr>
      <w:r w:rsidRPr="004C7894">
        <w:rPr>
          <w:b/>
          <w:sz w:val="28"/>
        </w:rPr>
        <w:t>Supplementary appendix</w:t>
      </w:r>
    </w:p>
    <w:p w14:paraId="3AFEFF7E" w14:textId="77777777" w:rsidR="00BC0982" w:rsidRDefault="00BC0982">
      <w:pPr>
        <w:rPr>
          <w:b/>
          <w:sz w:val="24"/>
        </w:rPr>
      </w:pPr>
    </w:p>
    <w:p w14:paraId="639C54B8" w14:textId="04ABC85B" w:rsidR="00BC0982" w:rsidRPr="00876EDD" w:rsidRDefault="00494236">
      <w:pPr>
        <w:rPr>
          <w:b/>
          <w:sz w:val="24"/>
        </w:rPr>
      </w:pPr>
      <w:r>
        <w:rPr>
          <w:b/>
          <w:sz w:val="24"/>
        </w:rPr>
        <w:t>Un</w:t>
      </w:r>
      <w:r w:rsidR="00876EDD" w:rsidRPr="00876EDD">
        <w:rPr>
          <w:b/>
          <w:sz w:val="24"/>
        </w:rPr>
        <w:t xml:space="preserve">reported and overlooked: a </w:t>
      </w:r>
      <w:r w:rsidR="00876EDD" w:rsidRPr="00876EDD">
        <w:rPr>
          <w:b/>
          <w:i/>
          <w:sz w:val="24"/>
        </w:rPr>
        <w:t>post hoc</w:t>
      </w:r>
      <w:r w:rsidR="00876EDD" w:rsidRPr="00876EDD">
        <w:rPr>
          <w:b/>
          <w:sz w:val="24"/>
        </w:rPr>
        <w:t xml:space="preserve"> analysis of COPD symptom-related attacks from the RISE study</w:t>
      </w:r>
    </w:p>
    <w:p w14:paraId="7F6B0FC6" w14:textId="77777777" w:rsidR="00BC0982" w:rsidRDefault="00BC0982">
      <w:pPr>
        <w:rPr>
          <w:b/>
        </w:rPr>
      </w:pPr>
    </w:p>
    <w:p w14:paraId="49492593" w14:textId="12946D79" w:rsidR="00BC0982" w:rsidRDefault="00BC0982">
      <w:r w:rsidRPr="00BC0982">
        <w:t>Gary T. Ferguson</w:t>
      </w:r>
      <w:r w:rsidRPr="00BC0982">
        <w:rPr>
          <w:vertAlign w:val="superscript"/>
        </w:rPr>
        <w:t>1</w:t>
      </w:r>
      <w:r w:rsidRPr="00BC0982">
        <w:t>, Tor Skärby</w:t>
      </w:r>
      <w:r w:rsidRPr="00BC0982">
        <w:rPr>
          <w:vertAlign w:val="superscript"/>
        </w:rPr>
        <w:t>2</w:t>
      </w:r>
      <w:r w:rsidRPr="00BC0982">
        <w:t xml:space="preserve">, Lars </w:t>
      </w:r>
      <w:r w:rsidR="00AB274A">
        <w:t xml:space="preserve">H. </w:t>
      </w:r>
      <w:r w:rsidRPr="00BC0982">
        <w:t>Nordenmark</w:t>
      </w:r>
      <w:r w:rsidRPr="00BC0982">
        <w:rPr>
          <w:vertAlign w:val="superscript"/>
        </w:rPr>
        <w:t>2</w:t>
      </w:r>
      <w:r w:rsidRPr="00BC0982">
        <w:t xml:space="preserve">, </w:t>
      </w:r>
      <w:r w:rsidR="00B96B97">
        <w:t>Rosa Lamarca</w:t>
      </w:r>
      <w:r w:rsidR="00B96B97">
        <w:rPr>
          <w:vertAlign w:val="superscript"/>
        </w:rPr>
        <w:t>3</w:t>
      </w:r>
      <w:r w:rsidR="00B96B97">
        <w:t xml:space="preserve">, </w:t>
      </w:r>
      <w:r w:rsidRPr="00BC0982">
        <w:t>Audrone Aksomaityte</w:t>
      </w:r>
      <w:r w:rsidR="00B96B97">
        <w:rPr>
          <w:vertAlign w:val="superscript"/>
        </w:rPr>
        <w:t>4</w:t>
      </w:r>
      <w:r w:rsidRPr="00BC0982">
        <w:t>, Dan Lythgoe</w:t>
      </w:r>
      <w:r w:rsidR="00B96B97">
        <w:rPr>
          <w:vertAlign w:val="superscript"/>
        </w:rPr>
        <w:t>4</w:t>
      </w:r>
      <w:r w:rsidRPr="00BC0982">
        <w:t>, Ileen Gilbert</w:t>
      </w:r>
      <w:r w:rsidRPr="00BC0982">
        <w:rPr>
          <w:vertAlign w:val="superscript"/>
        </w:rPr>
        <w:t>5</w:t>
      </w:r>
      <w:r w:rsidRPr="00BC0982">
        <w:t>, Frank Trudo</w:t>
      </w:r>
      <w:r w:rsidRPr="00BC0982">
        <w:rPr>
          <w:vertAlign w:val="superscript"/>
        </w:rPr>
        <w:t>5</w:t>
      </w:r>
    </w:p>
    <w:p w14:paraId="163361FB" w14:textId="77777777" w:rsidR="00BC0982" w:rsidRDefault="00BC0982"/>
    <w:p w14:paraId="4C428B09" w14:textId="2D7718CB" w:rsidR="00BC0982" w:rsidRDefault="00BC0982">
      <w:r w:rsidRPr="00BC0982">
        <w:rPr>
          <w:vertAlign w:val="superscript"/>
        </w:rPr>
        <w:t>1</w:t>
      </w:r>
      <w:r w:rsidRPr="00BC0982">
        <w:t xml:space="preserve">Pulmonary Research Institute of Southeast Michigan, Farmington Hills, MI, USA;, </w:t>
      </w:r>
      <w:r w:rsidRPr="00BC0982">
        <w:rPr>
          <w:vertAlign w:val="superscript"/>
        </w:rPr>
        <w:t>2</w:t>
      </w:r>
      <w:r w:rsidRPr="00BC0982">
        <w:t xml:space="preserve">BioPharmaceuticals R&amp;D, AstraZeneca, Gothenburg, Sweden; </w:t>
      </w:r>
      <w:r w:rsidR="00B96B97">
        <w:rPr>
          <w:vertAlign w:val="superscript"/>
        </w:rPr>
        <w:t>3</w:t>
      </w:r>
      <w:r w:rsidRPr="00BC0982">
        <w:t>BioPharmaceuticals R&amp;D, AstraZeneca, Barcelona, Spain;</w:t>
      </w:r>
      <w:r w:rsidR="00B96B97" w:rsidRPr="00B96B97">
        <w:rPr>
          <w:vertAlign w:val="superscript"/>
        </w:rPr>
        <w:t xml:space="preserve"> </w:t>
      </w:r>
      <w:r w:rsidR="00B96B97">
        <w:rPr>
          <w:vertAlign w:val="superscript"/>
        </w:rPr>
        <w:t>4</w:t>
      </w:r>
      <w:r w:rsidR="00B96B97">
        <w:t>Phastar, London, UK;</w:t>
      </w:r>
      <w:r w:rsidRPr="00BC0982">
        <w:t xml:space="preserve"> </w:t>
      </w:r>
      <w:r w:rsidRPr="00BC0982">
        <w:rPr>
          <w:vertAlign w:val="superscript"/>
        </w:rPr>
        <w:t>5</w:t>
      </w:r>
      <w:r w:rsidRPr="00BC0982">
        <w:t>BioPharmaceuticals Medical – US, AstraZeneca LP, Wilmington, DE, USA</w:t>
      </w:r>
    </w:p>
    <w:p w14:paraId="2FDCC298" w14:textId="77777777" w:rsidR="00BC0982" w:rsidRDefault="00BC0982">
      <w:r>
        <w:br w:type="page"/>
      </w:r>
    </w:p>
    <w:p w14:paraId="43221164" w14:textId="77777777" w:rsidR="00B673C5" w:rsidRDefault="00B673C5">
      <w:pPr>
        <w:rPr>
          <w:b/>
          <w:sz w:val="28"/>
        </w:rPr>
      </w:pPr>
      <w:r>
        <w:rPr>
          <w:b/>
          <w:sz w:val="28"/>
        </w:rPr>
        <w:lastRenderedPageBreak/>
        <w:t>Methods</w:t>
      </w:r>
    </w:p>
    <w:p w14:paraId="0D0210CF" w14:textId="77777777" w:rsidR="00B673C5" w:rsidRPr="00B673C5" w:rsidRDefault="00B673C5">
      <w:pPr>
        <w:rPr>
          <w:b/>
          <w:sz w:val="24"/>
        </w:rPr>
      </w:pPr>
      <w:r>
        <w:rPr>
          <w:b/>
          <w:sz w:val="24"/>
        </w:rPr>
        <w:t>Lower respiratory tract infection (LTRI) and pneumonia event definitions</w:t>
      </w:r>
    </w:p>
    <w:p w14:paraId="234B82C2" w14:textId="77777777" w:rsidR="00B673C5" w:rsidRDefault="00B673C5">
      <w:r>
        <w:t>LRTI</w:t>
      </w:r>
      <w:r w:rsidRPr="00B673C5">
        <w:t xml:space="preserve"> </w:t>
      </w:r>
      <w:r>
        <w:t xml:space="preserve">include </w:t>
      </w:r>
      <w:r w:rsidRPr="00B673C5">
        <w:t>MedDRA (version 19.0) Preferred Term: Bronchitis, Bronchitis viral, Bronchitis bacterial, Lower respiratory tract infection, Lower respiratory tract infection viral, Lower respiratory tract infection bacterial, Infective exacerbation of chronic obstructive a</w:t>
      </w:r>
      <w:r>
        <w:t>irway disease, Pneumonia viral.</w:t>
      </w:r>
    </w:p>
    <w:p w14:paraId="22E410BD" w14:textId="77777777" w:rsidR="00B673C5" w:rsidRDefault="00B673C5">
      <w:r>
        <w:t>Pneumonias</w:t>
      </w:r>
      <w:r w:rsidRPr="00B673C5">
        <w:t xml:space="preserve"> include: Atypical pneumonia, Enterobacter pneumo</w:t>
      </w:r>
      <w:r>
        <w:t xml:space="preserve">nia, Lung infection, Pneumonia, </w:t>
      </w:r>
      <w:r w:rsidRPr="00B673C5">
        <w:t>Pneumonia anthrax, Pneumonia bacterial, Pneumonia Bo</w:t>
      </w:r>
      <w:r>
        <w:t xml:space="preserve">rdetella, Pneumonia chlamydial, </w:t>
      </w:r>
      <w:r w:rsidRPr="00B673C5">
        <w:t>Pneumonia Escherichia, Pneumonia haemophilus, Pneumonia Kl</w:t>
      </w:r>
      <w:r>
        <w:t xml:space="preserve">ebsiella, Pneumonia legionella, </w:t>
      </w:r>
      <w:r w:rsidRPr="00B673C5">
        <w:t xml:space="preserve">Pneumonia Moraxella, Pneumonia </w:t>
      </w:r>
      <w:proofErr w:type="spellStart"/>
      <w:r w:rsidRPr="00B673C5">
        <w:t>mycoplasmal</w:t>
      </w:r>
      <w:proofErr w:type="spellEnd"/>
      <w:r w:rsidRPr="00B673C5">
        <w:t>, Pneumonia necro</w:t>
      </w:r>
      <w:r>
        <w:t xml:space="preserve">tising, Pneumonia pneumococcal, </w:t>
      </w:r>
      <w:r w:rsidRPr="00B673C5">
        <w:t>Pneumonia pse</w:t>
      </w:r>
      <w:r>
        <w:t xml:space="preserve">udomonal, Pneumonia salmonella, Pneumonia staphylococcal, Pneumonia streptococcal, </w:t>
      </w:r>
      <w:r w:rsidRPr="00B673C5">
        <w:t>Pneumonia tularaemia, Psittacosis</w:t>
      </w:r>
    </w:p>
    <w:p w14:paraId="2262E858" w14:textId="6B80A453" w:rsidR="00B673C5" w:rsidRDefault="00B673C5">
      <w:r>
        <w:t>Subject E0206010 taking formoterol 4.5 µ</w:t>
      </w:r>
      <w:r w:rsidRPr="00B673C5">
        <w:t xml:space="preserve">g x2 </w:t>
      </w:r>
      <w:r>
        <w:t>twice daily (BID)</w:t>
      </w:r>
      <w:r w:rsidRPr="00B673C5">
        <w:t xml:space="preserve"> had a Pneumonia bacterial event and is not reported in th</w:t>
      </w:r>
      <w:r>
        <w:t xml:space="preserve">e analysis, </w:t>
      </w:r>
      <w:r w:rsidRPr="00B673C5">
        <w:t xml:space="preserve">as they were not assigned a COPD event definition due to the lack of </w:t>
      </w:r>
      <w:r w:rsidR="00DE0268">
        <w:t xml:space="preserve">information on </w:t>
      </w:r>
      <w:r w:rsidRPr="00B673C5">
        <w:t>baseline</w:t>
      </w:r>
      <w:r w:rsidR="00377C41">
        <w:t xml:space="preserve"> </w:t>
      </w:r>
      <w:r w:rsidRPr="00B673C5">
        <w:t>rescu</w:t>
      </w:r>
      <w:r>
        <w:t>e medication use.</w:t>
      </w:r>
    </w:p>
    <w:p w14:paraId="07415036" w14:textId="77777777" w:rsidR="00A562BB" w:rsidRDefault="00A562BB"/>
    <w:p w14:paraId="6FAED997" w14:textId="45F8FE9C" w:rsidR="00A562BB" w:rsidRDefault="003E3081">
      <w:pPr>
        <w:rPr>
          <w:b/>
          <w:sz w:val="24"/>
        </w:rPr>
      </w:pPr>
      <w:r>
        <w:rPr>
          <w:b/>
          <w:sz w:val="24"/>
        </w:rPr>
        <w:t>Electronic diary (</w:t>
      </w:r>
      <w:proofErr w:type="spellStart"/>
      <w:r w:rsidR="00A562BB">
        <w:rPr>
          <w:b/>
          <w:sz w:val="24"/>
        </w:rPr>
        <w:t>eDiary</w:t>
      </w:r>
      <w:proofErr w:type="spellEnd"/>
      <w:r>
        <w:rPr>
          <w:b/>
          <w:sz w:val="24"/>
        </w:rPr>
        <w:t>)</w:t>
      </w:r>
      <w:r w:rsidR="00A562BB">
        <w:rPr>
          <w:b/>
          <w:sz w:val="24"/>
        </w:rPr>
        <w:t xml:space="preserve"> assessments</w:t>
      </w:r>
      <w:r>
        <w:rPr>
          <w:b/>
          <w:sz w:val="24"/>
        </w:rPr>
        <w:t xml:space="preserve"> in the RISE study</w:t>
      </w:r>
    </w:p>
    <w:p w14:paraId="2E9A0BA2" w14:textId="77777777" w:rsidR="00657546" w:rsidRPr="00B148D5" w:rsidRDefault="00657546" w:rsidP="00A562BB">
      <w:pPr>
        <w:rPr>
          <w:b/>
        </w:rPr>
      </w:pPr>
      <w:r w:rsidRPr="00B148D5">
        <w:rPr>
          <w:b/>
        </w:rPr>
        <w:t>Major/minor symptom worsening assessment</w:t>
      </w:r>
    </w:p>
    <w:p w14:paraId="2E228337" w14:textId="7C59D1D2" w:rsidR="00A562BB" w:rsidRDefault="00A562BB" w:rsidP="00A562BB">
      <w:r>
        <w:t>Symptoms w</w:t>
      </w:r>
      <w:r w:rsidR="00ED0564">
        <w:t>ere</w:t>
      </w:r>
      <w:r>
        <w:t xml:space="preserve"> assessed from Visit 1</w:t>
      </w:r>
      <w:r w:rsidR="00ED0564">
        <w:t xml:space="preserve"> (</w:t>
      </w:r>
      <w:r w:rsidR="00ED0564" w:rsidRPr="00012D24">
        <w:rPr>
          <w:lang w:val="en-US"/>
        </w:rPr>
        <w:t>Enrollment</w:t>
      </w:r>
      <w:r w:rsidR="00ED0564">
        <w:t>)</w:t>
      </w:r>
      <w:r>
        <w:t xml:space="preserve"> onward each morning for the purposes of a symptom worsening al</w:t>
      </w:r>
      <w:r w:rsidR="00ED0564">
        <w:t>ert. The purpose of this alert wa</w:t>
      </w:r>
      <w:r>
        <w:t xml:space="preserve">s to notify both the subject and the study </w:t>
      </w:r>
      <w:proofErr w:type="spellStart"/>
      <w:r>
        <w:t>center</w:t>
      </w:r>
      <w:proofErr w:type="spellEnd"/>
      <w:r>
        <w:t xml:space="preserve"> of a potential sympt</w:t>
      </w:r>
      <w:r w:rsidR="00ED0564">
        <w:t>om worsening event that warranted</w:t>
      </w:r>
      <w:r>
        <w:t xml:space="preserve"> contact between the subject and </w:t>
      </w:r>
      <w:proofErr w:type="spellStart"/>
      <w:r>
        <w:t>center</w:t>
      </w:r>
      <w:proofErr w:type="spellEnd"/>
      <w:r>
        <w:t xml:space="preserve"> for further evaluation.</w:t>
      </w:r>
    </w:p>
    <w:p w14:paraId="7D10A8D2" w14:textId="1AE93C70" w:rsidR="00A562BB" w:rsidRDefault="00A562BB" w:rsidP="00A562BB">
      <w:r>
        <w:t>Each morning the subject complete</w:t>
      </w:r>
      <w:r w:rsidR="00ED0564">
        <w:t>d</w:t>
      </w:r>
      <w:r>
        <w:t xml:space="preserve"> 3 questions pertaining to the major symptoms of a worsening event (</w:t>
      </w:r>
      <w:proofErr w:type="spellStart"/>
      <w:r>
        <w:t>dyspnea</w:t>
      </w:r>
      <w:proofErr w:type="spellEnd"/>
      <w:r>
        <w:t xml:space="preserve">, sputum volume, and sputum </w:t>
      </w:r>
      <w:proofErr w:type="spellStart"/>
      <w:r>
        <w:t>color</w:t>
      </w:r>
      <w:proofErr w:type="spellEnd"/>
      <w:r>
        <w:t>; (</w:t>
      </w:r>
      <w:proofErr w:type="spellStart"/>
      <w:r>
        <w:t>Anthonisen</w:t>
      </w:r>
      <w:proofErr w:type="spellEnd"/>
      <w:r>
        <w:t xml:space="preserve"> et al 1987)</w:t>
      </w:r>
      <w:r w:rsidR="00F20F6E">
        <w:rPr>
          <w:vertAlign w:val="superscript"/>
        </w:rPr>
        <w:t>1</w:t>
      </w:r>
      <w:r>
        <w:t xml:space="preserve">). </w:t>
      </w:r>
      <w:r w:rsidR="00ED0564">
        <w:t>A subject reporting</w:t>
      </w:r>
      <w:r>
        <w:t xml:space="preserve"> worsening of </w:t>
      </w:r>
      <w:r w:rsidR="00ED0564">
        <w:t>≥</w:t>
      </w:r>
      <w:r>
        <w:t>1 of these symptoms trigger</w:t>
      </w:r>
      <w:r w:rsidR="00ED0564">
        <w:t>ed</w:t>
      </w:r>
      <w:r>
        <w:t xml:space="preserve"> assessment of the minor symptoms of a worsening event (sore throat, cold, fever without other cause, cough, and wheeze). All questions </w:t>
      </w:r>
      <w:r w:rsidR="00ED0564">
        <w:t>had</w:t>
      </w:r>
      <w:r>
        <w:t xml:space="preserve"> a 24-hour recall period. Questions pertaining to the severity of symptoms vs. their usual state </w:t>
      </w:r>
      <w:r w:rsidR="00ED0564">
        <w:t>had</w:t>
      </w:r>
      <w:r>
        <w:t xml:space="preserve"> 3 response options (e.g. How breathless have you been in the last 24 hours? Less breathlessness than usual, Usual level of breathlessness, More breathless than usual) whereas questions related to the presence or absence of a symptom </w:t>
      </w:r>
      <w:r w:rsidR="00ED0564">
        <w:t>had</w:t>
      </w:r>
      <w:r>
        <w:t xml:space="preserve"> a dichotomous response (e.g. Have you had a sore throat in the last 24 hours? No, Yes, I had a sore throat).</w:t>
      </w:r>
    </w:p>
    <w:p w14:paraId="21DE7BFB" w14:textId="45FEE5D6" w:rsidR="00A562BB" w:rsidRDefault="00A562BB" w:rsidP="00A562BB">
      <w:r>
        <w:t xml:space="preserve">These questions </w:t>
      </w:r>
      <w:r w:rsidR="00ED0564">
        <w:t>were</w:t>
      </w:r>
      <w:r>
        <w:t xml:space="preserve"> used for a symptom worsening alert system. An alert w</w:t>
      </w:r>
      <w:r w:rsidR="00ED0564">
        <w:t>as</w:t>
      </w:r>
      <w:r>
        <w:t xml:space="preserve"> triggered if </w:t>
      </w:r>
      <w:r w:rsidR="00ED0564">
        <w:t>≥2</w:t>
      </w:r>
      <w:r>
        <w:t xml:space="preserve"> major symptoms (</w:t>
      </w:r>
      <w:proofErr w:type="spellStart"/>
      <w:r>
        <w:t>dyspnea</w:t>
      </w:r>
      <w:proofErr w:type="spellEnd"/>
      <w:r>
        <w:t xml:space="preserve">, sputum volume, and sputum </w:t>
      </w:r>
      <w:proofErr w:type="spellStart"/>
      <w:r>
        <w:t>color</w:t>
      </w:r>
      <w:proofErr w:type="spellEnd"/>
      <w:r>
        <w:t>/purulence) worsen</w:t>
      </w:r>
      <w:r w:rsidR="00ED0564">
        <w:t>ed</w:t>
      </w:r>
      <w:r>
        <w:t xml:space="preserve"> for </w:t>
      </w:r>
      <w:r w:rsidR="00ED0564">
        <w:t>≥2</w:t>
      </w:r>
      <w:r>
        <w:t xml:space="preserve"> consecutive days or if one major symptom and one </w:t>
      </w:r>
      <w:r w:rsidR="00DE0268">
        <w:t xml:space="preserve">or more </w:t>
      </w:r>
      <w:r>
        <w:t>minor symptom (sore throat, cold, fever without other cause, cough, and wheeze) worsen</w:t>
      </w:r>
      <w:r w:rsidR="00ED0564">
        <w:t>ed</w:t>
      </w:r>
      <w:r>
        <w:t xml:space="preserve"> for </w:t>
      </w:r>
      <w:r w:rsidR="00ED0564">
        <w:t>≥2</w:t>
      </w:r>
      <w:r>
        <w:t xml:space="preserve"> consecutive days. When either of these</w:t>
      </w:r>
      <w:r w:rsidR="00ED0564">
        <w:t xml:space="preserve"> criteria was</w:t>
      </w:r>
      <w:r>
        <w:t xml:space="preserve"> met</w:t>
      </w:r>
      <w:r w:rsidR="00ED0564">
        <w:t>,</w:t>
      </w:r>
      <w:r>
        <w:t xml:space="preserve"> the subject w</w:t>
      </w:r>
      <w:r w:rsidR="00ED0564">
        <w:t>as</w:t>
      </w:r>
      <w:r>
        <w:t xml:space="preserve"> alerted via the </w:t>
      </w:r>
      <w:r w:rsidR="003E3081">
        <w:t>electronic patient reported outcome (</w:t>
      </w:r>
      <w:r>
        <w:t>ePRO</w:t>
      </w:r>
      <w:r w:rsidR="003E3081">
        <w:t>)</w:t>
      </w:r>
      <w:r>
        <w:t xml:space="preserve"> device to contact the study site for further evaluation. Likewise</w:t>
      </w:r>
      <w:r w:rsidR="00ED0564">
        <w:t>,</w:t>
      </w:r>
      <w:r>
        <w:t xml:space="preserve"> the study site w</w:t>
      </w:r>
      <w:r w:rsidR="00ED0564">
        <w:t xml:space="preserve">as </w:t>
      </w:r>
      <w:r>
        <w:t>alerted to cont</w:t>
      </w:r>
      <w:r w:rsidR="00ED0564">
        <w:t>act the subject if he or she had</w:t>
      </w:r>
      <w:r>
        <w:t xml:space="preserve"> not yet contacted the study site for further evaluation.</w:t>
      </w:r>
    </w:p>
    <w:p w14:paraId="7BABCD94" w14:textId="77777777" w:rsidR="00657546" w:rsidRDefault="00657546" w:rsidP="00A562BB"/>
    <w:p w14:paraId="3AAB6713" w14:textId="77777777" w:rsidR="00657546" w:rsidRPr="00B148D5" w:rsidRDefault="00657546" w:rsidP="00657546">
      <w:pPr>
        <w:rPr>
          <w:b/>
        </w:rPr>
      </w:pPr>
      <w:r w:rsidRPr="00B148D5">
        <w:rPr>
          <w:b/>
        </w:rPr>
        <w:t>Rescue Medication Use</w:t>
      </w:r>
    </w:p>
    <w:p w14:paraId="59BC56E5" w14:textId="16615B03" w:rsidR="00657546" w:rsidRDefault="00ED0564" w:rsidP="00657546">
      <w:r>
        <w:t>The number of inhalations</w:t>
      </w:r>
      <w:r w:rsidR="00657546">
        <w:t xml:space="preserve"> of reliever medication taken during daytime and </w:t>
      </w:r>
      <w:proofErr w:type="spellStart"/>
      <w:r w:rsidR="00657546">
        <w:t>nighttime</w:t>
      </w:r>
      <w:proofErr w:type="spellEnd"/>
      <w:r w:rsidR="00657546">
        <w:t xml:space="preserve"> w</w:t>
      </w:r>
      <w:r>
        <w:t>ere</w:t>
      </w:r>
      <w:r w:rsidR="00657546">
        <w:t xml:space="preserve"> recorded by the subject in the </w:t>
      </w:r>
      <w:proofErr w:type="spellStart"/>
      <w:r w:rsidR="00657546">
        <w:t>eDiary</w:t>
      </w:r>
      <w:proofErr w:type="spellEnd"/>
      <w:r w:rsidR="00657546">
        <w:t xml:space="preserve"> from Visit 1 to the end of the study.</w:t>
      </w:r>
    </w:p>
    <w:p w14:paraId="6AA18CC8" w14:textId="77777777" w:rsidR="00657546" w:rsidRPr="00B148D5" w:rsidRDefault="00657546" w:rsidP="00657546">
      <w:pPr>
        <w:rPr>
          <w:b/>
        </w:rPr>
      </w:pPr>
      <w:r w:rsidRPr="00B148D5">
        <w:rPr>
          <w:b/>
        </w:rPr>
        <w:t>Study Medication Use</w:t>
      </w:r>
    </w:p>
    <w:p w14:paraId="4A2360BC" w14:textId="31BB31AE" w:rsidR="00657546" w:rsidRDefault="00657546" w:rsidP="00657546">
      <w:r w:rsidRPr="00657546">
        <w:t>Study Medication administration w</w:t>
      </w:r>
      <w:r w:rsidR="00ED0564">
        <w:t>as</w:t>
      </w:r>
      <w:r w:rsidRPr="00657546">
        <w:t xml:space="preserve"> recorded in the </w:t>
      </w:r>
      <w:proofErr w:type="spellStart"/>
      <w:r w:rsidRPr="00657546">
        <w:t>eDiary</w:t>
      </w:r>
      <w:proofErr w:type="spellEnd"/>
      <w:r w:rsidRPr="00657546">
        <w:t xml:space="preserve"> in the morning and in the evening as “yes” or “no”.</w:t>
      </w:r>
    </w:p>
    <w:p w14:paraId="295E6C7B" w14:textId="4821434D" w:rsidR="00657546" w:rsidRPr="00B148D5" w:rsidRDefault="00657546" w:rsidP="00657546">
      <w:pPr>
        <w:rPr>
          <w:b/>
        </w:rPr>
      </w:pPr>
      <w:proofErr w:type="spellStart"/>
      <w:r w:rsidRPr="00B148D5">
        <w:rPr>
          <w:b/>
        </w:rPr>
        <w:t>Nighttime</w:t>
      </w:r>
      <w:proofErr w:type="spellEnd"/>
      <w:r w:rsidRPr="00B148D5">
        <w:rPr>
          <w:b/>
        </w:rPr>
        <w:t xml:space="preserve"> awakenings</w:t>
      </w:r>
    </w:p>
    <w:p w14:paraId="267463A2" w14:textId="238C97EE" w:rsidR="00657546" w:rsidRDefault="00657546" w:rsidP="00657546">
      <w:proofErr w:type="spellStart"/>
      <w:r>
        <w:t>Nighttime</w:t>
      </w:r>
      <w:proofErr w:type="spellEnd"/>
      <w:r>
        <w:t xml:space="preserve"> awakening (yes/no) w</w:t>
      </w:r>
      <w:r w:rsidR="003E3081">
        <w:t>ere</w:t>
      </w:r>
      <w:r>
        <w:t xml:space="preserve"> recorded in the morning upon wakening daily by the subject in the </w:t>
      </w:r>
      <w:proofErr w:type="spellStart"/>
      <w:r>
        <w:t>eDairy</w:t>
      </w:r>
      <w:proofErr w:type="spellEnd"/>
      <w:r>
        <w:t xml:space="preserve"> from Visit 1 to the end of the study. Subject</w:t>
      </w:r>
      <w:r w:rsidR="003E3081">
        <w:t xml:space="preserve">s were </w:t>
      </w:r>
      <w:r>
        <w:t>instructed to record only awakenings due to respiratory symptoms (cough, worsening shortness of breath, wheezing).</w:t>
      </w:r>
    </w:p>
    <w:p w14:paraId="5A1EF320" w14:textId="743F159F" w:rsidR="00657546" w:rsidRPr="00B148D5" w:rsidRDefault="00657546" w:rsidP="00657546">
      <w:pPr>
        <w:rPr>
          <w:b/>
        </w:rPr>
      </w:pPr>
      <w:r w:rsidRPr="00B148D5">
        <w:rPr>
          <w:b/>
        </w:rPr>
        <w:t>St. George’s Respiratory Questionnaire (SGRQ)</w:t>
      </w:r>
    </w:p>
    <w:p w14:paraId="08FAB35F" w14:textId="49692E16" w:rsidR="00657546" w:rsidRDefault="00657546" w:rsidP="00657546">
      <w:r>
        <w:t>The SGRQ is a 50-item PRO instrument developed to measure the health status of subjects with airway obstruction diseases.</w:t>
      </w:r>
      <w:r w:rsidR="00F20F6E">
        <w:rPr>
          <w:vertAlign w:val="superscript"/>
        </w:rPr>
        <w:t>2</w:t>
      </w:r>
      <w:r>
        <w:t xml:space="preserve"> The questionnaire is divided into two parts: part 1 consists of 8 items related to the frequency of respiratory symptoms in the preceding 4 weeks; part 2 consists of 42 items related to the daily activity and psychosocial impacts of the individual’s respiratory condition. The SGRQ yields a total score and three domain scores (symptoms, activity, and impacts). The total score indicates the impact of disease on overall health status. This total score is expressed as score from 0 to 100, in which 100 represents the worst possible health status and 0 indicates the best possible health status. Likewise, the domain scores range from 0 to 100, with higher scores indicative of greater impairment. Specific details on the scoring algorithms are provided by the develop</w:t>
      </w:r>
      <w:r w:rsidR="003A3631">
        <w:t>er in a user manual</w:t>
      </w:r>
      <w:r>
        <w:t>.</w:t>
      </w:r>
      <w:r w:rsidR="00F20F6E">
        <w:rPr>
          <w:vertAlign w:val="superscript"/>
        </w:rPr>
        <w:t>3</w:t>
      </w:r>
      <w:r>
        <w:t xml:space="preserve"> The assessment of SGRQ w</w:t>
      </w:r>
      <w:r w:rsidR="003A3631">
        <w:t>as on</w:t>
      </w:r>
      <w:r>
        <w:t>ly performed in countries and language</w:t>
      </w:r>
      <w:r w:rsidR="003A3631">
        <w:t>s where validated translations we</w:t>
      </w:r>
      <w:r>
        <w:t xml:space="preserve">re available. Patients who </w:t>
      </w:r>
      <w:r w:rsidR="003A3631">
        <w:t>we</w:t>
      </w:r>
      <w:r>
        <w:t xml:space="preserve">re not fluent in any of the local languages </w:t>
      </w:r>
      <w:r w:rsidR="003A3631">
        <w:t>did</w:t>
      </w:r>
      <w:r>
        <w:t xml:space="preserve"> not perform the SGRQ assessments, but they </w:t>
      </w:r>
      <w:r w:rsidR="003A3631">
        <w:t>were</w:t>
      </w:r>
      <w:r>
        <w:t xml:space="preserve"> still</w:t>
      </w:r>
      <w:r w:rsidR="003A3631">
        <w:t xml:space="preserve"> allowed to</w:t>
      </w:r>
      <w:r>
        <w:t xml:space="preserve"> participate in the study. The SGRQ w</w:t>
      </w:r>
      <w:r w:rsidR="003A3631">
        <w:t>as</w:t>
      </w:r>
      <w:r>
        <w:t xml:space="preserve"> completed by the subject at clinical</w:t>
      </w:r>
      <w:r w:rsidR="00DA49F2">
        <w:t xml:space="preserve"> visits.</w:t>
      </w:r>
    </w:p>
    <w:p w14:paraId="39C39315" w14:textId="77777777" w:rsidR="00657546" w:rsidRPr="00B148D5" w:rsidRDefault="00657546" w:rsidP="00A562BB">
      <w:pPr>
        <w:rPr>
          <w:b/>
        </w:rPr>
      </w:pPr>
      <w:r w:rsidRPr="00B148D5">
        <w:rPr>
          <w:b/>
        </w:rPr>
        <w:t xml:space="preserve">The Modified Medical Research Council (MMRC) </w:t>
      </w:r>
      <w:proofErr w:type="spellStart"/>
      <w:r w:rsidRPr="00B148D5">
        <w:rPr>
          <w:b/>
        </w:rPr>
        <w:t>dyspnea</w:t>
      </w:r>
      <w:proofErr w:type="spellEnd"/>
      <w:r w:rsidRPr="00B148D5">
        <w:rPr>
          <w:b/>
        </w:rPr>
        <w:t xml:space="preserve"> scale</w:t>
      </w:r>
    </w:p>
    <w:p w14:paraId="14C00454" w14:textId="45595CCD" w:rsidR="00657546" w:rsidRPr="00B148D5" w:rsidRDefault="00657546" w:rsidP="00A562BB">
      <w:r w:rsidRPr="00657546">
        <w:t xml:space="preserve">The MMRC </w:t>
      </w:r>
      <w:proofErr w:type="spellStart"/>
      <w:r w:rsidRPr="00657546">
        <w:t>dyspnea</w:t>
      </w:r>
      <w:proofErr w:type="spellEnd"/>
      <w:r w:rsidRPr="00657546">
        <w:t xml:space="preserve"> scale uses a simple grading system to assess a subject’s level of </w:t>
      </w:r>
      <w:proofErr w:type="spellStart"/>
      <w:r w:rsidRPr="00657546">
        <w:t>dyspnea</w:t>
      </w:r>
      <w:proofErr w:type="spellEnd"/>
      <w:r w:rsidRPr="00657546">
        <w:t xml:space="preserve"> that consists of five statements about perceived breathlessness. It is an interviewer-administered ordinal scale on which subjects provide their </w:t>
      </w:r>
      <w:proofErr w:type="spellStart"/>
      <w:r w:rsidRPr="00657546">
        <w:t>dyspnea</w:t>
      </w:r>
      <w:proofErr w:type="spellEnd"/>
      <w:r w:rsidRPr="00657546">
        <w:t xml:space="preserve"> according to five grades of increasing severity (scores ranges from 0 (none) to 4 (very severe)) This w</w:t>
      </w:r>
      <w:r w:rsidR="00DA49F2">
        <w:t>as</w:t>
      </w:r>
      <w:r w:rsidRPr="00657546">
        <w:t xml:space="preserve"> recorded at</w:t>
      </w:r>
      <w:r>
        <w:t xml:space="preserve"> </w:t>
      </w:r>
      <w:r w:rsidRPr="00657546">
        <w:t>Visit 2 and a score of ≥2 w</w:t>
      </w:r>
      <w:r w:rsidR="00DA49F2">
        <w:t>as</w:t>
      </w:r>
      <w:r w:rsidRPr="00657546">
        <w:t xml:space="preserve"> required for inclusion into the study.</w:t>
      </w:r>
    </w:p>
    <w:p w14:paraId="1293FF04" w14:textId="77777777" w:rsidR="00A562BB" w:rsidRDefault="00A562BB">
      <w:pPr>
        <w:rPr>
          <w:b/>
          <w:sz w:val="24"/>
        </w:rPr>
      </w:pPr>
    </w:p>
    <w:p w14:paraId="52AB01E9" w14:textId="5600CBC9" w:rsidR="00A562BB" w:rsidRPr="00B148D5" w:rsidRDefault="004401EB">
      <w:pPr>
        <w:rPr>
          <w:b/>
          <w:sz w:val="24"/>
        </w:rPr>
      </w:pPr>
      <w:r>
        <w:rPr>
          <w:b/>
          <w:sz w:val="24"/>
        </w:rPr>
        <w:t>Use of n</w:t>
      </w:r>
      <w:r w:rsidR="00A562BB">
        <w:rPr>
          <w:b/>
          <w:sz w:val="24"/>
        </w:rPr>
        <w:t>ebulizers</w:t>
      </w:r>
    </w:p>
    <w:p w14:paraId="36C112A7" w14:textId="0ABB3953" w:rsidR="00657546" w:rsidRDefault="00E66372">
      <w:r>
        <w:t>Inhaled or nebulized</w:t>
      </w:r>
      <w:r w:rsidRPr="00E66372">
        <w:t xml:space="preserve"> </w:t>
      </w:r>
      <w:r>
        <w:t>short-acting β</w:t>
      </w:r>
      <w:r w:rsidRPr="002855E8">
        <w:rPr>
          <w:vertAlign w:val="subscript"/>
        </w:rPr>
        <w:t>2</w:t>
      </w:r>
      <w:r>
        <w:t>-agonist (</w:t>
      </w:r>
      <w:r w:rsidRPr="00B148D5">
        <w:t>SABA</w:t>
      </w:r>
      <w:r>
        <w:t>), or short-acting muscarinic antagonist (</w:t>
      </w:r>
      <w:r w:rsidR="00657546" w:rsidRPr="00B148D5">
        <w:t>SAMA</w:t>
      </w:r>
      <w:r>
        <w:t>)</w:t>
      </w:r>
      <w:r w:rsidR="00657546" w:rsidRPr="00B148D5">
        <w:t>/SABA combinations</w:t>
      </w:r>
      <w:r w:rsidR="00657546">
        <w:t xml:space="preserve"> could be continued at Visit 1 but were withheld 6 hours prior to Visit 2 (Run-in). Nebulizers were then discontinued from Visit 2.</w:t>
      </w:r>
    </w:p>
    <w:p w14:paraId="0AF62104" w14:textId="77777777" w:rsidR="004401EB" w:rsidRDefault="004401EB">
      <w:pPr>
        <w:rPr>
          <w:sz w:val="28"/>
        </w:rPr>
      </w:pPr>
      <w:r w:rsidRPr="004401EB">
        <w:lastRenderedPageBreak/>
        <w:t>Nebulized treatment with</w:t>
      </w:r>
      <w:r>
        <w:t xml:space="preserve"> ICS,</w:t>
      </w:r>
      <w:r w:rsidRPr="004401EB">
        <w:t xml:space="preserve"> β</w:t>
      </w:r>
      <w:r w:rsidRPr="00B148D5">
        <w:rPr>
          <w:vertAlign w:val="subscript"/>
        </w:rPr>
        <w:t>2</w:t>
      </w:r>
      <w:r w:rsidRPr="004401EB">
        <w:t>-agonists and ipratropium</w:t>
      </w:r>
      <w:r w:rsidR="00657546">
        <w:t xml:space="preserve"> was allowed </w:t>
      </w:r>
      <w:r>
        <w:t xml:space="preserve">in the event of a COPD exacerbation </w:t>
      </w:r>
      <w:r w:rsidR="00657546">
        <w:t>after Visit 3 (Randomization)</w:t>
      </w:r>
      <w:r>
        <w:t xml:space="preserve"> when given</w:t>
      </w:r>
      <w:r w:rsidR="00657546">
        <w:t xml:space="preserve"> </w:t>
      </w:r>
      <w:r w:rsidR="00657546" w:rsidRPr="00657546">
        <w:t>concomitantly with systemic steroids and/or ant</w:t>
      </w:r>
      <w:r w:rsidR="00657546">
        <w:t>ibiotics during an exacerbation; use on their own or “step-up” was not allowed.</w:t>
      </w:r>
      <w:r w:rsidRPr="004401EB">
        <w:t xml:space="preserve"> </w:t>
      </w:r>
      <w:r>
        <w:t xml:space="preserve">Nebulized ICS could only be </w:t>
      </w:r>
      <w:r w:rsidRPr="00657546">
        <w:t xml:space="preserve">given </w:t>
      </w:r>
      <w:r>
        <w:t>during hospitalization/ER treatment for a COPD exacerbation.</w:t>
      </w:r>
      <w:r w:rsidRPr="004401EB">
        <w:rPr>
          <w:sz w:val="28"/>
        </w:rPr>
        <w:t xml:space="preserve"> </w:t>
      </w:r>
    </w:p>
    <w:p w14:paraId="6B1D7A5C" w14:textId="5D567599" w:rsidR="005D7C51" w:rsidRDefault="004401EB">
      <w:r w:rsidRPr="00B148D5">
        <w:t xml:space="preserve">Rescue use of SABA administered via nebulization, outside of managing an </w:t>
      </w:r>
      <w:r w:rsidRPr="004401EB">
        <w:t xml:space="preserve">acute COPD exacerbation event, </w:t>
      </w:r>
      <w:r>
        <w:t>wa</w:t>
      </w:r>
      <w:r w:rsidRPr="00B148D5">
        <w:t>s discourag</w:t>
      </w:r>
      <w:r w:rsidRPr="004401EB">
        <w:t>ed unless the Investigator deem</w:t>
      </w:r>
      <w:r>
        <w:t>ed</w:t>
      </w:r>
      <w:r w:rsidRPr="00B148D5">
        <w:t xml:space="preserve"> access to nebulized SABA </w:t>
      </w:r>
      <w:r>
        <w:t>a</w:t>
      </w:r>
      <w:r w:rsidRPr="00B148D5">
        <w:t>s essentia</w:t>
      </w:r>
      <w:r w:rsidRPr="004401EB">
        <w:t>l for that subject. Occasions (</w:t>
      </w:r>
      <w:r>
        <w:t>number</w:t>
      </w:r>
      <w:r w:rsidRPr="00B148D5">
        <w:t xml:space="preserve"> of times used) where SABA was administered via nebulization w</w:t>
      </w:r>
      <w:r>
        <w:t xml:space="preserve">ere </w:t>
      </w:r>
      <w:r w:rsidRPr="00B148D5">
        <w:t xml:space="preserve">recorded separately from </w:t>
      </w:r>
      <w:r w:rsidR="00E66372">
        <w:t>pressurized metered dose inhaler (</w:t>
      </w:r>
      <w:proofErr w:type="spellStart"/>
      <w:r w:rsidRPr="00B148D5">
        <w:t>pMDI</w:t>
      </w:r>
      <w:proofErr w:type="spellEnd"/>
      <w:r w:rsidR="00E66372">
        <w:t>)</w:t>
      </w:r>
      <w:r w:rsidRPr="00B148D5">
        <w:t xml:space="preserve"> inhalations at each clinic visit. </w:t>
      </w:r>
      <w:r w:rsidRPr="004401EB">
        <w:t>Switching patients from SAMA/SABA combination (including nebulized form) or nebul</w:t>
      </w:r>
      <w:r>
        <w:t xml:space="preserve">ized SAMA to SAMA </w:t>
      </w:r>
      <w:proofErr w:type="spellStart"/>
      <w:r>
        <w:t>pMDI</w:t>
      </w:r>
      <w:proofErr w:type="spellEnd"/>
      <w:r>
        <w:t xml:space="preserve"> wa</w:t>
      </w:r>
      <w:r w:rsidRPr="004401EB">
        <w:t xml:space="preserve">s not allowed from Visit 1 and throughout the duration of the study. </w:t>
      </w:r>
    </w:p>
    <w:p w14:paraId="5006A538" w14:textId="77777777" w:rsidR="005D7C51" w:rsidRDefault="005D7C51"/>
    <w:p w14:paraId="095DF16D" w14:textId="0D600778" w:rsidR="005D7C51" w:rsidRPr="005D7C51" w:rsidRDefault="005D7C51">
      <w:pPr>
        <w:rPr>
          <w:b/>
          <w:sz w:val="24"/>
        </w:rPr>
      </w:pPr>
      <w:r w:rsidRPr="005D7C51">
        <w:rPr>
          <w:b/>
          <w:sz w:val="24"/>
        </w:rPr>
        <w:t>COPD exacerbation duration</w:t>
      </w:r>
    </w:p>
    <w:p w14:paraId="1ED4EA35" w14:textId="586900C2" w:rsidR="005D7C51" w:rsidRPr="005D7C51" w:rsidRDefault="005D7C51">
      <w:r>
        <w:t>The start of an exacerbation wa</w:t>
      </w:r>
      <w:r w:rsidRPr="005D7C51">
        <w:t>s defined as the start date of systemic corticosteroids and/or antibiotics or hosp</w:t>
      </w:r>
      <w:r>
        <w:t>ital admission, whichever occurred earlier, and the end date wa</w:t>
      </w:r>
      <w:r w:rsidRPr="005D7C51">
        <w:t>s defined as the last day of systemic corticosteroids and/or antibiotics or hospital</w:t>
      </w:r>
      <w:r>
        <w:t xml:space="preserve"> discharge, whichever occurred</w:t>
      </w:r>
      <w:r w:rsidRPr="005D7C51">
        <w:t xml:space="preserve"> later.</w:t>
      </w:r>
    </w:p>
    <w:p w14:paraId="47784EF6" w14:textId="71B8BB81" w:rsidR="00B673C5" w:rsidRPr="00B148D5" w:rsidRDefault="005D7C51">
      <w:pPr>
        <w:rPr>
          <w:sz w:val="28"/>
        </w:rPr>
      </w:pPr>
      <w:r>
        <w:t>A COPD exacerbation that occurred</w:t>
      </w:r>
      <w:r w:rsidRPr="005D7C51">
        <w:t xml:space="preserve"> ≤7 days of hospital discharge, the last dose of systemic steroids (oral, </w:t>
      </w:r>
      <w:r>
        <w:t>intramuscular</w:t>
      </w:r>
      <w:r w:rsidRPr="005D7C51">
        <w:t xml:space="preserve">, </w:t>
      </w:r>
      <w:r>
        <w:t>intravenous</w:t>
      </w:r>
      <w:r w:rsidRPr="005D7C51">
        <w:t>) or antibiotics (≤10 days of the last depot injectable dose of corticosteroids), prescribed for a prior exace</w:t>
      </w:r>
      <w:r>
        <w:t>rbation, was</w:t>
      </w:r>
      <w:r w:rsidRPr="005D7C51">
        <w:t xml:space="preserve"> counted as the same exacerbation event.</w:t>
      </w:r>
      <w:r w:rsidR="00B673C5" w:rsidRPr="00B148D5">
        <w:rPr>
          <w:sz w:val="28"/>
        </w:rPr>
        <w:br w:type="page"/>
      </w:r>
    </w:p>
    <w:p w14:paraId="6D7A08C8" w14:textId="77777777" w:rsidR="00BC0982" w:rsidRPr="004C7894" w:rsidRDefault="004C7894">
      <w:pPr>
        <w:rPr>
          <w:b/>
          <w:sz w:val="28"/>
        </w:rPr>
      </w:pPr>
      <w:r w:rsidRPr="004C7894">
        <w:rPr>
          <w:b/>
          <w:sz w:val="28"/>
        </w:rPr>
        <w:lastRenderedPageBreak/>
        <w:t>Results</w:t>
      </w:r>
    </w:p>
    <w:p w14:paraId="7DAFE38D" w14:textId="77777777" w:rsidR="004C7894" w:rsidRPr="00D31B7F" w:rsidRDefault="00D31B7F">
      <w:pPr>
        <w:rPr>
          <w:b/>
          <w:sz w:val="24"/>
        </w:rPr>
      </w:pPr>
      <w:r>
        <w:rPr>
          <w:b/>
          <w:sz w:val="24"/>
        </w:rPr>
        <w:t>St George’s Respiratory Questionnaire (</w:t>
      </w:r>
      <w:r w:rsidR="004C7894" w:rsidRPr="00D31B7F">
        <w:rPr>
          <w:b/>
          <w:sz w:val="24"/>
        </w:rPr>
        <w:t>SGRQ</w:t>
      </w:r>
      <w:r>
        <w:rPr>
          <w:b/>
          <w:sz w:val="24"/>
        </w:rPr>
        <w:t>)</w:t>
      </w:r>
      <w:r w:rsidR="004C7894" w:rsidRPr="00D31B7F">
        <w:rPr>
          <w:b/>
          <w:sz w:val="24"/>
        </w:rPr>
        <w:t xml:space="preserve"> Symptom</w:t>
      </w:r>
      <w:r w:rsidR="008724F6">
        <w:rPr>
          <w:b/>
          <w:sz w:val="24"/>
        </w:rPr>
        <w:t>s</w:t>
      </w:r>
      <w:r w:rsidR="004C7894" w:rsidRPr="00D31B7F">
        <w:rPr>
          <w:b/>
          <w:sz w:val="24"/>
        </w:rPr>
        <w:t xml:space="preserve"> dimension</w:t>
      </w:r>
      <w:r w:rsidR="008724F6">
        <w:rPr>
          <w:b/>
          <w:sz w:val="24"/>
        </w:rPr>
        <w:t xml:space="preserve"> score</w:t>
      </w:r>
    </w:p>
    <w:p w14:paraId="5FB9A503" w14:textId="569AA01E" w:rsidR="008724F6" w:rsidRDefault="00377C41" w:rsidP="008724F6">
      <w:r>
        <w:t>Health-related quality of life (</w:t>
      </w:r>
      <w:proofErr w:type="spellStart"/>
      <w:r w:rsidR="008724F6">
        <w:t>HRQoL</w:t>
      </w:r>
      <w:proofErr w:type="spellEnd"/>
      <w:r>
        <w:t>)</w:t>
      </w:r>
      <w:r w:rsidR="008724F6">
        <w:t xml:space="preserve"> was markedly worse for patients with ≥1 versus no COPD symptom-related attacks when the </w:t>
      </w:r>
      <w:r w:rsidR="00EE655C">
        <w:t xml:space="preserve">SGRQ </w:t>
      </w:r>
      <w:r w:rsidR="008724F6">
        <w:t xml:space="preserve">symptoms </w:t>
      </w:r>
      <w:r w:rsidR="00EE655C">
        <w:t>dimension</w:t>
      </w:r>
      <w:r w:rsidR="008724F6">
        <w:t xml:space="preserve"> </w:t>
      </w:r>
      <w:r w:rsidR="00EE655C">
        <w:t>score was specifically assessed.</w:t>
      </w:r>
    </w:p>
    <w:p w14:paraId="6FFC499D" w14:textId="77777777" w:rsidR="008724F6" w:rsidRDefault="008724F6" w:rsidP="008724F6">
      <w:r>
        <w:t xml:space="preserve">The mean change from baseline in SGRQ symptoms dimension score was -0.55 (95% CI: -1.44, 0.35) for patients with no COPD symptom-related attacks and 9.26 (95% CI: 6.35, 12.16) for patients with ≥1 attack at the &gt;2 inhalations/day cut-off. For the &gt;4 inhalations/day cut-off, mean change from baseline in SGRQ symptoms dimension score was 0.14 (95% CI: -0.72, 1.01) and 10.11 (95% CI: 5.27, 14.95) for patients with no attacks and ≥1 attack, respectively. </w:t>
      </w:r>
    </w:p>
    <w:p w14:paraId="3CA110F5" w14:textId="77777777" w:rsidR="004C7894" w:rsidRDefault="008724F6" w:rsidP="008724F6">
      <w:r>
        <w:t xml:space="preserve">These mean changes from baseline corresponded to a mean difference change from baseline in SGRQ symptoms dimension score between no attacks and ≥1 attack of </w:t>
      </w:r>
      <w:r w:rsidR="00EE655C">
        <w:t>9.81</w:t>
      </w:r>
      <w:r>
        <w:t xml:space="preserve"> (95% CI: </w:t>
      </w:r>
      <w:r w:rsidR="00EE655C">
        <w:t>6.77</w:t>
      </w:r>
      <w:r>
        <w:t xml:space="preserve">, </w:t>
      </w:r>
      <w:r w:rsidR="00EE655C">
        <w:t>12.84</w:t>
      </w:r>
      <w:r>
        <w:t xml:space="preserve">) for &gt;2 inhalations/day above baseline and </w:t>
      </w:r>
      <w:r w:rsidR="00EE655C">
        <w:t>9.97</w:t>
      </w:r>
      <w:r>
        <w:t xml:space="preserve"> (95% CI: </w:t>
      </w:r>
      <w:r w:rsidR="00EE655C">
        <w:t>5.05</w:t>
      </w:r>
      <w:r>
        <w:t xml:space="preserve">, </w:t>
      </w:r>
      <w:r w:rsidR="00EE655C">
        <w:t>14.88</w:t>
      </w:r>
      <w:r>
        <w:t>) for &gt;4 inhalations/day above baseline.</w:t>
      </w:r>
    </w:p>
    <w:p w14:paraId="0A1469D7" w14:textId="77777777" w:rsidR="008724F6" w:rsidRDefault="00EE655C" w:rsidP="008724F6">
      <w:r>
        <w:t>SGRQ symptoms dimension scores were</w:t>
      </w:r>
      <w:r w:rsidR="008724F6">
        <w:t xml:space="preserve"> al</w:t>
      </w:r>
      <w:r>
        <w:t>so worse for patients with ≥1</w:t>
      </w:r>
      <w:r w:rsidR="008724F6">
        <w:t xml:space="preserve"> versus no moderate/severe exacerbations.</w:t>
      </w:r>
      <w:r>
        <w:t xml:space="preserve"> </w:t>
      </w:r>
      <w:r w:rsidR="008724F6">
        <w:t xml:space="preserve">The mean change from baseline in SGRQ </w:t>
      </w:r>
      <w:r>
        <w:t>symptoms dimension sc</w:t>
      </w:r>
      <w:r w:rsidR="008724F6">
        <w:t>ore for moderate/severe exacerbations was -1.</w:t>
      </w:r>
      <w:r>
        <w:t>81</w:t>
      </w:r>
      <w:r w:rsidR="008724F6">
        <w:t xml:space="preserve"> (95% CI: -</w:t>
      </w:r>
      <w:r>
        <w:t>2.76</w:t>
      </w:r>
      <w:r w:rsidR="008724F6">
        <w:t>, -0.</w:t>
      </w:r>
      <w:r>
        <w:t>86</w:t>
      </w:r>
      <w:r w:rsidR="008724F6">
        <w:t xml:space="preserve">) for patients with no exacerbations and </w:t>
      </w:r>
      <w:r>
        <w:t>11.05</w:t>
      </w:r>
      <w:r w:rsidR="008724F6">
        <w:t xml:space="preserve"> (95% CI: </w:t>
      </w:r>
      <w:r>
        <w:t>8.94</w:t>
      </w:r>
      <w:r w:rsidR="008724F6">
        <w:t xml:space="preserve">, </w:t>
      </w:r>
      <w:r>
        <w:t>13.15</w:t>
      </w:r>
      <w:r w:rsidR="008724F6">
        <w:t>) for patients with ≥1 exacerbation.</w:t>
      </w:r>
    </w:p>
    <w:p w14:paraId="4C2D009F" w14:textId="77777777" w:rsidR="008724F6" w:rsidRDefault="008724F6" w:rsidP="008724F6">
      <w:r>
        <w:t xml:space="preserve">The corresponding mean difference for moderate/severe exacerbations was </w:t>
      </w:r>
      <w:r w:rsidR="00EE655C">
        <w:t>12.85</w:t>
      </w:r>
      <w:r>
        <w:t xml:space="preserve"> (95% CI: </w:t>
      </w:r>
      <w:r w:rsidR="00EE655C">
        <w:t>10.55</w:t>
      </w:r>
      <w:r>
        <w:t xml:space="preserve">, </w:t>
      </w:r>
      <w:r w:rsidR="00EE655C">
        <w:t>15.16</w:t>
      </w:r>
      <w:r>
        <w:t>) for no attacks versus ≥1 attack.</w:t>
      </w:r>
    </w:p>
    <w:p w14:paraId="757DB158" w14:textId="77777777" w:rsidR="00EE655C" w:rsidRDefault="00EE655C">
      <w:pPr>
        <w:rPr>
          <w:b/>
          <w:sz w:val="24"/>
        </w:rPr>
      </w:pPr>
    </w:p>
    <w:p w14:paraId="72097826" w14:textId="77777777" w:rsidR="004C7894" w:rsidRPr="00D31B7F" w:rsidRDefault="006335FB">
      <w:pPr>
        <w:rPr>
          <w:b/>
          <w:sz w:val="24"/>
        </w:rPr>
      </w:pPr>
      <w:r>
        <w:rPr>
          <w:b/>
          <w:sz w:val="24"/>
        </w:rPr>
        <w:t>Measurement of validation parameters</w:t>
      </w:r>
    </w:p>
    <w:p w14:paraId="70533B52" w14:textId="77777777" w:rsidR="00D31B7F" w:rsidRDefault="00D31B7F">
      <w:r w:rsidRPr="00D31B7F">
        <w:t xml:space="preserve">The median time from onset of a COPD symptom-related attack to </w:t>
      </w:r>
      <w:r w:rsidR="003405B4" w:rsidRPr="00D31B7F">
        <w:t>measurement</w:t>
      </w:r>
      <w:r w:rsidR="003405B4">
        <w:t xml:space="preserve"> of</w:t>
      </w:r>
      <w:r w:rsidR="003405B4" w:rsidRPr="00D31B7F">
        <w:t xml:space="preserve"> </w:t>
      </w:r>
      <w:r w:rsidRPr="00D31B7F">
        <w:t>SGRQ was 22 and 21 days for budesonide/formoterol and formoterol, respectively, at the &gt;2 inhalations/day cut-off, and 24 and 20 days at the &gt;4 inhalations/day cut-off. The median time from onset of a moderate/severe exacerbation to SGRQ measurement was 26 days for budesonide/formoterol and 24 days for formoterol.</w:t>
      </w:r>
    </w:p>
    <w:p w14:paraId="441799D2" w14:textId="60B565F1" w:rsidR="00EE655C" w:rsidRDefault="006335FB">
      <w:r>
        <w:t>The median time from onset</w:t>
      </w:r>
      <w:r w:rsidRPr="006335FB">
        <w:t xml:space="preserve"> of a COPD symptom-related attack to </w:t>
      </w:r>
      <w:r w:rsidR="003405B4" w:rsidRPr="00377C41">
        <w:t xml:space="preserve">measurement of </w:t>
      </w:r>
      <w:r w:rsidR="00B2648C" w:rsidRPr="00377C41">
        <w:t>forced</w:t>
      </w:r>
      <w:r w:rsidR="00B2648C">
        <w:t xml:space="preserve"> expiratory volume in 1 second (</w:t>
      </w:r>
      <w:r w:rsidRPr="006335FB">
        <w:t>FEV</w:t>
      </w:r>
      <w:r w:rsidRPr="006335FB">
        <w:rPr>
          <w:vertAlign w:val="subscript"/>
        </w:rPr>
        <w:t>1</w:t>
      </w:r>
      <w:r w:rsidR="00B2648C">
        <w:t xml:space="preserve">) </w:t>
      </w:r>
      <w:r w:rsidRPr="006335FB">
        <w:t>was 22 and 21 days for budesonide/formoterol and formoterol, respectively, at the &gt;2 inhalations/day cut-off, and 24 and 20 days at the &gt;4 inhalations/day cut-off. The median time from onset of a moderate/severe exacerbation to FEV</w:t>
      </w:r>
      <w:r w:rsidRPr="006335FB">
        <w:rPr>
          <w:vertAlign w:val="subscript"/>
        </w:rPr>
        <w:t>1</w:t>
      </w:r>
      <w:r w:rsidRPr="006335FB">
        <w:t xml:space="preserve"> measurement was 27 days for budesonide/formoterol and 25 days for formoterol</w:t>
      </w:r>
      <w:r w:rsidR="002930B6">
        <w:t xml:space="preserve"> (Table S1)</w:t>
      </w:r>
      <w:r w:rsidRPr="006335FB">
        <w:t>.</w:t>
      </w:r>
    </w:p>
    <w:p w14:paraId="5874EFD2" w14:textId="77777777" w:rsidR="006335FB" w:rsidRPr="006335FB" w:rsidRDefault="006335FB"/>
    <w:p w14:paraId="19211FA9" w14:textId="77777777" w:rsidR="00D31B7F" w:rsidRPr="00D31B7F" w:rsidRDefault="008724F6">
      <w:pPr>
        <w:rPr>
          <w:b/>
          <w:sz w:val="24"/>
        </w:rPr>
      </w:pPr>
      <w:r>
        <w:rPr>
          <w:b/>
          <w:sz w:val="24"/>
        </w:rPr>
        <w:t>S</w:t>
      </w:r>
      <w:r w:rsidR="00D31B7F" w:rsidRPr="00D31B7F">
        <w:rPr>
          <w:b/>
          <w:sz w:val="24"/>
        </w:rPr>
        <w:t>ystemic corticosteroid use</w:t>
      </w:r>
    </w:p>
    <w:p w14:paraId="26C85E1A" w14:textId="77777777" w:rsidR="004C7894" w:rsidRDefault="00D31B7F">
      <w:r w:rsidRPr="00D31B7F">
        <w:t>The mean systemic corticosteroid use for moderate/severe exacerbations was 0.10 days per patient follow-up year for patients with no exacerbations, compared with 23.04 days per patient follow-up year for those with ≥1 exacerbation.</w:t>
      </w:r>
    </w:p>
    <w:p w14:paraId="7DA71E54" w14:textId="281AB2CA" w:rsidR="003A3631" w:rsidRPr="00B148D5" w:rsidRDefault="003A3631">
      <w:pPr>
        <w:rPr>
          <w:b/>
          <w:sz w:val="28"/>
        </w:rPr>
      </w:pPr>
      <w:r w:rsidRPr="00B148D5">
        <w:rPr>
          <w:b/>
          <w:sz w:val="28"/>
        </w:rPr>
        <w:lastRenderedPageBreak/>
        <w:t>References</w:t>
      </w:r>
    </w:p>
    <w:p w14:paraId="00C056C7" w14:textId="3940EF06" w:rsidR="00F20F6E" w:rsidRDefault="00F20F6E" w:rsidP="003A3631">
      <w:r>
        <w:t xml:space="preserve">1. </w:t>
      </w:r>
      <w:proofErr w:type="spellStart"/>
      <w:r w:rsidRPr="00F20F6E">
        <w:t>Anthonisen</w:t>
      </w:r>
      <w:proofErr w:type="spellEnd"/>
      <w:r w:rsidRPr="00F20F6E">
        <w:t xml:space="preserve"> NR, </w:t>
      </w:r>
      <w:proofErr w:type="spellStart"/>
      <w:r w:rsidRPr="00F20F6E">
        <w:t>Manfreda</w:t>
      </w:r>
      <w:proofErr w:type="spellEnd"/>
      <w:r w:rsidRPr="00F20F6E">
        <w:t xml:space="preserve"> J, Warren CP, Hershfield ES, Harding GK, Nelson NA. Antibiotic therapy in exacerbations of chronic obstructive pulmonary disease. Ann Intern Med. 1987;106(2):196-204.</w:t>
      </w:r>
    </w:p>
    <w:p w14:paraId="0F4368DD" w14:textId="080E9781" w:rsidR="003A3631" w:rsidRDefault="00F20F6E" w:rsidP="003A3631">
      <w:r>
        <w:t>2</w:t>
      </w:r>
      <w:r w:rsidR="003A3631">
        <w:t xml:space="preserve">. Jones PW, Quirk FH, </w:t>
      </w:r>
      <w:proofErr w:type="spellStart"/>
      <w:r w:rsidR="003A3631">
        <w:t>Baveystock</w:t>
      </w:r>
      <w:proofErr w:type="spellEnd"/>
      <w:r w:rsidR="003A3631">
        <w:t xml:space="preserve"> CM. The St George’s Respiratory Questionnaire. Respir Med. 1991;85(</w:t>
      </w:r>
      <w:proofErr w:type="spellStart"/>
      <w:r w:rsidR="003A3631">
        <w:t>Suppl</w:t>
      </w:r>
      <w:proofErr w:type="spellEnd"/>
      <w:r w:rsidR="003A3631">
        <w:t xml:space="preserve"> B):25-31.</w:t>
      </w:r>
    </w:p>
    <w:p w14:paraId="23E9B661" w14:textId="772A45CD" w:rsidR="003A3631" w:rsidRDefault="00F20F6E" w:rsidP="003A3631">
      <w:r>
        <w:t>3</w:t>
      </w:r>
      <w:r w:rsidR="003A3631">
        <w:t>. Jones PW, Forde Y. St George’s Respiratory Questionnaire Manual. St George’s University of London. 2009.</w:t>
      </w:r>
    </w:p>
    <w:p w14:paraId="0A2A8867" w14:textId="77777777" w:rsidR="003A3631" w:rsidRDefault="003A3631">
      <w:r>
        <w:br w:type="page"/>
      </w:r>
    </w:p>
    <w:p w14:paraId="48922909" w14:textId="33126E06" w:rsidR="00CB16F4" w:rsidRPr="00CB16F4" w:rsidRDefault="00CB16F4">
      <w:pPr>
        <w:rPr>
          <w:b/>
        </w:rPr>
      </w:pPr>
      <w:r w:rsidRPr="00CB16F4">
        <w:rPr>
          <w:b/>
        </w:rPr>
        <w:lastRenderedPageBreak/>
        <w:t xml:space="preserve">Table </w:t>
      </w:r>
      <w:r w:rsidR="00A07D75">
        <w:rPr>
          <w:b/>
        </w:rPr>
        <w:t>S</w:t>
      </w:r>
      <w:r w:rsidRPr="00CB16F4">
        <w:rPr>
          <w:b/>
        </w:rPr>
        <w:t>1. Median time (days) from the onset of event until the measurement of FEV</w:t>
      </w:r>
      <w:r w:rsidRPr="00CB16F4">
        <w:rPr>
          <w:b/>
          <w:vertAlign w:val="subscript"/>
        </w:rPr>
        <w:t xml:space="preserve">1 </w:t>
      </w:r>
      <w:r w:rsidRPr="00CB16F4">
        <w:rPr>
          <w:b/>
        </w:rPr>
        <w:t>(first after the start of event)</w:t>
      </w:r>
    </w:p>
    <w:tbl>
      <w:tblPr>
        <w:tblStyle w:val="TableGrid"/>
        <w:tblW w:w="9606" w:type="dxa"/>
        <w:tblLook w:val="04A0" w:firstRow="1" w:lastRow="0" w:firstColumn="1" w:lastColumn="0" w:noHBand="0" w:noVBand="1"/>
      </w:tblPr>
      <w:tblGrid>
        <w:gridCol w:w="5353"/>
        <w:gridCol w:w="2126"/>
        <w:gridCol w:w="2127"/>
      </w:tblGrid>
      <w:tr w:rsidR="00CB16F4" w14:paraId="36AEE5F3" w14:textId="77777777" w:rsidTr="00CB16F4">
        <w:tc>
          <w:tcPr>
            <w:tcW w:w="5353" w:type="dxa"/>
            <w:vAlign w:val="center"/>
          </w:tcPr>
          <w:p w14:paraId="43D3F35B" w14:textId="7FEB8088" w:rsidR="00CB16F4" w:rsidRPr="00CB16F4" w:rsidRDefault="00CB16F4" w:rsidP="00CB16F4">
            <w:pPr>
              <w:rPr>
                <w:b/>
              </w:rPr>
            </w:pPr>
            <w:r w:rsidRPr="00CB16F4">
              <w:rPr>
                <w:b/>
              </w:rPr>
              <w:t>Event definition</w:t>
            </w:r>
          </w:p>
        </w:tc>
        <w:tc>
          <w:tcPr>
            <w:tcW w:w="2126" w:type="dxa"/>
            <w:vAlign w:val="center"/>
          </w:tcPr>
          <w:p w14:paraId="69A2B043" w14:textId="62190641" w:rsidR="00CB16F4" w:rsidRPr="00CB16F4" w:rsidRDefault="00CB16F4" w:rsidP="00CB16F4">
            <w:pPr>
              <w:jc w:val="center"/>
              <w:rPr>
                <w:b/>
              </w:rPr>
            </w:pPr>
            <w:r w:rsidRPr="00CB16F4">
              <w:rPr>
                <w:b/>
              </w:rPr>
              <w:t>BUD/FORM (n=606)</w:t>
            </w:r>
          </w:p>
        </w:tc>
        <w:tc>
          <w:tcPr>
            <w:tcW w:w="2127" w:type="dxa"/>
            <w:vAlign w:val="center"/>
          </w:tcPr>
          <w:p w14:paraId="2150E005" w14:textId="5742B5FF" w:rsidR="00CB16F4" w:rsidRPr="00CB16F4" w:rsidRDefault="00CB16F4" w:rsidP="00CB16F4">
            <w:pPr>
              <w:jc w:val="center"/>
              <w:rPr>
                <w:b/>
              </w:rPr>
            </w:pPr>
            <w:r w:rsidRPr="00CB16F4">
              <w:rPr>
                <w:b/>
              </w:rPr>
              <w:t>FORM (n=613)</w:t>
            </w:r>
          </w:p>
        </w:tc>
      </w:tr>
      <w:tr w:rsidR="00CB16F4" w14:paraId="73D1B924" w14:textId="77777777" w:rsidTr="00CB16F4">
        <w:tc>
          <w:tcPr>
            <w:tcW w:w="5353" w:type="dxa"/>
          </w:tcPr>
          <w:p w14:paraId="6EB875B7" w14:textId="2ED91C0D" w:rsidR="00CB16F4" w:rsidRDefault="00CB16F4">
            <w:r w:rsidRPr="00CB16F4">
              <w:t>Symptomatic worsening + &gt;2 inhalations/day of rescue medication use above baseline</w:t>
            </w:r>
          </w:p>
        </w:tc>
        <w:tc>
          <w:tcPr>
            <w:tcW w:w="2126" w:type="dxa"/>
            <w:vAlign w:val="center"/>
          </w:tcPr>
          <w:p w14:paraId="5CB4F68D" w14:textId="0EF0A4DD" w:rsidR="00CB16F4" w:rsidRDefault="00CB16F4" w:rsidP="00CB16F4">
            <w:pPr>
              <w:jc w:val="center"/>
            </w:pPr>
            <w:r>
              <w:t>22.4</w:t>
            </w:r>
          </w:p>
        </w:tc>
        <w:tc>
          <w:tcPr>
            <w:tcW w:w="2127" w:type="dxa"/>
            <w:vAlign w:val="center"/>
          </w:tcPr>
          <w:p w14:paraId="256376CF" w14:textId="40F16A2F" w:rsidR="00CB16F4" w:rsidRDefault="00CB16F4" w:rsidP="00CB16F4">
            <w:pPr>
              <w:jc w:val="center"/>
            </w:pPr>
            <w:r>
              <w:t>21</w:t>
            </w:r>
          </w:p>
        </w:tc>
      </w:tr>
      <w:tr w:rsidR="00CB16F4" w14:paraId="6F61B820" w14:textId="77777777" w:rsidTr="00CB16F4">
        <w:tc>
          <w:tcPr>
            <w:tcW w:w="5353" w:type="dxa"/>
          </w:tcPr>
          <w:p w14:paraId="4FB88107" w14:textId="6F4A3C30" w:rsidR="00CB16F4" w:rsidRDefault="00CB16F4" w:rsidP="00CB16F4">
            <w:r w:rsidRPr="00CB16F4">
              <w:t>Symptomatic worsening + &gt;</w:t>
            </w:r>
            <w:r>
              <w:t>4</w:t>
            </w:r>
            <w:r w:rsidRPr="00CB16F4">
              <w:t xml:space="preserve"> inhalations/day of rescue medication use above baseline</w:t>
            </w:r>
          </w:p>
        </w:tc>
        <w:tc>
          <w:tcPr>
            <w:tcW w:w="2126" w:type="dxa"/>
            <w:vAlign w:val="center"/>
          </w:tcPr>
          <w:p w14:paraId="10B37241" w14:textId="6B31FED4" w:rsidR="00CB16F4" w:rsidRDefault="00CB16F4" w:rsidP="00CB16F4">
            <w:pPr>
              <w:jc w:val="center"/>
            </w:pPr>
            <w:r>
              <w:t>24</w:t>
            </w:r>
          </w:p>
        </w:tc>
        <w:tc>
          <w:tcPr>
            <w:tcW w:w="2127" w:type="dxa"/>
            <w:vAlign w:val="center"/>
          </w:tcPr>
          <w:p w14:paraId="4F32EAAC" w14:textId="7809F603" w:rsidR="00CB16F4" w:rsidRDefault="00CB16F4" w:rsidP="00CB16F4">
            <w:pPr>
              <w:jc w:val="center"/>
            </w:pPr>
            <w:r>
              <w:t>20</w:t>
            </w:r>
          </w:p>
        </w:tc>
      </w:tr>
      <w:tr w:rsidR="00CB16F4" w14:paraId="64E88DD2" w14:textId="77777777" w:rsidTr="00CB16F4">
        <w:tc>
          <w:tcPr>
            <w:tcW w:w="5353" w:type="dxa"/>
          </w:tcPr>
          <w:p w14:paraId="12E19632" w14:textId="36A098F2" w:rsidR="00CB16F4" w:rsidRDefault="00CB16F4">
            <w:r>
              <w:t>Moderate/severe exacerbation</w:t>
            </w:r>
          </w:p>
        </w:tc>
        <w:tc>
          <w:tcPr>
            <w:tcW w:w="2126" w:type="dxa"/>
            <w:vAlign w:val="center"/>
          </w:tcPr>
          <w:p w14:paraId="38114A19" w14:textId="4C2B9532" w:rsidR="00CB16F4" w:rsidRDefault="00CB16F4" w:rsidP="00CB16F4">
            <w:pPr>
              <w:jc w:val="center"/>
            </w:pPr>
            <w:r>
              <w:t>26.8</w:t>
            </w:r>
          </w:p>
        </w:tc>
        <w:tc>
          <w:tcPr>
            <w:tcW w:w="2127" w:type="dxa"/>
            <w:vAlign w:val="center"/>
          </w:tcPr>
          <w:p w14:paraId="0A5473BB" w14:textId="1BD9B720" w:rsidR="00CB16F4" w:rsidRDefault="00CB16F4" w:rsidP="00CB16F4">
            <w:pPr>
              <w:jc w:val="center"/>
            </w:pPr>
            <w:r>
              <w:t>25</w:t>
            </w:r>
          </w:p>
        </w:tc>
      </w:tr>
    </w:tbl>
    <w:p w14:paraId="30816076" w14:textId="77777777" w:rsidR="00CB16F4" w:rsidRDefault="00CB16F4"/>
    <w:p w14:paraId="5A10BC85" w14:textId="14E1B3F5" w:rsidR="00E831E3" w:rsidRDefault="00CB16F4">
      <w:pPr>
        <w:rPr>
          <w:sz w:val="20"/>
        </w:rPr>
      </w:pPr>
      <w:r w:rsidRPr="00CB16F4">
        <w:rPr>
          <w:sz w:val="20"/>
        </w:rPr>
        <w:t>BUD, budesonide; FORM, formoterol.</w:t>
      </w:r>
    </w:p>
    <w:p w14:paraId="31C1681D" w14:textId="77777777" w:rsidR="00E831E3" w:rsidRDefault="00E831E3">
      <w:pPr>
        <w:rPr>
          <w:sz w:val="20"/>
        </w:rPr>
      </w:pPr>
      <w:r>
        <w:rPr>
          <w:sz w:val="20"/>
        </w:rPr>
        <w:br w:type="page"/>
      </w:r>
    </w:p>
    <w:p w14:paraId="7B23CFCD" w14:textId="77777777" w:rsidR="00E831E3" w:rsidRDefault="00E831E3" w:rsidP="00E831E3">
      <w:pPr>
        <w:rPr>
          <w:b/>
        </w:rPr>
        <w:sectPr w:rsidR="00E831E3">
          <w:pgSz w:w="11906" w:h="16838"/>
          <w:pgMar w:top="1440" w:right="1440" w:bottom="1440" w:left="1440" w:header="708" w:footer="708" w:gutter="0"/>
          <w:cols w:space="708"/>
          <w:docGrid w:linePitch="360"/>
        </w:sectPr>
      </w:pPr>
    </w:p>
    <w:p w14:paraId="63C3FD85" w14:textId="06CD8316" w:rsidR="00E831E3" w:rsidRDefault="00E831E3" w:rsidP="00E831E3">
      <w:pPr>
        <w:rPr>
          <w:b/>
        </w:rPr>
      </w:pPr>
      <w:r w:rsidRPr="00EA6216">
        <w:rPr>
          <w:b/>
        </w:rPr>
        <w:lastRenderedPageBreak/>
        <w:t xml:space="preserve">Table </w:t>
      </w:r>
      <w:r>
        <w:rPr>
          <w:b/>
        </w:rPr>
        <w:t>S2</w:t>
      </w:r>
      <w:r w:rsidRPr="00EA6216">
        <w:rPr>
          <w:b/>
        </w:rPr>
        <w:t xml:space="preserve">. </w:t>
      </w:r>
      <w:r>
        <w:rPr>
          <w:b/>
        </w:rPr>
        <w:t>L</w:t>
      </w:r>
      <w:r w:rsidRPr="00EA6216">
        <w:rPr>
          <w:b/>
        </w:rPr>
        <w:t xml:space="preserve">ower respiratory tract infections </w:t>
      </w:r>
      <w:r>
        <w:rPr>
          <w:b/>
        </w:rPr>
        <w:t>and p</w:t>
      </w:r>
      <w:r w:rsidRPr="00EA6216">
        <w:rPr>
          <w:b/>
        </w:rPr>
        <w:t>neumonia events</w:t>
      </w:r>
      <w:r>
        <w:rPr>
          <w:b/>
        </w:rPr>
        <w:t>, by treatment group</w:t>
      </w:r>
    </w:p>
    <w:tbl>
      <w:tblPr>
        <w:tblStyle w:val="TableGrid"/>
        <w:tblW w:w="0" w:type="auto"/>
        <w:tblLook w:val="04A0" w:firstRow="1" w:lastRow="0" w:firstColumn="1" w:lastColumn="0" w:noHBand="0" w:noVBand="1"/>
      </w:tblPr>
      <w:tblGrid>
        <w:gridCol w:w="1681"/>
        <w:gridCol w:w="903"/>
        <w:gridCol w:w="1731"/>
        <w:gridCol w:w="1001"/>
        <w:gridCol w:w="1381"/>
        <w:gridCol w:w="1363"/>
        <w:gridCol w:w="1692"/>
        <w:gridCol w:w="1196"/>
        <w:gridCol w:w="1510"/>
        <w:gridCol w:w="1490"/>
      </w:tblGrid>
      <w:tr w:rsidR="00E831E3" w14:paraId="7F768C70" w14:textId="77777777" w:rsidTr="00362A5B">
        <w:tc>
          <w:tcPr>
            <w:tcW w:w="2596" w:type="dxa"/>
            <w:gridSpan w:val="2"/>
            <w:vMerge w:val="restart"/>
            <w:tcBorders>
              <w:top w:val="single" w:sz="4" w:space="0" w:color="auto"/>
              <w:left w:val="single" w:sz="4" w:space="0" w:color="auto"/>
            </w:tcBorders>
          </w:tcPr>
          <w:p w14:paraId="70E1C11D" w14:textId="77777777" w:rsidR="00E831E3" w:rsidRPr="00CD1505" w:rsidRDefault="00E831E3" w:rsidP="00362A5B">
            <w:pPr>
              <w:rPr>
                <w:b/>
                <w:sz w:val="20"/>
                <w:szCs w:val="20"/>
              </w:rPr>
            </w:pPr>
            <w:r w:rsidRPr="00CD1505">
              <w:rPr>
                <w:b/>
                <w:sz w:val="20"/>
                <w:szCs w:val="20"/>
              </w:rPr>
              <w:t>Event definition</w:t>
            </w:r>
          </w:p>
        </w:tc>
        <w:tc>
          <w:tcPr>
            <w:tcW w:w="5570" w:type="dxa"/>
            <w:gridSpan w:val="4"/>
          </w:tcPr>
          <w:p w14:paraId="1FBA61A9" w14:textId="77777777" w:rsidR="00E831E3" w:rsidRPr="00CD1505" w:rsidRDefault="00E831E3" w:rsidP="00362A5B">
            <w:pPr>
              <w:jc w:val="center"/>
              <w:rPr>
                <w:b/>
                <w:sz w:val="20"/>
                <w:szCs w:val="20"/>
              </w:rPr>
            </w:pPr>
            <w:r w:rsidRPr="00CD1505">
              <w:rPr>
                <w:b/>
                <w:sz w:val="20"/>
                <w:szCs w:val="20"/>
              </w:rPr>
              <w:t>BUD/FORM (n=605)</w:t>
            </w:r>
          </w:p>
        </w:tc>
        <w:tc>
          <w:tcPr>
            <w:tcW w:w="6008" w:type="dxa"/>
            <w:gridSpan w:val="4"/>
          </w:tcPr>
          <w:p w14:paraId="4C414811" w14:textId="77777777" w:rsidR="00E831E3" w:rsidRPr="00CD1505" w:rsidRDefault="00E831E3" w:rsidP="00362A5B">
            <w:pPr>
              <w:jc w:val="center"/>
              <w:rPr>
                <w:b/>
                <w:sz w:val="20"/>
                <w:szCs w:val="20"/>
              </w:rPr>
            </w:pPr>
            <w:r w:rsidRPr="00CD1505">
              <w:rPr>
                <w:b/>
                <w:sz w:val="20"/>
                <w:szCs w:val="20"/>
              </w:rPr>
              <w:t>FORM (n=613)</w:t>
            </w:r>
          </w:p>
        </w:tc>
      </w:tr>
      <w:tr w:rsidR="00E831E3" w14:paraId="518F1EDE" w14:textId="77777777" w:rsidTr="00362A5B">
        <w:tc>
          <w:tcPr>
            <w:tcW w:w="2596" w:type="dxa"/>
            <w:gridSpan w:val="2"/>
            <w:vMerge/>
            <w:vAlign w:val="bottom"/>
          </w:tcPr>
          <w:p w14:paraId="01F6A3D8" w14:textId="77777777" w:rsidR="00E831E3" w:rsidRPr="00CD1505" w:rsidRDefault="00E831E3" w:rsidP="00362A5B">
            <w:pPr>
              <w:rPr>
                <w:b/>
                <w:sz w:val="20"/>
                <w:szCs w:val="20"/>
              </w:rPr>
            </w:pPr>
          </w:p>
        </w:tc>
        <w:tc>
          <w:tcPr>
            <w:tcW w:w="1765" w:type="dxa"/>
            <w:vAlign w:val="bottom"/>
          </w:tcPr>
          <w:p w14:paraId="6DF85262" w14:textId="77777777" w:rsidR="00E831E3" w:rsidRPr="00CD1505" w:rsidRDefault="00E831E3" w:rsidP="00362A5B">
            <w:pPr>
              <w:jc w:val="center"/>
              <w:rPr>
                <w:b/>
                <w:sz w:val="20"/>
                <w:szCs w:val="20"/>
              </w:rPr>
            </w:pPr>
            <w:r>
              <w:rPr>
                <w:b/>
                <w:sz w:val="20"/>
                <w:szCs w:val="20"/>
              </w:rPr>
              <w:t>Total LRTI</w:t>
            </w:r>
            <w:r w:rsidRPr="00CD1505">
              <w:rPr>
                <w:b/>
                <w:sz w:val="20"/>
                <w:szCs w:val="20"/>
              </w:rPr>
              <w:t xml:space="preserve"> &amp; pneumonia, n (%)</w:t>
            </w:r>
          </w:p>
        </w:tc>
        <w:tc>
          <w:tcPr>
            <w:tcW w:w="1008" w:type="dxa"/>
            <w:vAlign w:val="bottom"/>
          </w:tcPr>
          <w:p w14:paraId="6A7D6D4A" w14:textId="77777777" w:rsidR="00E831E3" w:rsidRPr="00CD1505" w:rsidRDefault="00E831E3" w:rsidP="00362A5B">
            <w:pPr>
              <w:jc w:val="center"/>
              <w:rPr>
                <w:b/>
                <w:sz w:val="20"/>
                <w:szCs w:val="20"/>
              </w:rPr>
            </w:pPr>
            <w:r w:rsidRPr="00CD1505">
              <w:rPr>
                <w:b/>
                <w:sz w:val="20"/>
                <w:szCs w:val="20"/>
              </w:rPr>
              <w:t>No. of patients in event</w:t>
            </w:r>
          </w:p>
        </w:tc>
        <w:tc>
          <w:tcPr>
            <w:tcW w:w="1402" w:type="dxa"/>
            <w:vAlign w:val="bottom"/>
          </w:tcPr>
          <w:p w14:paraId="68D6B22E" w14:textId="77777777" w:rsidR="00E831E3" w:rsidRPr="00CD1505" w:rsidRDefault="00E831E3" w:rsidP="00362A5B">
            <w:pPr>
              <w:jc w:val="center"/>
              <w:rPr>
                <w:b/>
                <w:sz w:val="20"/>
                <w:szCs w:val="20"/>
              </w:rPr>
            </w:pPr>
            <w:r w:rsidRPr="00CD1505">
              <w:rPr>
                <w:b/>
                <w:sz w:val="20"/>
                <w:szCs w:val="20"/>
              </w:rPr>
              <w:t>Total treatment exposure (</w:t>
            </w:r>
            <w:proofErr w:type="spellStart"/>
            <w:r w:rsidRPr="00CD1505">
              <w:rPr>
                <w:b/>
                <w:sz w:val="20"/>
                <w:szCs w:val="20"/>
              </w:rPr>
              <w:t>yrs</w:t>
            </w:r>
            <w:proofErr w:type="spellEnd"/>
            <w:r w:rsidRPr="00CD1505">
              <w:rPr>
                <w:b/>
                <w:sz w:val="20"/>
                <w:szCs w:val="20"/>
              </w:rPr>
              <w:t>)</w:t>
            </w:r>
          </w:p>
        </w:tc>
        <w:tc>
          <w:tcPr>
            <w:tcW w:w="1395" w:type="dxa"/>
            <w:vAlign w:val="bottom"/>
          </w:tcPr>
          <w:p w14:paraId="0F7E8A0C" w14:textId="77777777" w:rsidR="00E831E3" w:rsidRPr="00CD1505" w:rsidRDefault="00E831E3" w:rsidP="00362A5B">
            <w:pPr>
              <w:jc w:val="center"/>
              <w:rPr>
                <w:b/>
                <w:sz w:val="20"/>
                <w:szCs w:val="20"/>
              </w:rPr>
            </w:pPr>
            <w:r w:rsidRPr="00CD1505">
              <w:rPr>
                <w:b/>
                <w:sz w:val="20"/>
                <w:szCs w:val="20"/>
              </w:rPr>
              <w:t>Rate (per 100 patient-years)</w:t>
            </w:r>
          </w:p>
        </w:tc>
        <w:tc>
          <w:tcPr>
            <w:tcW w:w="1723" w:type="dxa"/>
            <w:vAlign w:val="bottom"/>
          </w:tcPr>
          <w:p w14:paraId="0482A117" w14:textId="77777777" w:rsidR="00E831E3" w:rsidRPr="00CD1505" w:rsidRDefault="00E831E3" w:rsidP="00362A5B">
            <w:pPr>
              <w:jc w:val="center"/>
              <w:rPr>
                <w:b/>
                <w:sz w:val="20"/>
                <w:szCs w:val="20"/>
              </w:rPr>
            </w:pPr>
            <w:r>
              <w:rPr>
                <w:b/>
                <w:sz w:val="20"/>
                <w:szCs w:val="20"/>
              </w:rPr>
              <w:t>Total LRTI</w:t>
            </w:r>
            <w:r w:rsidRPr="00CD1505">
              <w:rPr>
                <w:b/>
                <w:sz w:val="20"/>
                <w:szCs w:val="20"/>
              </w:rPr>
              <w:t xml:space="preserve"> &amp; pneumonia, n (%)</w:t>
            </w:r>
          </w:p>
        </w:tc>
        <w:tc>
          <w:tcPr>
            <w:tcW w:w="1216" w:type="dxa"/>
            <w:vAlign w:val="bottom"/>
          </w:tcPr>
          <w:p w14:paraId="226AA1B6" w14:textId="77777777" w:rsidR="00E831E3" w:rsidRPr="00CD1505" w:rsidRDefault="00E831E3" w:rsidP="00362A5B">
            <w:pPr>
              <w:jc w:val="center"/>
              <w:rPr>
                <w:b/>
                <w:sz w:val="20"/>
                <w:szCs w:val="20"/>
              </w:rPr>
            </w:pPr>
            <w:r w:rsidRPr="00CD1505">
              <w:rPr>
                <w:b/>
                <w:sz w:val="20"/>
                <w:szCs w:val="20"/>
              </w:rPr>
              <w:t>No. of patients in event</w:t>
            </w:r>
          </w:p>
        </w:tc>
        <w:tc>
          <w:tcPr>
            <w:tcW w:w="1539" w:type="dxa"/>
            <w:vAlign w:val="bottom"/>
          </w:tcPr>
          <w:p w14:paraId="6FCA78FD" w14:textId="77777777" w:rsidR="00E831E3" w:rsidRPr="00CD1505" w:rsidRDefault="00E831E3" w:rsidP="00362A5B">
            <w:pPr>
              <w:jc w:val="center"/>
              <w:rPr>
                <w:b/>
                <w:sz w:val="20"/>
                <w:szCs w:val="20"/>
              </w:rPr>
            </w:pPr>
            <w:r w:rsidRPr="00CD1505">
              <w:rPr>
                <w:b/>
                <w:sz w:val="20"/>
                <w:szCs w:val="20"/>
              </w:rPr>
              <w:t>Total treatment exposure (</w:t>
            </w:r>
            <w:proofErr w:type="spellStart"/>
            <w:r w:rsidRPr="00CD1505">
              <w:rPr>
                <w:b/>
                <w:sz w:val="20"/>
                <w:szCs w:val="20"/>
              </w:rPr>
              <w:t>yrs</w:t>
            </w:r>
            <w:proofErr w:type="spellEnd"/>
            <w:r w:rsidRPr="00CD1505">
              <w:rPr>
                <w:b/>
                <w:sz w:val="20"/>
                <w:szCs w:val="20"/>
              </w:rPr>
              <w:t>)</w:t>
            </w:r>
          </w:p>
        </w:tc>
        <w:tc>
          <w:tcPr>
            <w:tcW w:w="1530" w:type="dxa"/>
            <w:vAlign w:val="bottom"/>
          </w:tcPr>
          <w:p w14:paraId="459072C1" w14:textId="77777777" w:rsidR="00E831E3" w:rsidRPr="00CD1505" w:rsidRDefault="00E831E3" w:rsidP="00362A5B">
            <w:pPr>
              <w:jc w:val="center"/>
              <w:rPr>
                <w:b/>
                <w:sz w:val="20"/>
                <w:szCs w:val="20"/>
              </w:rPr>
            </w:pPr>
            <w:r w:rsidRPr="00CD1505">
              <w:rPr>
                <w:b/>
                <w:sz w:val="20"/>
                <w:szCs w:val="20"/>
              </w:rPr>
              <w:t>Rate (per 100 patient-years)</w:t>
            </w:r>
          </w:p>
        </w:tc>
      </w:tr>
      <w:tr w:rsidR="00E831E3" w14:paraId="696C1739" w14:textId="77777777" w:rsidTr="00362A5B">
        <w:trPr>
          <w:trHeight w:val="511"/>
        </w:trPr>
        <w:tc>
          <w:tcPr>
            <w:tcW w:w="1680" w:type="dxa"/>
            <w:vMerge w:val="restart"/>
            <w:vAlign w:val="center"/>
          </w:tcPr>
          <w:p w14:paraId="7AA012CC" w14:textId="77777777" w:rsidR="00E831E3" w:rsidRPr="00CD1505" w:rsidRDefault="00E831E3" w:rsidP="00362A5B">
            <w:pPr>
              <w:rPr>
                <w:b/>
                <w:sz w:val="20"/>
                <w:szCs w:val="20"/>
              </w:rPr>
            </w:pPr>
            <w:r w:rsidRPr="00CD1505">
              <w:rPr>
                <w:b/>
                <w:sz w:val="20"/>
                <w:szCs w:val="20"/>
              </w:rPr>
              <w:t>COPD symptom-related attack (</w:t>
            </w:r>
            <w:r>
              <w:rPr>
                <w:b/>
                <w:sz w:val="20"/>
                <w:szCs w:val="20"/>
              </w:rPr>
              <w:t xml:space="preserve">symptomatic worsening + </w:t>
            </w:r>
            <w:r w:rsidRPr="00CD1505">
              <w:rPr>
                <w:b/>
                <w:sz w:val="20"/>
                <w:szCs w:val="20"/>
              </w:rPr>
              <w:t xml:space="preserve">&gt;2 </w:t>
            </w:r>
            <w:r>
              <w:rPr>
                <w:b/>
                <w:sz w:val="20"/>
                <w:szCs w:val="20"/>
              </w:rPr>
              <w:t>inhalations</w:t>
            </w:r>
            <w:r w:rsidRPr="00CD1505">
              <w:rPr>
                <w:b/>
                <w:sz w:val="20"/>
                <w:szCs w:val="20"/>
              </w:rPr>
              <w:t>/day</w:t>
            </w:r>
            <w:r>
              <w:rPr>
                <w:b/>
                <w:sz w:val="20"/>
                <w:szCs w:val="20"/>
              </w:rPr>
              <w:t xml:space="preserve"> above baseline</w:t>
            </w:r>
            <w:r w:rsidRPr="00CD1505">
              <w:rPr>
                <w:b/>
                <w:sz w:val="20"/>
                <w:szCs w:val="20"/>
              </w:rPr>
              <w:t>)</w:t>
            </w:r>
          </w:p>
        </w:tc>
        <w:tc>
          <w:tcPr>
            <w:tcW w:w="916" w:type="dxa"/>
            <w:vAlign w:val="center"/>
          </w:tcPr>
          <w:p w14:paraId="69FE0861" w14:textId="77777777" w:rsidR="00E831E3" w:rsidRPr="00CD1505" w:rsidRDefault="00E831E3" w:rsidP="00362A5B">
            <w:pPr>
              <w:rPr>
                <w:b/>
                <w:sz w:val="20"/>
                <w:szCs w:val="20"/>
              </w:rPr>
            </w:pPr>
            <w:r w:rsidRPr="00CD1505">
              <w:rPr>
                <w:b/>
                <w:sz w:val="20"/>
                <w:szCs w:val="20"/>
              </w:rPr>
              <w:t>0 event</w:t>
            </w:r>
          </w:p>
        </w:tc>
        <w:tc>
          <w:tcPr>
            <w:tcW w:w="1765" w:type="dxa"/>
            <w:vAlign w:val="center"/>
          </w:tcPr>
          <w:p w14:paraId="51945D36" w14:textId="77777777" w:rsidR="00E831E3" w:rsidRPr="00CD1505" w:rsidRDefault="00E831E3" w:rsidP="00362A5B">
            <w:pPr>
              <w:jc w:val="center"/>
              <w:rPr>
                <w:sz w:val="20"/>
                <w:szCs w:val="20"/>
              </w:rPr>
            </w:pPr>
            <w:r w:rsidRPr="00CD1505">
              <w:rPr>
                <w:rFonts w:cs="Arial"/>
                <w:color w:val="000000"/>
                <w:kern w:val="24"/>
                <w:sz w:val="20"/>
                <w:szCs w:val="20"/>
              </w:rPr>
              <w:t>8 (1.52)</w:t>
            </w:r>
          </w:p>
        </w:tc>
        <w:tc>
          <w:tcPr>
            <w:tcW w:w="1008" w:type="dxa"/>
            <w:vAlign w:val="center"/>
          </w:tcPr>
          <w:p w14:paraId="43C8B0A4" w14:textId="77777777" w:rsidR="00E831E3" w:rsidRPr="00CD1505" w:rsidRDefault="00E831E3" w:rsidP="00362A5B">
            <w:pPr>
              <w:jc w:val="center"/>
              <w:rPr>
                <w:sz w:val="20"/>
                <w:szCs w:val="20"/>
              </w:rPr>
            </w:pPr>
            <w:r w:rsidRPr="00CD1505">
              <w:rPr>
                <w:rFonts w:cs="Arial"/>
                <w:color w:val="000000"/>
                <w:kern w:val="24"/>
                <w:sz w:val="20"/>
                <w:szCs w:val="20"/>
              </w:rPr>
              <w:t>525</w:t>
            </w:r>
          </w:p>
        </w:tc>
        <w:tc>
          <w:tcPr>
            <w:tcW w:w="1402" w:type="dxa"/>
            <w:vAlign w:val="center"/>
          </w:tcPr>
          <w:p w14:paraId="052D5D1F" w14:textId="77777777" w:rsidR="00E831E3" w:rsidRPr="00CD1505" w:rsidRDefault="00E831E3" w:rsidP="00362A5B">
            <w:pPr>
              <w:jc w:val="center"/>
              <w:rPr>
                <w:sz w:val="20"/>
                <w:szCs w:val="20"/>
              </w:rPr>
            </w:pPr>
            <w:r w:rsidRPr="00CD1505">
              <w:rPr>
                <w:rFonts w:cs="Arial"/>
                <w:color w:val="000000"/>
                <w:kern w:val="24"/>
                <w:sz w:val="20"/>
                <w:szCs w:val="20"/>
              </w:rPr>
              <w:t>246.5</w:t>
            </w:r>
          </w:p>
        </w:tc>
        <w:tc>
          <w:tcPr>
            <w:tcW w:w="1395" w:type="dxa"/>
            <w:vAlign w:val="center"/>
          </w:tcPr>
          <w:p w14:paraId="385A2410" w14:textId="77777777" w:rsidR="00E831E3" w:rsidRPr="00CD1505" w:rsidRDefault="00E831E3" w:rsidP="00362A5B">
            <w:pPr>
              <w:jc w:val="center"/>
              <w:rPr>
                <w:sz w:val="20"/>
                <w:szCs w:val="20"/>
              </w:rPr>
            </w:pPr>
            <w:r w:rsidRPr="00CD1505">
              <w:rPr>
                <w:rFonts w:cs="Arial"/>
                <w:color w:val="000000"/>
                <w:kern w:val="24"/>
                <w:sz w:val="20"/>
                <w:szCs w:val="20"/>
              </w:rPr>
              <w:t>3.25</w:t>
            </w:r>
          </w:p>
        </w:tc>
        <w:tc>
          <w:tcPr>
            <w:tcW w:w="1723" w:type="dxa"/>
            <w:vAlign w:val="center"/>
          </w:tcPr>
          <w:p w14:paraId="75263D52" w14:textId="77777777" w:rsidR="00E831E3" w:rsidRPr="00CD1505" w:rsidRDefault="00E831E3" w:rsidP="00362A5B">
            <w:pPr>
              <w:jc w:val="center"/>
              <w:rPr>
                <w:sz w:val="20"/>
                <w:szCs w:val="20"/>
              </w:rPr>
            </w:pPr>
            <w:r w:rsidRPr="00CD1505">
              <w:rPr>
                <w:rFonts w:cs="Arial"/>
                <w:color w:val="000000"/>
                <w:kern w:val="24"/>
                <w:sz w:val="20"/>
                <w:szCs w:val="20"/>
              </w:rPr>
              <w:t>14 (2.85)</w:t>
            </w:r>
          </w:p>
        </w:tc>
        <w:tc>
          <w:tcPr>
            <w:tcW w:w="1216" w:type="dxa"/>
            <w:vAlign w:val="center"/>
          </w:tcPr>
          <w:p w14:paraId="570B65E1" w14:textId="77777777" w:rsidR="00E831E3" w:rsidRPr="00CD1505" w:rsidRDefault="00E831E3" w:rsidP="00362A5B">
            <w:pPr>
              <w:jc w:val="center"/>
              <w:rPr>
                <w:sz w:val="20"/>
                <w:szCs w:val="20"/>
              </w:rPr>
            </w:pPr>
            <w:r w:rsidRPr="00CD1505">
              <w:rPr>
                <w:rFonts w:cs="Arial"/>
                <w:color w:val="000000"/>
                <w:kern w:val="24"/>
                <w:sz w:val="20"/>
                <w:szCs w:val="20"/>
              </w:rPr>
              <w:t>492</w:t>
            </w:r>
          </w:p>
        </w:tc>
        <w:tc>
          <w:tcPr>
            <w:tcW w:w="1539" w:type="dxa"/>
            <w:vAlign w:val="center"/>
          </w:tcPr>
          <w:p w14:paraId="6B504293" w14:textId="77777777" w:rsidR="00E831E3" w:rsidRPr="00CD1505" w:rsidRDefault="00E831E3" w:rsidP="00362A5B">
            <w:pPr>
              <w:jc w:val="center"/>
              <w:rPr>
                <w:sz w:val="20"/>
                <w:szCs w:val="20"/>
              </w:rPr>
            </w:pPr>
            <w:r w:rsidRPr="00CD1505">
              <w:rPr>
                <w:rFonts w:cs="Arial"/>
                <w:color w:val="000000"/>
                <w:kern w:val="24"/>
                <w:sz w:val="20"/>
                <w:szCs w:val="20"/>
              </w:rPr>
              <w:t>221.7</w:t>
            </w:r>
          </w:p>
        </w:tc>
        <w:tc>
          <w:tcPr>
            <w:tcW w:w="1530" w:type="dxa"/>
            <w:vAlign w:val="center"/>
          </w:tcPr>
          <w:p w14:paraId="0116F971" w14:textId="77777777" w:rsidR="00E831E3" w:rsidRPr="00CD1505" w:rsidRDefault="00E831E3" w:rsidP="00362A5B">
            <w:pPr>
              <w:jc w:val="center"/>
              <w:rPr>
                <w:sz w:val="20"/>
                <w:szCs w:val="20"/>
              </w:rPr>
            </w:pPr>
            <w:r w:rsidRPr="00CD1505">
              <w:rPr>
                <w:rFonts w:cs="Arial"/>
                <w:color w:val="000000"/>
                <w:kern w:val="24"/>
                <w:sz w:val="20"/>
                <w:szCs w:val="20"/>
              </w:rPr>
              <w:t>6.31</w:t>
            </w:r>
          </w:p>
        </w:tc>
      </w:tr>
      <w:tr w:rsidR="00E831E3" w14:paraId="51DF89ED" w14:textId="77777777" w:rsidTr="00362A5B">
        <w:tc>
          <w:tcPr>
            <w:tcW w:w="1680" w:type="dxa"/>
            <w:vMerge/>
            <w:vAlign w:val="center"/>
          </w:tcPr>
          <w:p w14:paraId="72C3E83B" w14:textId="77777777" w:rsidR="00E831E3" w:rsidRPr="00CD1505" w:rsidRDefault="00E831E3" w:rsidP="00362A5B">
            <w:pPr>
              <w:rPr>
                <w:b/>
                <w:sz w:val="20"/>
                <w:szCs w:val="20"/>
              </w:rPr>
            </w:pPr>
          </w:p>
        </w:tc>
        <w:tc>
          <w:tcPr>
            <w:tcW w:w="916" w:type="dxa"/>
            <w:vAlign w:val="center"/>
          </w:tcPr>
          <w:p w14:paraId="60B114C5" w14:textId="77777777" w:rsidR="00E831E3" w:rsidRPr="00CD1505" w:rsidRDefault="00E831E3" w:rsidP="00362A5B">
            <w:pPr>
              <w:rPr>
                <w:b/>
                <w:sz w:val="20"/>
                <w:szCs w:val="20"/>
              </w:rPr>
            </w:pPr>
            <w:r w:rsidRPr="00CD1505">
              <w:rPr>
                <w:b/>
                <w:sz w:val="20"/>
                <w:szCs w:val="20"/>
              </w:rPr>
              <w:t>≥1 event</w:t>
            </w:r>
          </w:p>
        </w:tc>
        <w:tc>
          <w:tcPr>
            <w:tcW w:w="1765" w:type="dxa"/>
            <w:vAlign w:val="center"/>
          </w:tcPr>
          <w:p w14:paraId="0476B4CB" w14:textId="77777777" w:rsidR="00E831E3" w:rsidRPr="00CD1505" w:rsidRDefault="00E831E3" w:rsidP="00362A5B">
            <w:pPr>
              <w:jc w:val="center"/>
              <w:rPr>
                <w:sz w:val="20"/>
                <w:szCs w:val="20"/>
              </w:rPr>
            </w:pPr>
            <w:r w:rsidRPr="00CD1505">
              <w:rPr>
                <w:rFonts w:cs="Arial"/>
                <w:color w:val="000000"/>
                <w:kern w:val="24"/>
                <w:sz w:val="20"/>
                <w:szCs w:val="20"/>
              </w:rPr>
              <w:t>4 (5.19)</w:t>
            </w:r>
          </w:p>
        </w:tc>
        <w:tc>
          <w:tcPr>
            <w:tcW w:w="1008" w:type="dxa"/>
            <w:vAlign w:val="center"/>
          </w:tcPr>
          <w:p w14:paraId="59028073" w14:textId="77777777" w:rsidR="00E831E3" w:rsidRPr="00CD1505" w:rsidRDefault="00E831E3" w:rsidP="00362A5B">
            <w:pPr>
              <w:jc w:val="center"/>
              <w:rPr>
                <w:sz w:val="20"/>
                <w:szCs w:val="20"/>
              </w:rPr>
            </w:pPr>
            <w:r w:rsidRPr="00CD1505">
              <w:rPr>
                <w:rFonts w:cs="Arial"/>
                <w:color w:val="000000"/>
                <w:kern w:val="24"/>
                <w:sz w:val="20"/>
                <w:szCs w:val="20"/>
              </w:rPr>
              <w:t>77</w:t>
            </w:r>
          </w:p>
        </w:tc>
        <w:tc>
          <w:tcPr>
            <w:tcW w:w="1402" w:type="dxa"/>
            <w:vAlign w:val="center"/>
          </w:tcPr>
          <w:p w14:paraId="5006982A" w14:textId="77777777" w:rsidR="00E831E3" w:rsidRPr="00CD1505" w:rsidRDefault="00E831E3" w:rsidP="00362A5B">
            <w:pPr>
              <w:jc w:val="center"/>
              <w:rPr>
                <w:sz w:val="20"/>
                <w:szCs w:val="20"/>
              </w:rPr>
            </w:pPr>
            <w:r w:rsidRPr="00CD1505">
              <w:rPr>
                <w:rFonts w:cs="Arial"/>
                <w:color w:val="000000"/>
                <w:kern w:val="24"/>
                <w:sz w:val="20"/>
                <w:szCs w:val="20"/>
              </w:rPr>
              <w:t>37.2</w:t>
            </w:r>
          </w:p>
        </w:tc>
        <w:tc>
          <w:tcPr>
            <w:tcW w:w="1395" w:type="dxa"/>
            <w:vAlign w:val="center"/>
          </w:tcPr>
          <w:p w14:paraId="28085BAD" w14:textId="77777777" w:rsidR="00E831E3" w:rsidRPr="00CD1505" w:rsidRDefault="00E831E3" w:rsidP="00362A5B">
            <w:pPr>
              <w:jc w:val="center"/>
              <w:rPr>
                <w:sz w:val="20"/>
                <w:szCs w:val="20"/>
              </w:rPr>
            </w:pPr>
            <w:r w:rsidRPr="00CD1505">
              <w:rPr>
                <w:rFonts w:cs="Arial"/>
                <w:color w:val="000000"/>
                <w:kern w:val="24"/>
                <w:sz w:val="20"/>
                <w:szCs w:val="20"/>
              </w:rPr>
              <w:t>10.76</w:t>
            </w:r>
          </w:p>
        </w:tc>
        <w:tc>
          <w:tcPr>
            <w:tcW w:w="1723" w:type="dxa"/>
            <w:vAlign w:val="center"/>
          </w:tcPr>
          <w:p w14:paraId="63B1BC36" w14:textId="77777777" w:rsidR="00E831E3" w:rsidRPr="00CD1505" w:rsidRDefault="00E831E3" w:rsidP="00362A5B">
            <w:pPr>
              <w:jc w:val="center"/>
              <w:rPr>
                <w:sz w:val="20"/>
                <w:szCs w:val="20"/>
              </w:rPr>
            </w:pPr>
            <w:r w:rsidRPr="00CD1505">
              <w:rPr>
                <w:rFonts w:cs="Arial"/>
                <w:color w:val="000000"/>
                <w:kern w:val="24"/>
                <w:sz w:val="20"/>
                <w:szCs w:val="20"/>
              </w:rPr>
              <w:t>11 (9.57)</w:t>
            </w:r>
          </w:p>
        </w:tc>
        <w:tc>
          <w:tcPr>
            <w:tcW w:w="1216" w:type="dxa"/>
            <w:vAlign w:val="center"/>
          </w:tcPr>
          <w:p w14:paraId="348E3E95" w14:textId="77777777" w:rsidR="00E831E3" w:rsidRPr="00CD1505" w:rsidRDefault="00E831E3" w:rsidP="00362A5B">
            <w:pPr>
              <w:jc w:val="center"/>
              <w:rPr>
                <w:sz w:val="20"/>
                <w:szCs w:val="20"/>
              </w:rPr>
            </w:pPr>
            <w:r w:rsidRPr="00CD1505">
              <w:rPr>
                <w:rFonts w:cs="Arial"/>
                <w:color w:val="000000"/>
                <w:kern w:val="24"/>
                <w:sz w:val="20"/>
                <w:szCs w:val="20"/>
              </w:rPr>
              <w:t>115</w:t>
            </w:r>
          </w:p>
        </w:tc>
        <w:tc>
          <w:tcPr>
            <w:tcW w:w="1539" w:type="dxa"/>
            <w:vAlign w:val="center"/>
          </w:tcPr>
          <w:p w14:paraId="5003A13C" w14:textId="77777777" w:rsidR="00E831E3" w:rsidRPr="00CD1505" w:rsidRDefault="00E831E3" w:rsidP="00362A5B">
            <w:pPr>
              <w:jc w:val="center"/>
              <w:rPr>
                <w:sz w:val="20"/>
                <w:szCs w:val="20"/>
              </w:rPr>
            </w:pPr>
            <w:r w:rsidRPr="00CD1505">
              <w:rPr>
                <w:rFonts w:cs="Arial"/>
                <w:color w:val="000000"/>
                <w:kern w:val="24"/>
                <w:sz w:val="20"/>
                <w:szCs w:val="20"/>
              </w:rPr>
              <w:t>51.8</w:t>
            </w:r>
          </w:p>
        </w:tc>
        <w:tc>
          <w:tcPr>
            <w:tcW w:w="1530" w:type="dxa"/>
            <w:vAlign w:val="center"/>
          </w:tcPr>
          <w:p w14:paraId="364D6319" w14:textId="77777777" w:rsidR="00E831E3" w:rsidRPr="00CD1505" w:rsidRDefault="00E831E3" w:rsidP="00362A5B">
            <w:pPr>
              <w:jc w:val="center"/>
              <w:rPr>
                <w:sz w:val="20"/>
                <w:szCs w:val="20"/>
              </w:rPr>
            </w:pPr>
            <w:r w:rsidRPr="00CD1505">
              <w:rPr>
                <w:rFonts w:cs="Arial"/>
                <w:color w:val="000000"/>
                <w:kern w:val="24"/>
                <w:sz w:val="20"/>
                <w:szCs w:val="20"/>
              </w:rPr>
              <w:t>21.25</w:t>
            </w:r>
          </w:p>
        </w:tc>
      </w:tr>
      <w:tr w:rsidR="00E831E3" w14:paraId="1FC25843" w14:textId="77777777" w:rsidTr="00362A5B">
        <w:trPr>
          <w:trHeight w:val="483"/>
        </w:trPr>
        <w:tc>
          <w:tcPr>
            <w:tcW w:w="1680" w:type="dxa"/>
            <w:vMerge w:val="restart"/>
            <w:vAlign w:val="center"/>
          </w:tcPr>
          <w:p w14:paraId="07BB2CC2" w14:textId="77777777" w:rsidR="00E831E3" w:rsidRPr="00CD1505" w:rsidRDefault="00E831E3" w:rsidP="00362A5B">
            <w:pPr>
              <w:rPr>
                <w:b/>
                <w:sz w:val="20"/>
                <w:szCs w:val="20"/>
              </w:rPr>
            </w:pPr>
            <w:r w:rsidRPr="00CD1505">
              <w:rPr>
                <w:b/>
                <w:sz w:val="20"/>
                <w:szCs w:val="20"/>
              </w:rPr>
              <w:t>COPD symptom-related attack (</w:t>
            </w:r>
            <w:r>
              <w:rPr>
                <w:b/>
                <w:sz w:val="20"/>
                <w:szCs w:val="20"/>
              </w:rPr>
              <w:t xml:space="preserve">symptomatic worsening + </w:t>
            </w:r>
            <w:r w:rsidRPr="00CD1505">
              <w:rPr>
                <w:b/>
                <w:sz w:val="20"/>
                <w:szCs w:val="20"/>
              </w:rPr>
              <w:t xml:space="preserve">&gt;4 </w:t>
            </w:r>
            <w:r>
              <w:rPr>
                <w:b/>
                <w:sz w:val="20"/>
                <w:szCs w:val="20"/>
              </w:rPr>
              <w:t>inhalations</w:t>
            </w:r>
            <w:r w:rsidRPr="00CD1505">
              <w:rPr>
                <w:b/>
                <w:sz w:val="20"/>
                <w:szCs w:val="20"/>
              </w:rPr>
              <w:t>/day</w:t>
            </w:r>
            <w:r>
              <w:rPr>
                <w:b/>
                <w:sz w:val="20"/>
                <w:szCs w:val="20"/>
              </w:rPr>
              <w:t xml:space="preserve"> above baseline</w:t>
            </w:r>
            <w:r w:rsidRPr="00CD1505">
              <w:rPr>
                <w:b/>
                <w:sz w:val="20"/>
                <w:szCs w:val="20"/>
              </w:rPr>
              <w:t>)</w:t>
            </w:r>
          </w:p>
        </w:tc>
        <w:tc>
          <w:tcPr>
            <w:tcW w:w="916" w:type="dxa"/>
            <w:vAlign w:val="center"/>
          </w:tcPr>
          <w:p w14:paraId="32B0B1EB" w14:textId="77777777" w:rsidR="00E831E3" w:rsidRPr="00CD1505" w:rsidRDefault="00E831E3" w:rsidP="00362A5B">
            <w:pPr>
              <w:rPr>
                <w:b/>
                <w:sz w:val="20"/>
                <w:szCs w:val="20"/>
              </w:rPr>
            </w:pPr>
            <w:r w:rsidRPr="00CD1505">
              <w:rPr>
                <w:b/>
                <w:sz w:val="20"/>
                <w:szCs w:val="20"/>
              </w:rPr>
              <w:t>0 event</w:t>
            </w:r>
          </w:p>
        </w:tc>
        <w:tc>
          <w:tcPr>
            <w:tcW w:w="1765" w:type="dxa"/>
            <w:vAlign w:val="center"/>
          </w:tcPr>
          <w:p w14:paraId="3FA65AFD" w14:textId="77777777" w:rsidR="00E831E3" w:rsidRPr="00CD1505" w:rsidRDefault="00E831E3" w:rsidP="00362A5B">
            <w:pPr>
              <w:jc w:val="center"/>
              <w:rPr>
                <w:sz w:val="20"/>
                <w:szCs w:val="20"/>
              </w:rPr>
            </w:pPr>
            <w:r w:rsidRPr="00CD1505">
              <w:rPr>
                <w:rFonts w:cs="Arial"/>
                <w:color w:val="000000"/>
                <w:kern w:val="24"/>
                <w:sz w:val="20"/>
                <w:szCs w:val="20"/>
              </w:rPr>
              <w:t>10 (1.74)</w:t>
            </w:r>
          </w:p>
        </w:tc>
        <w:tc>
          <w:tcPr>
            <w:tcW w:w="1008" w:type="dxa"/>
            <w:vAlign w:val="center"/>
          </w:tcPr>
          <w:p w14:paraId="6BFD74D9" w14:textId="77777777" w:rsidR="00E831E3" w:rsidRPr="00CD1505" w:rsidRDefault="00E831E3" w:rsidP="00362A5B">
            <w:pPr>
              <w:jc w:val="center"/>
              <w:rPr>
                <w:sz w:val="20"/>
                <w:szCs w:val="20"/>
              </w:rPr>
            </w:pPr>
            <w:r w:rsidRPr="00CD1505">
              <w:rPr>
                <w:rFonts w:cs="Arial"/>
                <w:color w:val="000000"/>
                <w:kern w:val="24"/>
                <w:sz w:val="20"/>
                <w:szCs w:val="20"/>
              </w:rPr>
              <w:t>576</w:t>
            </w:r>
          </w:p>
        </w:tc>
        <w:tc>
          <w:tcPr>
            <w:tcW w:w="1402" w:type="dxa"/>
            <w:vAlign w:val="center"/>
          </w:tcPr>
          <w:p w14:paraId="757899F9" w14:textId="77777777" w:rsidR="00E831E3" w:rsidRPr="00CD1505" w:rsidRDefault="00E831E3" w:rsidP="00362A5B">
            <w:pPr>
              <w:jc w:val="center"/>
              <w:rPr>
                <w:sz w:val="20"/>
                <w:szCs w:val="20"/>
              </w:rPr>
            </w:pPr>
            <w:r w:rsidRPr="00CD1505">
              <w:rPr>
                <w:rFonts w:cs="Arial"/>
                <w:color w:val="000000"/>
                <w:kern w:val="24"/>
                <w:sz w:val="20"/>
                <w:szCs w:val="20"/>
              </w:rPr>
              <w:t>270.9</w:t>
            </w:r>
          </w:p>
        </w:tc>
        <w:tc>
          <w:tcPr>
            <w:tcW w:w="1395" w:type="dxa"/>
            <w:vAlign w:val="center"/>
          </w:tcPr>
          <w:p w14:paraId="2EB7CA16" w14:textId="77777777" w:rsidR="00E831E3" w:rsidRPr="00CD1505" w:rsidRDefault="00E831E3" w:rsidP="00362A5B">
            <w:pPr>
              <w:jc w:val="center"/>
              <w:rPr>
                <w:sz w:val="20"/>
                <w:szCs w:val="20"/>
              </w:rPr>
            </w:pPr>
            <w:r w:rsidRPr="00CD1505">
              <w:rPr>
                <w:rFonts w:cs="Arial"/>
                <w:color w:val="000000"/>
                <w:kern w:val="24"/>
                <w:sz w:val="20"/>
                <w:szCs w:val="20"/>
              </w:rPr>
              <w:t>3.69</w:t>
            </w:r>
          </w:p>
        </w:tc>
        <w:tc>
          <w:tcPr>
            <w:tcW w:w="1723" w:type="dxa"/>
            <w:vAlign w:val="center"/>
          </w:tcPr>
          <w:p w14:paraId="5BD085BB" w14:textId="77777777" w:rsidR="00E831E3" w:rsidRPr="00CD1505" w:rsidRDefault="00E831E3" w:rsidP="00362A5B">
            <w:pPr>
              <w:jc w:val="center"/>
              <w:rPr>
                <w:sz w:val="20"/>
                <w:szCs w:val="20"/>
              </w:rPr>
            </w:pPr>
            <w:r w:rsidRPr="00CD1505">
              <w:rPr>
                <w:rFonts w:cs="Arial"/>
                <w:color w:val="000000"/>
                <w:kern w:val="24"/>
                <w:sz w:val="20"/>
                <w:szCs w:val="20"/>
              </w:rPr>
              <w:t>18 (3.24)</w:t>
            </w:r>
          </w:p>
        </w:tc>
        <w:tc>
          <w:tcPr>
            <w:tcW w:w="1216" w:type="dxa"/>
            <w:vAlign w:val="center"/>
          </w:tcPr>
          <w:p w14:paraId="69A74BAB" w14:textId="77777777" w:rsidR="00E831E3" w:rsidRPr="00CD1505" w:rsidRDefault="00E831E3" w:rsidP="00362A5B">
            <w:pPr>
              <w:jc w:val="center"/>
              <w:rPr>
                <w:sz w:val="20"/>
                <w:szCs w:val="20"/>
              </w:rPr>
            </w:pPr>
            <w:r w:rsidRPr="00CD1505">
              <w:rPr>
                <w:rFonts w:cs="Arial"/>
                <w:color w:val="000000"/>
                <w:kern w:val="24"/>
                <w:sz w:val="20"/>
                <w:szCs w:val="20"/>
              </w:rPr>
              <w:t>555</w:t>
            </w:r>
          </w:p>
        </w:tc>
        <w:tc>
          <w:tcPr>
            <w:tcW w:w="1539" w:type="dxa"/>
            <w:vAlign w:val="center"/>
          </w:tcPr>
          <w:p w14:paraId="520EDF2C" w14:textId="77777777" w:rsidR="00E831E3" w:rsidRPr="00CD1505" w:rsidRDefault="00E831E3" w:rsidP="00362A5B">
            <w:pPr>
              <w:jc w:val="center"/>
              <w:rPr>
                <w:sz w:val="20"/>
                <w:szCs w:val="20"/>
              </w:rPr>
            </w:pPr>
            <w:r w:rsidRPr="00CD1505">
              <w:rPr>
                <w:rFonts w:cs="Arial"/>
                <w:color w:val="000000"/>
                <w:kern w:val="24"/>
                <w:sz w:val="20"/>
                <w:szCs w:val="20"/>
              </w:rPr>
              <w:t>249.5</w:t>
            </w:r>
          </w:p>
        </w:tc>
        <w:tc>
          <w:tcPr>
            <w:tcW w:w="1530" w:type="dxa"/>
            <w:vAlign w:val="center"/>
          </w:tcPr>
          <w:p w14:paraId="1F948516" w14:textId="77777777" w:rsidR="00E831E3" w:rsidRPr="00CD1505" w:rsidRDefault="00E831E3" w:rsidP="00362A5B">
            <w:pPr>
              <w:jc w:val="center"/>
              <w:rPr>
                <w:sz w:val="20"/>
                <w:szCs w:val="20"/>
              </w:rPr>
            </w:pPr>
            <w:r w:rsidRPr="00CD1505">
              <w:rPr>
                <w:rFonts w:cs="Arial"/>
                <w:color w:val="000000"/>
                <w:kern w:val="24"/>
                <w:sz w:val="20"/>
                <w:szCs w:val="20"/>
              </w:rPr>
              <w:t>7.22</w:t>
            </w:r>
          </w:p>
        </w:tc>
      </w:tr>
      <w:tr w:rsidR="00E831E3" w14:paraId="425BC5A2" w14:textId="77777777" w:rsidTr="00362A5B">
        <w:tc>
          <w:tcPr>
            <w:tcW w:w="1680" w:type="dxa"/>
            <w:vMerge/>
            <w:vAlign w:val="center"/>
          </w:tcPr>
          <w:p w14:paraId="7DC0CFD0" w14:textId="77777777" w:rsidR="00E831E3" w:rsidRPr="00CD1505" w:rsidRDefault="00E831E3" w:rsidP="00362A5B">
            <w:pPr>
              <w:rPr>
                <w:b/>
                <w:sz w:val="20"/>
                <w:szCs w:val="20"/>
              </w:rPr>
            </w:pPr>
          </w:p>
        </w:tc>
        <w:tc>
          <w:tcPr>
            <w:tcW w:w="916" w:type="dxa"/>
            <w:vAlign w:val="center"/>
          </w:tcPr>
          <w:p w14:paraId="68F157B8" w14:textId="77777777" w:rsidR="00E831E3" w:rsidRPr="00CD1505" w:rsidRDefault="00E831E3" w:rsidP="00362A5B">
            <w:pPr>
              <w:rPr>
                <w:b/>
                <w:sz w:val="20"/>
                <w:szCs w:val="20"/>
              </w:rPr>
            </w:pPr>
            <w:r w:rsidRPr="00CD1505">
              <w:rPr>
                <w:b/>
                <w:sz w:val="20"/>
                <w:szCs w:val="20"/>
              </w:rPr>
              <w:t>≥1 event</w:t>
            </w:r>
          </w:p>
        </w:tc>
        <w:tc>
          <w:tcPr>
            <w:tcW w:w="1765" w:type="dxa"/>
            <w:vAlign w:val="center"/>
          </w:tcPr>
          <w:p w14:paraId="0DBF231C" w14:textId="77777777" w:rsidR="00E831E3" w:rsidRPr="00CD1505" w:rsidRDefault="00E831E3" w:rsidP="00362A5B">
            <w:pPr>
              <w:jc w:val="center"/>
              <w:rPr>
                <w:sz w:val="20"/>
                <w:szCs w:val="20"/>
              </w:rPr>
            </w:pPr>
            <w:r w:rsidRPr="00CD1505">
              <w:rPr>
                <w:rFonts w:cs="Arial"/>
                <w:color w:val="000000"/>
                <w:kern w:val="24"/>
                <w:sz w:val="20"/>
                <w:szCs w:val="20"/>
              </w:rPr>
              <w:t>2 (7.69)</w:t>
            </w:r>
          </w:p>
        </w:tc>
        <w:tc>
          <w:tcPr>
            <w:tcW w:w="1008" w:type="dxa"/>
            <w:vAlign w:val="center"/>
          </w:tcPr>
          <w:p w14:paraId="78B2A6E9" w14:textId="77777777" w:rsidR="00E831E3" w:rsidRPr="00CD1505" w:rsidRDefault="00E831E3" w:rsidP="00362A5B">
            <w:pPr>
              <w:jc w:val="center"/>
              <w:rPr>
                <w:sz w:val="20"/>
                <w:szCs w:val="20"/>
              </w:rPr>
            </w:pPr>
            <w:r w:rsidRPr="00CD1505">
              <w:rPr>
                <w:rFonts w:cs="Arial"/>
                <w:color w:val="000000"/>
                <w:kern w:val="24"/>
                <w:sz w:val="20"/>
                <w:szCs w:val="20"/>
              </w:rPr>
              <w:t>26</w:t>
            </w:r>
          </w:p>
        </w:tc>
        <w:tc>
          <w:tcPr>
            <w:tcW w:w="1402" w:type="dxa"/>
            <w:vAlign w:val="center"/>
          </w:tcPr>
          <w:p w14:paraId="78BA2C41" w14:textId="77777777" w:rsidR="00E831E3" w:rsidRPr="00CD1505" w:rsidRDefault="00E831E3" w:rsidP="00362A5B">
            <w:pPr>
              <w:jc w:val="center"/>
              <w:rPr>
                <w:sz w:val="20"/>
                <w:szCs w:val="20"/>
              </w:rPr>
            </w:pPr>
            <w:r w:rsidRPr="00CD1505">
              <w:rPr>
                <w:rFonts w:cs="Arial"/>
                <w:color w:val="000000"/>
                <w:kern w:val="24"/>
                <w:sz w:val="20"/>
                <w:szCs w:val="20"/>
              </w:rPr>
              <w:t>12.7</w:t>
            </w:r>
          </w:p>
        </w:tc>
        <w:tc>
          <w:tcPr>
            <w:tcW w:w="1395" w:type="dxa"/>
            <w:vAlign w:val="center"/>
          </w:tcPr>
          <w:p w14:paraId="1940C44F" w14:textId="77777777" w:rsidR="00E831E3" w:rsidRPr="00CD1505" w:rsidRDefault="00E831E3" w:rsidP="00362A5B">
            <w:pPr>
              <w:jc w:val="center"/>
              <w:rPr>
                <w:sz w:val="20"/>
                <w:szCs w:val="20"/>
              </w:rPr>
            </w:pPr>
            <w:r w:rsidRPr="00CD1505">
              <w:rPr>
                <w:rFonts w:cs="Arial"/>
                <w:color w:val="000000"/>
                <w:kern w:val="24"/>
                <w:sz w:val="20"/>
                <w:szCs w:val="20"/>
              </w:rPr>
              <w:t>15.77</w:t>
            </w:r>
          </w:p>
        </w:tc>
        <w:tc>
          <w:tcPr>
            <w:tcW w:w="1723" w:type="dxa"/>
            <w:vAlign w:val="center"/>
          </w:tcPr>
          <w:p w14:paraId="64B7C691" w14:textId="77777777" w:rsidR="00E831E3" w:rsidRPr="00CD1505" w:rsidRDefault="00E831E3" w:rsidP="00362A5B">
            <w:pPr>
              <w:jc w:val="center"/>
              <w:rPr>
                <w:sz w:val="20"/>
                <w:szCs w:val="20"/>
              </w:rPr>
            </w:pPr>
            <w:r w:rsidRPr="00CD1505">
              <w:rPr>
                <w:rFonts w:cs="Arial"/>
                <w:color w:val="000000"/>
                <w:kern w:val="24"/>
                <w:sz w:val="20"/>
                <w:szCs w:val="20"/>
              </w:rPr>
              <w:t>7 (13.46)</w:t>
            </w:r>
          </w:p>
        </w:tc>
        <w:tc>
          <w:tcPr>
            <w:tcW w:w="1216" w:type="dxa"/>
            <w:vAlign w:val="center"/>
          </w:tcPr>
          <w:p w14:paraId="79498788" w14:textId="77777777" w:rsidR="00E831E3" w:rsidRPr="00CD1505" w:rsidRDefault="00E831E3" w:rsidP="00362A5B">
            <w:pPr>
              <w:jc w:val="center"/>
              <w:rPr>
                <w:sz w:val="20"/>
                <w:szCs w:val="20"/>
              </w:rPr>
            </w:pPr>
            <w:r w:rsidRPr="00CD1505">
              <w:rPr>
                <w:rFonts w:cs="Arial"/>
                <w:color w:val="000000"/>
                <w:kern w:val="24"/>
                <w:sz w:val="20"/>
                <w:szCs w:val="20"/>
              </w:rPr>
              <w:t>52</w:t>
            </w:r>
          </w:p>
        </w:tc>
        <w:tc>
          <w:tcPr>
            <w:tcW w:w="1539" w:type="dxa"/>
            <w:vAlign w:val="center"/>
          </w:tcPr>
          <w:p w14:paraId="14E16AF7" w14:textId="77777777" w:rsidR="00E831E3" w:rsidRPr="00CD1505" w:rsidRDefault="00E831E3" w:rsidP="00362A5B">
            <w:pPr>
              <w:jc w:val="center"/>
              <w:rPr>
                <w:sz w:val="20"/>
                <w:szCs w:val="20"/>
              </w:rPr>
            </w:pPr>
            <w:r w:rsidRPr="00CD1505">
              <w:rPr>
                <w:rFonts w:cs="Arial"/>
                <w:color w:val="000000"/>
                <w:kern w:val="24"/>
                <w:sz w:val="20"/>
                <w:szCs w:val="20"/>
              </w:rPr>
              <w:t>24</w:t>
            </w:r>
          </w:p>
        </w:tc>
        <w:tc>
          <w:tcPr>
            <w:tcW w:w="1530" w:type="dxa"/>
            <w:vAlign w:val="center"/>
          </w:tcPr>
          <w:p w14:paraId="26D13144" w14:textId="77777777" w:rsidR="00E831E3" w:rsidRPr="00CD1505" w:rsidRDefault="00E831E3" w:rsidP="00362A5B">
            <w:pPr>
              <w:jc w:val="center"/>
              <w:rPr>
                <w:sz w:val="20"/>
                <w:szCs w:val="20"/>
              </w:rPr>
            </w:pPr>
            <w:r w:rsidRPr="00CD1505">
              <w:rPr>
                <w:rFonts w:cs="Arial"/>
                <w:color w:val="000000"/>
                <w:kern w:val="24"/>
                <w:sz w:val="20"/>
                <w:szCs w:val="20"/>
              </w:rPr>
              <w:t>29.14</w:t>
            </w:r>
          </w:p>
        </w:tc>
      </w:tr>
      <w:tr w:rsidR="00E831E3" w14:paraId="45549F5A" w14:textId="77777777" w:rsidTr="00362A5B">
        <w:trPr>
          <w:trHeight w:val="483"/>
        </w:trPr>
        <w:tc>
          <w:tcPr>
            <w:tcW w:w="1680" w:type="dxa"/>
            <w:vMerge w:val="restart"/>
            <w:vAlign w:val="center"/>
          </w:tcPr>
          <w:p w14:paraId="55B9C013" w14:textId="77777777" w:rsidR="00E831E3" w:rsidRPr="00CD1505" w:rsidRDefault="00E831E3" w:rsidP="00362A5B">
            <w:pPr>
              <w:rPr>
                <w:b/>
                <w:sz w:val="20"/>
                <w:szCs w:val="20"/>
              </w:rPr>
            </w:pPr>
            <w:r w:rsidRPr="00CD1505">
              <w:rPr>
                <w:b/>
                <w:sz w:val="20"/>
                <w:szCs w:val="20"/>
              </w:rPr>
              <w:t>Moderate/severe exacerbation</w:t>
            </w:r>
          </w:p>
        </w:tc>
        <w:tc>
          <w:tcPr>
            <w:tcW w:w="916" w:type="dxa"/>
            <w:vAlign w:val="center"/>
          </w:tcPr>
          <w:p w14:paraId="520A8C24" w14:textId="77777777" w:rsidR="00E831E3" w:rsidRPr="00CD1505" w:rsidRDefault="00E831E3" w:rsidP="00362A5B">
            <w:pPr>
              <w:rPr>
                <w:b/>
                <w:sz w:val="20"/>
                <w:szCs w:val="20"/>
              </w:rPr>
            </w:pPr>
            <w:r w:rsidRPr="00CD1505">
              <w:rPr>
                <w:b/>
                <w:sz w:val="20"/>
                <w:szCs w:val="20"/>
              </w:rPr>
              <w:t>0 event</w:t>
            </w:r>
          </w:p>
        </w:tc>
        <w:tc>
          <w:tcPr>
            <w:tcW w:w="1765" w:type="dxa"/>
            <w:vAlign w:val="center"/>
          </w:tcPr>
          <w:p w14:paraId="79AF28DA" w14:textId="77777777" w:rsidR="00E831E3" w:rsidRPr="00CD1505" w:rsidRDefault="00E831E3" w:rsidP="00362A5B">
            <w:pPr>
              <w:jc w:val="center"/>
              <w:rPr>
                <w:sz w:val="20"/>
                <w:szCs w:val="20"/>
              </w:rPr>
            </w:pPr>
            <w:r w:rsidRPr="00CD1505">
              <w:rPr>
                <w:rFonts w:cs="Arial"/>
                <w:color w:val="000000"/>
                <w:kern w:val="24"/>
                <w:sz w:val="20"/>
                <w:szCs w:val="20"/>
              </w:rPr>
              <w:t>2 (0.46)</w:t>
            </w:r>
          </w:p>
        </w:tc>
        <w:tc>
          <w:tcPr>
            <w:tcW w:w="1008" w:type="dxa"/>
            <w:vAlign w:val="center"/>
          </w:tcPr>
          <w:p w14:paraId="4FBF22FD" w14:textId="77777777" w:rsidR="00E831E3" w:rsidRPr="00CD1505" w:rsidRDefault="00E831E3" w:rsidP="00362A5B">
            <w:pPr>
              <w:jc w:val="center"/>
              <w:rPr>
                <w:sz w:val="20"/>
                <w:szCs w:val="20"/>
              </w:rPr>
            </w:pPr>
            <w:r w:rsidRPr="00CD1505">
              <w:rPr>
                <w:rFonts w:cs="Arial"/>
                <w:color w:val="000000"/>
                <w:kern w:val="24"/>
                <w:sz w:val="20"/>
                <w:szCs w:val="20"/>
              </w:rPr>
              <w:t>434</w:t>
            </w:r>
          </w:p>
        </w:tc>
        <w:tc>
          <w:tcPr>
            <w:tcW w:w="1402" w:type="dxa"/>
            <w:vAlign w:val="center"/>
          </w:tcPr>
          <w:p w14:paraId="72AE1E0C" w14:textId="77777777" w:rsidR="00E831E3" w:rsidRPr="00CD1505" w:rsidRDefault="00E831E3" w:rsidP="00362A5B">
            <w:pPr>
              <w:jc w:val="center"/>
              <w:rPr>
                <w:sz w:val="20"/>
                <w:szCs w:val="20"/>
              </w:rPr>
            </w:pPr>
            <w:r w:rsidRPr="00CD1505">
              <w:rPr>
                <w:rFonts w:cs="Arial"/>
                <w:color w:val="000000"/>
                <w:kern w:val="24"/>
                <w:sz w:val="20"/>
                <w:szCs w:val="20"/>
              </w:rPr>
              <w:t>204.9</w:t>
            </w:r>
          </w:p>
        </w:tc>
        <w:tc>
          <w:tcPr>
            <w:tcW w:w="1395" w:type="dxa"/>
            <w:vAlign w:val="center"/>
          </w:tcPr>
          <w:p w14:paraId="1CC39FE8" w14:textId="77777777" w:rsidR="00E831E3" w:rsidRPr="00CD1505" w:rsidRDefault="00E831E3" w:rsidP="00362A5B">
            <w:pPr>
              <w:jc w:val="center"/>
              <w:rPr>
                <w:sz w:val="20"/>
                <w:szCs w:val="20"/>
              </w:rPr>
            </w:pPr>
            <w:r w:rsidRPr="00CD1505">
              <w:rPr>
                <w:rFonts w:cs="Arial"/>
                <w:color w:val="000000"/>
                <w:kern w:val="24"/>
                <w:sz w:val="20"/>
                <w:szCs w:val="20"/>
              </w:rPr>
              <w:t>0.98</w:t>
            </w:r>
          </w:p>
        </w:tc>
        <w:tc>
          <w:tcPr>
            <w:tcW w:w="1723" w:type="dxa"/>
            <w:vAlign w:val="center"/>
          </w:tcPr>
          <w:p w14:paraId="17DA5057" w14:textId="77777777" w:rsidR="00E831E3" w:rsidRPr="00CD1505" w:rsidRDefault="00E831E3" w:rsidP="00362A5B">
            <w:pPr>
              <w:jc w:val="center"/>
              <w:rPr>
                <w:sz w:val="20"/>
                <w:szCs w:val="20"/>
              </w:rPr>
            </w:pPr>
            <w:r w:rsidRPr="00CD1505">
              <w:rPr>
                <w:rFonts w:cs="Arial"/>
                <w:color w:val="000000"/>
                <w:kern w:val="24"/>
                <w:sz w:val="20"/>
                <w:szCs w:val="20"/>
              </w:rPr>
              <w:t>1 (0.24)</w:t>
            </w:r>
          </w:p>
        </w:tc>
        <w:tc>
          <w:tcPr>
            <w:tcW w:w="1216" w:type="dxa"/>
            <w:vAlign w:val="center"/>
          </w:tcPr>
          <w:p w14:paraId="2D48D0E7" w14:textId="77777777" w:rsidR="00E831E3" w:rsidRPr="00CD1505" w:rsidRDefault="00E831E3" w:rsidP="00362A5B">
            <w:pPr>
              <w:jc w:val="center"/>
              <w:rPr>
                <w:sz w:val="20"/>
                <w:szCs w:val="20"/>
              </w:rPr>
            </w:pPr>
            <w:r w:rsidRPr="00CD1505">
              <w:rPr>
                <w:rFonts w:cs="Arial"/>
                <w:color w:val="000000"/>
                <w:kern w:val="24"/>
                <w:sz w:val="20"/>
                <w:szCs w:val="20"/>
              </w:rPr>
              <w:t>409</w:t>
            </w:r>
          </w:p>
        </w:tc>
        <w:tc>
          <w:tcPr>
            <w:tcW w:w="1539" w:type="dxa"/>
            <w:vAlign w:val="center"/>
          </w:tcPr>
          <w:p w14:paraId="5D8309B4" w14:textId="77777777" w:rsidR="00E831E3" w:rsidRPr="00CD1505" w:rsidRDefault="00E831E3" w:rsidP="00362A5B">
            <w:pPr>
              <w:jc w:val="center"/>
              <w:rPr>
                <w:sz w:val="20"/>
                <w:szCs w:val="20"/>
              </w:rPr>
            </w:pPr>
            <w:r w:rsidRPr="00CD1505">
              <w:rPr>
                <w:rFonts w:cs="Arial"/>
                <w:color w:val="000000"/>
                <w:kern w:val="24"/>
                <w:sz w:val="20"/>
                <w:szCs w:val="20"/>
              </w:rPr>
              <w:t>186</w:t>
            </w:r>
          </w:p>
        </w:tc>
        <w:tc>
          <w:tcPr>
            <w:tcW w:w="1530" w:type="dxa"/>
            <w:vAlign w:val="center"/>
          </w:tcPr>
          <w:p w14:paraId="07182BCA" w14:textId="77777777" w:rsidR="00E831E3" w:rsidRPr="00CD1505" w:rsidRDefault="00E831E3" w:rsidP="00362A5B">
            <w:pPr>
              <w:jc w:val="center"/>
              <w:rPr>
                <w:sz w:val="20"/>
                <w:szCs w:val="20"/>
              </w:rPr>
            </w:pPr>
            <w:r w:rsidRPr="00CD1505">
              <w:rPr>
                <w:rFonts w:cs="Arial"/>
                <w:color w:val="000000"/>
                <w:kern w:val="24"/>
                <w:sz w:val="20"/>
                <w:szCs w:val="20"/>
              </w:rPr>
              <w:t>0.54</w:t>
            </w:r>
          </w:p>
        </w:tc>
      </w:tr>
      <w:tr w:rsidR="00E831E3" w14:paraId="08011DE1" w14:textId="77777777" w:rsidTr="00362A5B">
        <w:tc>
          <w:tcPr>
            <w:tcW w:w="1680" w:type="dxa"/>
            <w:vMerge/>
            <w:vAlign w:val="center"/>
          </w:tcPr>
          <w:p w14:paraId="5A7217A9" w14:textId="77777777" w:rsidR="00E831E3" w:rsidRPr="00CD1505" w:rsidRDefault="00E831E3" w:rsidP="00362A5B">
            <w:pPr>
              <w:rPr>
                <w:b/>
                <w:sz w:val="20"/>
                <w:szCs w:val="20"/>
              </w:rPr>
            </w:pPr>
          </w:p>
        </w:tc>
        <w:tc>
          <w:tcPr>
            <w:tcW w:w="916" w:type="dxa"/>
            <w:vAlign w:val="center"/>
          </w:tcPr>
          <w:p w14:paraId="660291AC" w14:textId="77777777" w:rsidR="00E831E3" w:rsidRPr="00CD1505" w:rsidRDefault="00E831E3" w:rsidP="00362A5B">
            <w:pPr>
              <w:rPr>
                <w:b/>
                <w:sz w:val="20"/>
                <w:szCs w:val="20"/>
              </w:rPr>
            </w:pPr>
            <w:r w:rsidRPr="00CD1505">
              <w:rPr>
                <w:b/>
                <w:sz w:val="20"/>
                <w:szCs w:val="20"/>
              </w:rPr>
              <w:t>≥1 event</w:t>
            </w:r>
          </w:p>
        </w:tc>
        <w:tc>
          <w:tcPr>
            <w:tcW w:w="1765" w:type="dxa"/>
            <w:vAlign w:val="center"/>
          </w:tcPr>
          <w:p w14:paraId="0B9B672D" w14:textId="77777777" w:rsidR="00E831E3" w:rsidRPr="00CD1505" w:rsidRDefault="00E831E3" w:rsidP="00362A5B">
            <w:pPr>
              <w:jc w:val="center"/>
              <w:rPr>
                <w:sz w:val="20"/>
                <w:szCs w:val="20"/>
              </w:rPr>
            </w:pPr>
            <w:r w:rsidRPr="00CD1505">
              <w:rPr>
                <w:rFonts w:cs="Arial"/>
                <w:color w:val="000000"/>
                <w:kern w:val="24"/>
                <w:sz w:val="20"/>
                <w:szCs w:val="20"/>
              </w:rPr>
              <w:t>10 (5.85)</w:t>
            </w:r>
          </w:p>
        </w:tc>
        <w:tc>
          <w:tcPr>
            <w:tcW w:w="1008" w:type="dxa"/>
            <w:vAlign w:val="center"/>
          </w:tcPr>
          <w:p w14:paraId="63D1EE34" w14:textId="77777777" w:rsidR="00E831E3" w:rsidRPr="00CD1505" w:rsidRDefault="00E831E3" w:rsidP="00362A5B">
            <w:pPr>
              <w:jc w:val="center"/>
              <w:rPr>
                <w:sz w:val="20"/>
                <w:szCs w:val="20"/>
              </w:rPr>
            </w:pPr>
            <w:r w:rsidRPr="00CD1505">
              <w:rPr>
                <w:rFonts w:cs="Arial"/>
                <w:color w:val="000000"/>
                <w:kern w:val="24"/>
                <w:sz w:val="20"/>
                <w:szCs w:val="20"/>
              </w:rPr>
              <w:t>171</w:t>
            </w:r>
          </w:p>
        </w:tc>
        <w:tc>
          <w:tcPr>
            <w:tcW w:w="1402" w:type="dxa"/>
            <w:vAlign w:val="center"/>
          </w:tcPr>
          <w:p w14:paraId="07AC3E53" w14:textId="77777777" w:rsidR="00E831E3" w:rsidRPr="00CD1505" w:rsidRDefault="00E831E3" w:rsidP="00362A5B">
            <w:pPr>
              <w:jc w:val="center"/>
              <w:rPr>
                <w:sz w:val="20"/>
                <w:szCs w:val="20"/>
              </w:rPr>
            </w:pPr>
            <w:r w:rsidRPr="00CD1505">
              <w:rPr>
                <w:rFonts w:cs="Arial"/>
                <w:color w:val="000000"/>
                <w:kern w:val="24"/>
                <w:sz w:val="20"/>
                <w:szCs w:val="20"/>
              </w:rPr>
              <w:t>80.2</w:t>
            </w:r>
          </w:p>
        </w:tc>
        <w:tc>
          <w:tcPr>
            <w:tcW w:w="1395" w:type="dxa"/>
            <w:vAlign w:val="center"/>
          </w:tcPr>
          <w:p w14:paraId="75DFAC2C" w14:textId="77777777" w:rsidR="00E831E3" w:rsidRPr="00CD1505" w:rsidRDefault="00E831E3" w:rsidP="00362A5B">
            <w:pPr>
              <w:jc w:val="center"/>
              <w:rPr>
                <w:sz w:val="20"/>
                <w:szCs w:val="20"/>
              </w:rPr>
            </w:pPr>
            <w:r w:rsidRPr="00CD1505">
              <w:rPr>
                <w:rFonts w:cs="Arial"/>
                <w:color w:val="000000"/>
                <w:kern w:val="24"/>
                <w:sz w:val="20"/>
                <w:szCs w:val="20"/>
              </w:rPr>
              <w:t>12.47</w:t>
            </w:r>
          </w:p>
        </w:tc>
        <w:tc>
          <w:tcPr>
            <w:tcW w:w="1723" w:type="dxa"/>
            <w:vAlign w:val="center"/>
          </w:tcPr>
          <w:p w14:paraId="20DD12C4" w14:textId="77777777" w:rsidR="00E831E3" w:rsidRPr="00CD1505" w:rsidRDefault="00E831E3" w:rsidP="00362A5B">
            <w:pPr>
              <w:jc w:val="center"/>
              <w:rPr>
                <w:sz w:val="20"/>
                <w:szCs w:val="20"/>
              </w:rPr>
            </w:pPr>
            <w:r w:rsidRPr="00CD1505">
              <w:rPr>
                <w:rFonts w:cs="Arial"/>
                <w:color w:val="000000"/>
                <w:kern w:val="24"/>
                <w:sz w:val="20"/>
                <w:szCs w:val="20"/>
              </w:rPr>
              <w:t>25 (12.25)</w:t>
            </w:r>
          </w:p>
        </w:tc>
        <w:tc>
          <w:tcPr>
            <w:tcW w:w="1216" w:type="dxa"/>
            <w:vAlign w:val="center"/>
          </w:tcPr>
          <w:p w14:paraId="5C25A991" w14:textId="77777777" w:rsidR="00E831E3" w:rsidRPr="00CD1505" w:rsidRDefault="00E831E3" w:rsidP="00362A5B">
            <w:pPr>
              <w:jc w:val="center"/>
              <w:rPr>
                <w:sz w:val="20"/>
                <w:szCs w:val="20"/>
              </w:rPr>
            </w:pPr>
            <w:r w:rsidRPr="00CD1505">
              <w:rPr>
                <w:rFonts w:cs="Arial"/>
                <w:color w:val="000000"/>
                <w:kern w:val="24"/>
                <w:sz w:val="20"/>
                <w:szCs w:val="20"/>
              </w:rPr>
              <w:t>204</w:t>
            </w:r>
          </w:p>
        </w:tc>
        <w:tc>
          <w:tcPr>
            <w:tcW w:w="1539" w:type="dxa"/>
            <w:vAlign w:val="center"/>
          </w:tcPr>
          <w:p w14:paraId="2BE6FAA4" w14:textId="77777777" w:rsidR="00E831E3" w:rsidRPr="00CD1505" w:rsidRDefault="00E831E3" w:rsidP="00362A5B">
            <w:pPr>
              <w:jc w:val="center"/>
              <w:rPr>
                <w:sz w:val="20"/>
                <w:szCs w:val="20"/>
              </w:rPr>
            </w:pPr>
            <w:r w:rsidRPr="00CD1505">
              <w:rPr>
                <w:rFonts w:cs="Arial"/>
                <w:color w:val="000000"/>
                <w:kern w:val="24"/>
                <w:sz w:val="20"/>
                <w:szCs w:val="20"/>
              </w:rPr>
              <w:t>90.3</w:t>
            </w:r>
          </w:p>
        </w:tc>
        <w:tc>
          <w:tcPr>
            <w:tcW w:w="1530" w:type="dxa"/>
            <w:vAlign w:val="center"/>
          </w:tcPr>
          <w:p w14:paraId="572A2CAF" w14:textId="77777777" w:rsidR="00E831E3" w:rsidRPr="00CD1505" w:rsidRDefault="00E831E3" w:rsidP="00362A5B">
            <w:pPr>
              <w:jc w:val="center"/>
              <w:rPr>
                <w:sz w:val="20"/>
                <w:szCs w:val="20"/>
              </w:rPr>
            </w:pPr>
            <w:r w:rsidRPr="00CD1505">
              <w:rPr>
                <w:rFonts w:cs="Arial"/>
                <w:color w:val="000000"/>
                <w:kern w:val="24"/>
                <w:sz w:val="20"/>
                <w:szCs w:val="20"/>
              </w:rPr>
              <w:t>27.68</w:t>
            </w:r>
          </w:p>
        </w:tc>
      </w:tr>
    </w:tbl>
    <w:p w14:paraId="2DE3EE39" w14:textId="37E73C81" w:rsidR="007444C5" w:rsidRDefault="00E831E3" w:rsidP="00E831E3">
      <w:pPr>
        <w:rPr>
          <w:sz w:val="20"/>
        </w:rPr>
      </w:pPr>
      <w:r>
        <w:rPr>
          <w:sz w:val="20"/>
        </w:rPr>
        <w:t>One patient taking formoterol alone had a p</w:t>
      </w:r>
      <w:r w:rsidRPr="00CD1505">
        <w:rPr>
          <w:sz w:val="20"/>
        </w:rPr>
        <w:t>neumonia bacterial event and is not reported in this table as they were not assigned a COPD event definition due to the lack of baseline rescue medication use.</w:t>
      </w:r>
      <w:r>
        <w:rPr>
          <w:sz w:val="20"/>
        </w:rPr>
        <w:br/>
      </w:r>
      <w:r w:rsidRPr="00CD1505">
        <w:rPr>
          <w:sz w:val="20"/>
        </w:rPr>
        <w:t>BUD, budesonide; FORM, formoterol; LRTI, lower respiratory tract infection.</w:t>
      </w:r>
    </w:p>
    <w:p w14:paraId="3D0901F9" w14:textId="77777777" w:rsidR="007444C5" w:rsidRDefault="007444C5">
      <w:pPr>
        <w:rPr>
          <w:sz w:val="20"/>
        </w:rPr>
      </w:pPr>
      <w:r>
        <w:rPr>
          <w:sz w:val="20"/>
        </w:rPr>
        <w:br w:type="page"/>
      </w:r>
    </w:p>
    <w:p w14:paraId="352B5F24" w14:textId="77777777" w:rsidR="007444C5" w:rsidRDefault="007444C5" w:rsidP="00E831E3">
      <w:pPr>
        <w:rPr>
          <w:sz w:val="20"/>
        </w:rPr>
        <w:sectPr w:rsidR="007444C5" w:rsidSect="00E831E3">
          <w:pgSz w:w="16838" w:h="11906" w:orient="landscape"/>
          <w:pgMar w:top="1440" w:right="1440" w:bottom="1440" w:left="1440" w:header="709" w:footer="709" w:gutter="0"/>
          <w:cols w:space="708"/>
          <w:docGrid w:linePitch="360"/>
        </w:sectPr>
      </w:pPr>
    </w:p>
    <w:p w14:paraId="45570F00" w14:textId="6A52ABA4" w:rsidR="00E831E3" w:rsidRPr="005C7BEB" w:rsidRDefault="007444C5" w:rsidP="00E831E3">
      <w:pPr>
        <w:rPr>
          <w:b/>
        </w:rPr>
      </w:pPr>
      <w:r w:rsidRPr="005C7BEB">
        <w:rPr>
          <w:b/>
        </w:rPr>
        <w:lastRenderedPageBreak/>
        <w:t>List of Independent Ethics Committees</w:t>
      </w:r>
      <w:r w:rsidR="00A73217">
        <w:rPr>
          <w:b/>
        </w:rPr>
        <w:t xml:space="preserve"> (IEC)</w:t>
      </w:r>
      <w:r w:rsidRPr="005C7BEB">
        <w:rPr>
          <w:b/>
        </w:rPr>
        <w:t>/Institutional Review Boards</w:t>
      </w:r>
      <w:r w:rsidR="00A73217">
        <w:rPr>
          <w:b/>
        </w:rPr>
        <w:t xml:space="preserve"> (IRB)</w:t>
      </w:r>
      <w:r w:rsidRPr="005C7BEB">
        <w:rPr>
          <w:b/>
        </w:rPr>
        <w:t xml:space="preserve"> consulted for the RISE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3316"/>
        <w:gridCol w:w="4207"/>
      </w:tblGrid>
      <w:tr w:rsidR="00302DAD" w14:paraId="2BA05A77" w14:textId="77777777" w:rsidTr="005C7BEB">
        <w:tc>
          <w:tcPr>
            <w:tcW w:w="1526" w:type="dxa"/>
            <w:tcBorders>
              <w:top w:val="single" w:sz="4" w:space="0" w:color="auto"/>
              <w:bottom w:val="single" w:sz="4" w:space="0" w:color="auto"/>
            </w:tcBorders>
          </w:tcPr>
          <w:p w14:paraId="5FF93AE7" w14:textId="4D52A25D" w:rsidR="00302DAD" w:rsidRPr="005C7BEB" w:rsidRDefault="00302DAD" w:rsidP="00E831E3">
            <w:pPr>
              <w:rPr>
                <w:b/>
                <w:sz w:val="20"/>
              </w:rPr>
            </w:pPr>
            <w:r w:rsidRPr="005C7BEB">
              <w:rPr>
                <w:b/>
                <w:sz w:val="20"/>
              </w:rPr>
              <w:t>Country</w:t>
            </w:r>
          </w:p>
        </w:tc>
        <w:tc>
          <w:tcPr>
            <w:tcW w:w="3402" w:type="dxa"/>
            <w:tcBorders>
              <w:top w:val="single" w:sz="4" w:space="0" w:color="auto"/>
              <w:bottom w:val="single" w:sz="4" w:space="0" w:color="auto"/>
            </w:tcBorders>
          </w:tcPr>
          <w:p w14:paraId="571B3623" w14:textId="6E789340" w:rsidR="00302DAD" w:rsidRPr="005C7BEB" w:rsidRDefault="00302DAD" w:rsidP="007444C5">
            <w:pPr>
              <w:rPr>
                <w:b/>
                <w:sz w:val="20"/>
              </w:rPr>
            </w:pPr>
            <w:r w:rsidRPr="005C7BEB">
              <w:rPr>
                <w:b/>
                <w:sz w:val="20"/>
              </w:rPr>
              <w:t>Name and address of Country IEC/IRB</w:t>
            </w:r>
          </w:p>
        </w:tc>
        <w:tc>
          <w:tcPr>
            <w:tcW w:w="4314" w:type="dxa"/>
            <w:tcBorders>
              <w:top w:val="single" w:sz="4" w:space="0" w:color="auto"/>
              <w:bottom w:val="single" w:sz="4" w:space="0" w:color="auto"/>
            </w:tcBorders>
          </w:tcPr>
          <w:p w14:paraId="7755A4CE" w14:textId="1201B973" w:rsidR="00302DAD" w:rsidRPr="005C7BEB" w:rsidRDefault="00302DAD" w:rsidP="007444C5">
            <w:pPr>
              <w:rPr>
                <w:b/>
                <w:sz w:val="20"/>
              </w:rPr>
            </w:pPr>
            <w:r w:rsidRPr="005C7BEB">
              <w:rPr>
                <w:b/>
                <w:sz w:val="20"/>
              </w:rPr>
              <w:t>Name and address of Site IEC/IRB</w:t>
            </w:r>
          </w:p>
        </w:tc>
      </w:tr>
      <w:tr w:rsidR="00302DAD" w14:paraId="07ECF22F" w14:textId="77777777" w:rsidTr="005C7BEB">
        <w:tc>
          <w:tcPr>
            <w:tcW w:w="1526" w:type="dxa"/>
            <w:tcBorders>
              <w:top w:val="single" w:sz="4" w:space="0" w:color="auto"/>
            </w:tcBorders>
          </w:tcPr>
          <w:p w14:paraId="41BB42CC" w14:textId="2318185B" w:rsidR="00302DAD" w:rsidRDefault="00302DAD" w:rsidP="00E831E3">
            <w:pPr>
              <w:rPr>
                <w:sz w:val="20"/>
              </w:rPr>
            </w:pPr>
            <w:r>
              <w:rPr>
                <w:sz w:val="20"/>
              </w:rPr>
              <w:t>Argentina</w:t>
            </w:r>
          </w:p>
        </w:tc>
        <w:tc>
          <w:tcPr>
            <w:tcW w:w="3402" w:type="dxa"/>
            <w:tcBorders>
              <w:top w:val="single" w:sz="4" w:space="0" w:color="auto"/>
            </w:tcBorders>
          </w:tcPr>
          <w:p w14:paraId="67210481" w14:textId="62FCF6DA" w:rsidR="00302DAD" w:rsidRPr="007444C5" w:rsidRDefault="00302DAD" w:rsidP="007444C5">
            <w:pPr>
              <w:rPr>
                <w:sz w:val="20"/>
              </w:rPr>
            </w:pPr>
            <w:r>
              <w:rPr>
                <w:sz w:val="20"/>
              </w:rPr>
              <w:t>–</w:t>
            </w:r>
          </w:p>
        </w:tc>
        <w:tc>
          <w:tcPr>
            <w:tcW w:w="4314" w:type="dxa"/>
            <w:tcBorders>
              <w:top w:val="single" w:sz="4" w:space="0" w:color="auto"/>
            </w:tcBorders>
          </w:tcPr>
          <w:p w14:paraId="46ECF9F8" w14:textId="6ACF9C4B" w:rsidR="00302DAD" w:rsidRDefault="00302DAD" w:rsidP="007444C5">
            <w:pPr>
              <w:rPr>
                <w:sz w:val="20"/>
              </w:rPr>
            </w:pPr>
            <w:proofErr w:type="spellStart"/>
            <w:r w:rsidRPr="007444C5">
              <w:rPr>
                <w:sz w:val="20"/>
              </w:rPr>
              <w:t>C</w:t>
            </w:r>
            <w:r w:rsidR="00B466AB">
              <w:rPr>
                <w:sz w:val="20"/>
              </w:rPr>
              <w:t>omité</w:t>
            </w:r>
            <w:proofErr w:type="spellEnd"/>
            <w:r w:rsidR="00B466AB">
              <w:rPr>
                <w:sz w:val="20"/>
              </w:rPr>
              <w:t xml:space="preserve"> de </w:t>
            </w:r>
            <w:proofErr w:type="spellStart"/>
            <w:r w:rsidR="00B466AB">
              <w:rPr>
                <w:sz w:val="20"/>
              </w:rPr>
              <w:t>Ética</w:t>
            </w:r>
            <w:proofErr w:type="spellEnd"/>
            <w:r w:rsidR="00B466AB">
              <w:rPr>
                <w:sz w:val="20"/>
              </w:rPr>
              <w:t xml:space="preserve"> </w:t>
            </w:r>
            <w:proofErr w:type="spellStart"/>
            <w:r w:rsidR="00B466AB">
              <w:rPr>
                <w:sz w:val="20"/>
              </w:rPr>
              <w:t>en</w:t>
            </w:r>
            <w:proofErr w:type="spellEnd"/>
            <w:r w:rsidR="00B466AB">
              <w:rPr>
                <w:sz w:val="20"/>
              </w:rPr>
              <w:t xml:space="preserve"> </w:t>
            </w:r>
            <w:proofErr w:type="spellStart"/>
            <w:r w:rsidR="00B466AB">
              <w:rPr>
                <w:sz w:val="20"/>
              </w:rPr>
              <w:t>Investigación</w:t>
            </w:r>
            <w:proofErr w:type="spellEnd"/>
            <w:r w:rsidR="00B466AB">
              <w:rPr>
                <w:sz w:val="20"/>
              </w:rPr>
              <w:t xml:space="preserve"> de </w:t>
            </w:r>
            <w:proofErr w:type="spellStart"/>
            <w:r w:rsidR="00B466AB">
              <w:rPr>
                <w:sz w:val="20"/>
              </w:rPr>
              <w:t>InAER</w:t>
            </w:r>
            <w:proofErr w:type="spellEnd"/>
            <w:r w:rsidR="00B466AB">
              <w:rPr>
                <w:sz w:val="20"/>
              </w:rPr>
              <w:t xml:space="preserve">, </w:t>
            </w:r>
            <w:proofErr w:type="spellStart"/>
            <w:r w:rsidR="00B466AB">
              <w:rPr>
                <w:sz w:val="20"/>
              </w:rPr>
              <w:t>Arenales</w:t>
            </w:r>
            <w:proofErr w:type="spellEnd"/>
            <w:r w:rsidR="00B466AB">
              <w:rPr>
                <w:sz w:val="20"/>
              </w:rPr>
              <w:t xml:space="preserve"> 3146 1 B, </w:t>
            </w:r>
            <w:r w:rsidRPr="007444C5">
              <w:rPr>
                <w:sz w:val="20"/>
              </w:rPr>
              <w:t>1425, Buenos Aires, Argentina</w:t>
            </w:r>
          </w:p>
          <w:p w14:paraId="0C3E87EC" w14:textId="77777777" w:rsidR="00302DAD" w:rsidRDefault="00302DAD" w:rsidP="007444C5">
            <w:pPr>
              <w:rPr>
                <w:sz w:val="20"/>
              </w:rPr>
            </w:pPr>
          </w:p>
          <w:p w14:paraId="54450232" w14:textId="11532788" w:rsidR="00302DAD" w:rsidRDefault="00302DAD" w:rsidP="007444C5">
            <w:pPr>
              <w:rPr>
                <w:sz w:val="20"/>
              </w:rPr>
            </w:pPr>
            <w:proofErr w:type="spellStart"/>
            <w:r w:rsidRPr="007444C5">
              <w:rPr>
                <w:sz w:val="20"/>
              </w:rPr>
              <w:t>Comité</w:t>
            </w:r>
            <w:proofErr w:type="spellEnd"/>
            <w:r w:rsidRPr="007444C5">
              <w:rPr>
                <w:sz w:val="20"/>
              </w:rPr>
              <w:t xml:space="preserve"> </w:t>
            </w:r>
            <w:proofErr w:type="spellStart"/>
            <w:r w:rsidRPr="007444C5">
              <w:rPr>
                <w:sz w:val="20"/>
              </w:rPr>
              <w:t>Institucional</w:t>
            </w:r>
            <w:proofErr w:type="spellEnd"/>
            <w:r w:rsidRPr="007444C5">
              <w:rPr>
                <w:sz w:val="20"/>
              </w:rPr>
              <w:t xml:space="preserve"> de </w:t>
            </w:r>
            <w:proofErr w:type="spellStart"/>
            <w:r w:rsidRPr="007444C5">
              <w:rPr>
                <w:sz w:val="20"/>
              </w:rPr>
              <w:t>Ética</w:t>
            </w:r>
            <w:proofErr w:type="spellEnd"/>
            <w:r w:rsidRPr="007444C5">
              <w:rPr>
                <w:sz w:val="20"/>
              </w:rPr>
              <w:t xml:space="preserve"> </w:t>
            </w:r>
            <w:proofErr w:type="spellStart"/>
            <w:r w:rsidRPr="007444C5">
              <w:rPr>
                <w:sz w:val="20"/>
              </w:rPr>
              <w:t>en</w:t>
            </w:r>
            <w:proofErr w:type="spellEnd"/>
            <w:r w:rsidR="00B466AB">
              <w:rPr>
                <w:sz w:val="20"/>
              </w:rPr>
              <w:t xml:space="preserve"> </w:t>
            </w:r>
            <w:proofErr w:type="spellStart"/>
            <w:r w:rsidRPr="007444C5">
              <w:rPr>
                <w:sz w:val="20"/>
              </w:rPr>
              <w:t>I</w:t>
            </w:r>
            <w:r w:rsidR="00B466AB">
              <w:rPr>
                <w:sz w:val="20"/>
              </w:rPr>
              <w:t>nvestigación</w:t>
            </w:r>
            <w:proofErr w:type="spellEnd"/>
            <w:r w:rsidR="00B466AB">
              <w:rPr>
                <w:sz w:val="20"/>
              </w:rPr>
              <w:t xml:space="preserve"> VITAE, Av. San </w:t>
            </w:r>
            <w:r w:rsidRPr="007444C5">
              <w:rPr>
                <w:sz w:val="20"/>
              </w:rPr>
              <w:t>Martín 966, 9 de Julio, Argentina</w:t>
            </w:r>
          </w:p>
          <w:p w14:paraId="7672161F" w14:textId="77777777" w:rsidR="00302DAD" w:rsidRDefault="00302DAD" w:rsidP="007444C5">
            <w:pPr>
              <w:rPr>
                <w:sz w:val="20"/>
              </w:rPr>
            </w:pPr>
          </w:p>
          <w:p w14:paraId="4A9FF72E" w14:textId="791C91CB" w:rsidR="00302DAD" w:rsidRDefault="00B466AB" w:rsidP="007444C5">
            <w:pPr>
              <w:rPr>
                <w:sz w:val="20"/>
              </w:rPr>
            </w:pPr>
            <w:proofErr w:type="spellStart"/>
            <w:r>
              <w:rPr>
                <w:sz w:val="20"/>
              </w:rPr>
              <w:t>Comité</w:t>
            </w:r>
            <w:proofErr w:type="spellEnd"/>
            <w:r>
              <w:rPr>
                <w:sz w:val="20"/>
              </w:rPr>
              <w:t xml:space="preserve"> de </w:t>
            </w:r>
            <w:proofErr w:type="spellStart"/>
            <w:r>
              <w:rPr>
                <w:sz w:val="20"/>
              </w:rPr>
              <w:t>Ética</w:t>
            </w:r>
            <w:proofErr w:type="spellEnd"/>
            <w:r>
              <w:rPr>
                <w:sz w:val="20"/>
              </w:rPr>
              <w:t xml:space="preserve"> de CER </w:t>
            </w:r>
            <w:proofErr w:type="spellStart"/>
            <w:r w:rsidR="00302DAD" w:rsidRPr="007444C5">
              <w:rPr>
                <w:sz w:val="20"/>
              </w:rPr>
              <w:t>In</w:t>
            </w:r>
            <w:r>
              <w:rPr>
                <w:sz w:val="20"/>
              </w:rPr>
              <w:t>vestigaciones</w:t>
            </w:r>
            <w:proofErr w:type="spellEnd"/>
            <w:r>
              <w:rPr>
                <w:sz w:val="20"/>
              </w:rPr>
              <w:t xml:space="preserve"> </w:t>
            </w:r>
            <w:proofErr w:type="spellStart"/>
            <w:r>
              <w:rPr>
                <w:sz w:val="20"/>
              </w:rPr>
              <w:t>Clínicas</w:t>
            </w:r>
            <w:proofErr w:type="spellEnd"/>
            <w:r>
              <w:rPr>
                <w:sz w:val="20"/>
              </w:rPr>
              <w:t xml:space="preserve">, Vicente </w:t>
            </w:r>
            <w:r w:rsidR="00302DAD" w:rsidRPr="007444C5">
              <w:rPr>
                <w:sz w:val="20"/>
              </w:rPr>
              <w:t>López 1441, B1878DVB,</w:t>
            </w:r>
            <w:r>
              <w:rPr>
                <w:sz w:val="20"/>
              </w:rPr>
              <w:t xml:space="preserve"> </w:t>
            </w:r>
            <w:r w:rsidR="00302DAD" w:rsidRPr="007444C5">
              <w:rPr>
                <w:sz w:val="20"/>
              </w:rPr>
              <w:t>Quilmes,</w:t>
            </w:r>
            <w:r>
              <w:rPr>
                <w:sz w:val="20"/>
              </w:rPr>
              <w:t xml:space="preserve"> </w:t>
            </w:r>
            <w:r w:rsidR="00302DAD" w:rsidRPr="007444C5">
              <w:rPr>
                <w:sz w:val="20"/>
              </w:rPr>
              <w:t>Argentina</w:t>
            </w:r>
          </w:p>
          <w:p w14:paraId="75DA7B0C" w14:textId="77777777" w:rsidR="00302DAD" w:rsidRDefault="00302DAD" w:rsidP="007444C5">
            <w:pPr>
              <w:rPr>
                <w:sz w:val="20"/>
              </w:rPr>
            </w:pPr>
          </w:p>
          <w:p w14:paraId="287D5024" w14:textId="18A2DBA0" w:rsidR="00302DAD" w:rsidRDefault="00302DAD" w:rsidP="007444C5">
            <w:pPr>
              <w:rPr>
                <w:sz w:val="20"/>
              </w:rPr>
            </w:pPr>
            <w:proofErr w:type="spellStart"/>
            <w:r w:rsidRPr="007444C5">
              <w:rPr>
                <w:sz w:val="20"/>
              </w:rPr>
              <w:t>Comite</w:t>
            </w:r>
            <w:proofErr w:type="spellEnd"/>
            <w:r w:rsidRPr="007444C5">
              <w:rPr>
                <w:sz w:val="20"/>
              </w:rPr>
              <w:t xml:space="preserve"> </w:t>
            </w:r>
            <w:proofErr w:type="spellStart"/>
            <w:r w:rsidRPr="007444C5">
              <w:rPr>
                <w:sz w:val="20"/>
              </w:rPr>
              <w:t>independiente</w:t>
            </w:r>
            <w:proofErr w:type="spellEnd"/>
            <w:r w:rsidRPr="007444C5">
              <w:rPr>
                <w:sz w:val="20"/>
              </w:rPr>
              <w:t xml:space="preserve"> de </w:t>
            </w:r>
            <w:proofErr w:type="spellStart"/>
            <w:r w:rsidRPr="007444C5">
              <w:rPr>
                <w:sz w:val="20"/>
              </w:rPr>
              <w:t>etica</w:t>
            </w:r>
            <w:proofErr w:type="spellEnd"/>
            <w:r w:rsidR="00B466AB">
              <w:rPr>
                <w:sz w:val="20"/>
              </w:rPr>
              <w:t xml:space="preserve"> </w:t>
            </w:r>
            <w:r w:rsidRPr="007444C5">
              <w:rPr>
                <w:sz w:val="20"/>
              </w:rPr>
              <w:t xml:space="preserve">para </w:t>
            </w:r>
            <w:proofErr w:type="spellStart"/>
            <w:r w:rsidRPr="007444C5">
              <w:rPr>
                <w:sz w:val="20"/>
              </w:rPr>
              <w:t>ensayos</w:t>
            </w:r>
            <w:proofErr w:type="spellEnd"/>
            <w:r w:rsidRPr="007444C5">
              <w:rPr>
                <w:sz w:val="20"/>
              </w:rPr>
              <w:t xml:space="preserve"> </w:t>
            </w:r>
            <w:proofErr w:type="spellStart"/>
            <w:r w:rsidRPr="007444C5">
              <w:rPr>
                <w:sz w:val="20"/>
              </w:rPr>
              <w:t>en</w:t>
            </w:r>
            <w:proofErr w:type="spellEnd"/>
            <w:r w:rsidRPr="007444C5">
              <w:rPr>
                <w:sz w:val="20"/>
              </w:rPr>
              <w:t xml:space="preserve"> </w:t>
            </w:r>
            <w:proofErr w:type="spellStart"/>
            <w:r w:rsidRPr="007444C5">
              <w:rPr>
                <w:sz w:val="20"/>
              </w:rPr>
              <w:t>farmacologia</w:t>
            </w:r>
            <w:proofErr w:type="spellEnd"/>
            <w:r w:rsidRPr="007444C5">
              <w:rPr>
                <w:sz w:val="20"/>
              </w:rPr>
              <w:t xml:space="preserve"> ,</w:t>
            </w:r>
            <w:r w:rsidR="00B466AB">
              <w:rPr>
                <w:sz w:val="20"/>
              </w:rPr>
              <w:t xml:space="preserve"> </w:t>
            </w:r>
            <w:r w:rsidRPr="007444C5">
              <w:rPr>
                <w:sz w:val="20"/>
              </w:rPr>
              <w:t>Av Cabildo 1536 1 B, , CABA,</w:t>
            </w:r>
            <w:r w:rsidR="00B466AB">
              <w:rPr>
                <w:sz w:val="20"/>
              </w:rPr>
              <w:t xml:space="preserve"> </w:t>
            </w:r>
            <w:r w:rsidRPr="007444C5">
              <w:rPr>
                <w:sz w:val="20"/>
              </w:rPr>
              <w:t>Argentina</w:t>
            </w:r>
          </w:p>
          <w:p w14:paraId="6A782BA0" w14:textId="77777777" w:rsidR="00302DAD" w:rsidRDefault="00302DAD" w:rsidP="007444C5">
            <w:pPr>
              <w:rPr>
                <w:sz w:val="20"/>
              </w:rPr>
            </w:pPr>
          </w:p>
          <w:p w14:paraId="47FE7575" w14:textId="09D2EB4E" w:rsidR="00302DAD" w:rsidRDefault="00302DAD" w:rsidP="00B466AB">
            <w:pPr>
              <w:rPr>
                <w:sz w:val="20"/>
              </w:rPr>
            </w:pPr>
            <w:r w:rsidRPr="007444C5">
              <w:rPr>
                <w:sz w:val="20"/>
              </w:rPr>
              <w:t>E</w:t>
            </w:r>
            <w:r w:rsidR="00B466AB">
              <w:rPr>
                <w:sz w:val="20"/>
              </w:rPr>
              <w:t xml:space="preserve">C </w:t>
            </w:r>
            <w:proofErr w:type="spellStart"/>
            <w:r w:rsidR="00B466AB">
              <w:rPr>
                <w:sz w:val="20"/>
              </w:rPr>
              <w:t>Comite</w:t>
            </w:r>
            <w:proofErr w:type="spellEnd"/>
            <w:r w:rsidR="00B466AB">
              <w:rPr>
                <w:sz w:val="20"/>
              </w:rPr>
              <w:t xml:space="preserve"> </w:t>
            </w:r>
            <w:proofErr w:type="spellStart"/>
            <w:r w:rsidR="00B466AB">
              <w:rPr>
                <w:sz w:val="20"/>
              </w:rPr>
              <w:t>independiente</w:t>
            </w:r>
            <w:proofErr w:type="spellEnd"/>
            <w:r w:rsidR="00B466AB">
              <w:rPr>
                <w:sz w:val="20"/>
              </w:rPr>
              <w:t xml:space="preserve"> de </w:t>
            </w:r>
            <w:proofErr w:type="spellStart"/>
            <w:r w:rsidR="00B466AB">
              <w:rPr>
                <w:sz w:val="20"/>
              </w:rPr>
              <w:t>etica</w:t>
            </w:r>
            <w:proofErr w:type="spellEnd"/>
            <w:r w:rsidR="00B466AB">
              <w:rPr>
                <w:sz w:val="20"/>
              </w:rPr>
              <w:t xml:space="preserve"> </w:t>
            </w:r>
            <w:proofErr w:type="spellStart"/>
            <w:r w:rsidRPr="007444C5">
              <w:rPr>
                <w:sz w:val="20"/>
              </w:rPr>
              <w:t>Fundacion</w:t>
            </w:r>
            <w:proofErr w:type="spellEnd"/>
            <w:r w:rsidRPr="007444C5">
              <w:rPr>
                <w:sz w:val="20"/>
              </w:rPr>
              <w:t xml:space="preserve"> </w:t>
            </w:r>
            <w:proofErr w:type="spellStart"/>
            <w:r w:rsidRPr="007444C5">
              <w:rPr>
                <w:sz w:val="20"/>
              </w:rPr>
              <w:t>Rusculleda</w:t>
            </w:r>
            <w:proofErr w:type="spellEnd"/>
            <w:r w:rsidRPr="007444C5">
              <w:rPr>
                <w:sz w:val="20"/>
              </w:rPr>
              <w:t>, Av Colon</w:t>
            </w:r>
            <w:r w:rsidR="00B466AB">
              <w:rPr>
                <w:sz w:val="20"/>
              </w:rPr>
              <w:t xml:space="preserve"> </w:t>
            </w:r>
            <w:r w:rsidRPr="007444C5">
              <w:rPr>
                <w:sz w:val="20"/>
              </w:rPr>
              <w:t>2057, X5003DCE, Cordoba,</w:t>
            </w:r>
            <w:r w:rsidR="00B466AB">
              <w:rPr>
                <w:sz w:val="20"/>
              </w:rPr>
              <w:t xml:space="preserve"> </w:t>
            </w:r>
            <w:r w:rsidRPr="007444C5">
              <w:rPr>
                <w:sz w:val="20"/>
              </w:rPr>
              <w:t>Argentina</w:t>
            </w:r>
          </w:p>
        </w:tc>
      </w:tr>
      <w:tr w:rsidR="00302DAD" w14:paraId="1DF87478" w14:textId="77777777" w:rsidTr="005C7BEB">
        <w:tc>
          <w:tcPr>
            <w:tcW w:w="1526" w:type="dxa"/>
          </w:tcPr>
          <w:p w14:paraId="28139F09" w14:textId="3B1B5657" w:rsidR="00302DAD" w:rsidRDefault="00302DAD" w:rsidP="00E831E3">
            <w:pPr>
              <w:rPr>
                <w:sz w:val="20"/>
              </w:rPr>
            </w:pPr>
            <w:r>
              <w:rPr>
                <w:sz w:val="20"/>
              </w:rPr>
              <w:t>Bulgaria</w:t>
            </w:r>
          </w:p>
        </w:tc>
        <w:tc>
          <w:tcPr>
            <w:tcW w:w="3402" w:type="dxa"/>
          </w:tcPr>
          <w:p w14:paraId="13EB29C7" w14:textId="1F755E83" w:rsidR="00302DAD" w:rsidRPr="007444C5" w:rsidRDefault="00302DAD" w:rsidP="00B466AB">
            <w:pPr>
              <w:rPr>
                <w:sz w:val="20"/>
              </w:rPr>
            </w:pPr>
            <w:r w:rsidRPr="007444C5">
              <w:rPr>
                <w:sz w:val="20"/>
              </w:rPr>
              <w:t>Ethics Committee for Multi-centres</w:t>
            </w:r>
            <w:r w:rsidR="00B466AB">
              <w:rPr>
                <w:sz w:val="20"/>
              </w:rPr>
              <w:t xml:space="preserve"> </w:t>
            </w:r>
            <w:r w:rsidRPr="007444C5">
              <w:rPr>
                <w:sz w:val="20"/>
              </w:rPr>
              <w:t xml:space="preserve">Trials, 5 Sveta </w:t>
            </w:r>
            <w:proofErr w:type="spellStart"/>
            <w:r w:rsidRPr="007444C5">
              <w:rPr>
                <w:sz w:val="20"/>
              </w:rPr>
              <w:t>Nedelya</w:t>
            </w:r>
            <w:proofErr w:type="spellEnd"/>
            <w:r w:rsidRPr="007444C5">
              <w:rPr>
                <w:sz w:val="20"/>
              </w:rPr>
              <w:t xml:space="preserve"> square,</w:t>
            </w:r>
            <w:r w:rsidR="00B466AB">
              <w:rPr>
                <w:sz w:val="20"/>
              </w:rPr>
              <w:t xml:space="preserve"> </w:t>
            </w:r>
            <w:r w:rsidRPr="007444C5">
              <w:rPr>
                <w:sz w:val="20"/>
              </w:rPr>
              <w:t>1000, Sofia, Bulgaria</w:t>
            </w:r>
          </w:p>
        </w:tc>
        <w:tc>
          <w:tcPr>
            <w:tcW w:w="4314" w:type="dxa"/>
          </w:tcPr>
          <w:p w14:paraId="13C8EB52" w14:textId="09B85172" w:rsidR="00302DAD" w:rsidRDefault="00302DAD" w:rsidP="007444C5">
            <w:pPr>
              <w:rPr>
                <w:sz w:val="20"/>
              </w:rPr>
            </w:pPr>
            <w:r>
              <w:rPr>
                <w:sz w:val="20"/>
              </w:rPr>
              <w:t>–</w:t>
            </w:r>
          </w:p>
        </w:tc>
      </w:tr>
      <w:tr w:rsidR="00302DAD" w14:paraId="59715A6C" w14:textId="77777777" w:rsidTr="005C7BEB">
        <w:tc>
          <w:tcPr>
            <w:tcW w:w="1526" w:type="dxa"/>
          </w:tcPr>
          <w:p w14:paraId="5F98E49A" w14:textId="2C280753" w:rsidR="00302DAD" w:rsidRDefault="00302DAD" w:rsidP="00E831E3">
            <w:pPr>
              <w:rPr>
                <w:sz w:val="20"/>
              </w:rPr>
            </w:pPr>
            <w:r>
              <w:rPr>
                <w:sz w:val="20"/>
              </w:rPr>
              <w:t>Chile</w:t>
            </w:r>
          </w:p>
        </w:tc>
        <w:tc>
          <w:tcPr>
            <w:tcW w:w="3402" w:type="dxa"/>
          </w:tcPr>
          <w:p w14:paraId="232003C6" w14:textId="7F193A02" w:rsidR="00302DAD" w:rsidRPr="007444C5" w:rsidRDefault="00302DAD" w:rsidP="007444C5">
            <w:pPr>
              <w:rPr>
                <w:sz w:val="20"/>
              </w:rPr>
            </w:pPr>
            <w:r>
              <w:rPr>
                <w:sz w:val="20"/>
              </w:rPr>
              <w:t>–</w:t>
            </w:r>
          </w:p>
        </w:tc>
        <w:tc>
          <w:tcPr>
            <w:tcW w:w="4314" w:type="dxa"/>
          </w:tcPr>
          <w:p w14:paraId="0786CCF4" w14:textId="52F64CB4" w:rsidR="00302DAD" w:rsidRDefault="00302DAD" w:rsidP="00B466AB">
            <w:pPr>
              <w:rPr>
                <w:sz w:val="20"/>
              </w:rPr>
            </w:pPr>
            <w:proofErr w:type="spellStart"/>
            <w:r w:rsidRPr="007444C5">
              <w:rPr>
                <w:sz w:val="20"/>
              </w:rPr>
              <w:t>Comite</w:t>
            </w:r>
            <w:proofErr w:type="spellEnd"/>
            <w:r w:rsidRPr="007444C5">
              <w:rPr>
                <w:sz w:val="20"/>
              </w:rPr>
              <w:t xml:space="preserve"> </w:t>
            </w:r>
            <w:proofErr w:type="spellStart"/>
            <w:r w:rsidRPr="007444C5">
              <w:rPr>
                <w:sz w:val="20"/>
              </w:rPr>
              <w:t>Etico</w:t>
            </w:r>
            <w:proofErr w:type="spellEnd"/>
            <w:r w:rsidRPr="007444C5">
              <w:rPr>
                <w:sz w:val="20"/>
              </w:rPr>
              <w:t xml:space="preserve"> </w:t>
            </w:r>
            <w:proofErr w:type="spellStart"/>
            <w:r w:rsidRPr="007444C5">
              <w:rPr>
                <w:sz w:val="20"/>
              </w:rPr>
              <w:t>Cientifico</w:t>
            </w:r>
            <w:proofErr w:type="spellEnd"/>
            <w:r w:rsidRPr="007444C5">
              <w:rPr>
                <w:sz w:val="20"/>
              </w:rPr>
              <w:t xml:space="preserve"> </w:t>
            </w:r>
            <w:proofErr w:type="spellStart"/>
            <w:r w:rsidRPr="007444C5">
              <w:rPr>
                <w:sz w:val="20"/>
              </w:rPr>
              <w:t>Servicio</w:t>
            </w:r>
            <w:proofErr w:type="spellEnd"/>
            <w:r w:rsidR="00B466AB">
              <w:rPr>
                <w:sz w:val="20"/>
              </w:rPr>
              <w:t xml:space="preserve"> </w:t>
            </w:r>
            <w:proofErr w:type="spellStart"/>
            <w:r w:rsidRPr="007444C5">
              <w:rPr>
                <w:sz w:val="20"/>
              </w:rPr>
              <w:t>Salud</w:t>
            </w:r>
            <w:proofErr w:type="spellEnd"/>
            <w:r w:rsidRPr="007444C5">
              <w:rPr>
                <w:sz w:val="20"/>
              </w:rPr>
              <w:t xml:space="preserve"> </w:t>
            </w:r>
            <w:proofErr w:type="spellStart"/>
            <w:r w:rsidR="00B466AB">
              <w:rPr>
                <w:sz w:val="20"/>
              </w:rPr>
              <w:t>M</w:t>
            </w:r>
            <w:r w:rsidRPr="007444C5">
              <w:rPr>
                <w:sz w:val="20"/>
              </w:rPr>
              <w:t>etropolitano</w:t>
            </w:r>
            <w:proofErr w:type="spellEnd"/>
            <w:r w:rsidRPr="007444C5">
              <w:rPr>
                <w:sz w:val="20"/>
              </w:rPr>
              <w:t xml:space="preserve"> Sur, Santa</w:t>
            </w:r>
            <w:r w:rsidR="00B466AB">
              <w:rPr>
                <w:sz w:val="20"/>
              </w:rPr>
              <w:t xml:space="preserve"> </w:t>
            </w:r>
            <w:r w:rsidRPr="007444C5">
              <w:rPr>
                <w:sz w:val="20"/>
              </w:rPr>
              <w:t xml:space="preserve">Rosa 3453, </w:t>
            </w:r>
            <w:proofErr w:type="spellStart"/>
            <w:r w:rsidRPr="007444C5">
              <w:rPr>
                <w:sz w:val="20"/>
              </w:rPr>
              <w:t>Piso</w:t>
            </w:r>
            <w:proofErr w:type="spellEnd"/>
            <w:r w:rsidRPr="007444C5">
              <w:rPr>
                <w:sz w:val="20"/>
              </w:rPr>
              <w:t xml:space="preserve"> 1, San Miguel,</w:t>
            </w:r>
            <w:r w:rsidR="00B466AB">
              <w:rPr>
                <w:sz w:val="20"/>
              </w:rPr>
              <w:t xml:space="preserve"> </w:t>
            </w:r>
            <w:r w:rsidRPr="007444C5">
              <w:rPr>
                <w:sz w:val="20"/>
              </w:rPr>
              <w:t>8900390, Santiago, Chile</w:t>
            </w:r>
          </w:p>
        </w:tc>
      </w:tr>
      <w:tr w:rsidR="00302DAD" w14:paraId="4E8DBCDA" w14:textId="77777777" w:rsidTr="005C7BEB">
        <w:tc>
          <w:tcPr>
            <w:tcW w:w="1526" w:type="dxa"/>
          </w:tcPr>
          <w:p w14:paraId="6CA6BA66" w14:textId="38384F45" w:rsidR="00302DAD" w:rsidRDefault="00302DAD" w:rsidP="00E831E3">
            <w:pPr>
              <w:rPr>
                <w:sz w:val="20"/>
              </w:rPr>
            </w:pPr>
            <w:r>
              <w:rPr>
                <w:sz w:val="20"/>
              </w:rPr>
              <w:t>Czech Republic</w:t>
            </w:r>
          </w:p>
        </w:tc>
        <w:tc>
          <w:tcPr>
            <w:tcW w:w="3402" w:type="dxa"/>
          </w:tcPr>
          <w:p w14:paraId="37DA3B1C" w14:textId="7C81374E" w:rsidR="00302DAD" w:rsidRPr="007444C5" w:rsidRDefault="00302DAD" w:rsidP="00B466AB">
            <w:pPr>
              <w:rPr>
                <w:sz w:val="20"/>
              </w:rPr>
            </w:pPr>
            <w:proofErr w:type="spellStart"/>
            <w:r w:rsidRPr="007444C5">
              <w:rPr>
                <w:sz w:val="20"/>
              </w:rPr>
              <w:t>Eticka</w:t>
            </w:r>
            <w:proofErr w:type="spellEnd"/>
            <w:r w:rsidRPr="007444C5">
              <w:rPr>
                <w:sz w:val="20"/>
              </w:rPr>
              <w:t xml:space="preserve"> </w:t>
            </w:r>
            <w:proofErr w:type="spellStart"/>
            <w:r w:rsidRPr="007444C5">
              <w:rPr>
                <w:sz w:val="20"/>
              </w:rPr>
              <w:t>komise</w:t>
            </w:r>
            <w:proofErr w:type="spellEnd"/>
            <w:r w:rsidRPr="007444C5">
              <w:rPr>
                <w:sz w:val="20"/>
              </w:rPr>
              <w:t xml:space="preserve"> </w:t>
            </w:r>
            <w:proofErr w:type="spellStart"/>
            <w:r w:rsidRPr="007444C5">
              <w:rPr>
                <w:sz w:val="20"/>
              </w:rPr>
              <w:t>pri</w:t>
            </w:r>
            <w:proofErr w:type="spellEnd"/>
            <w:r w:rsidRPr="007444C5">
              <w:rPr>
                <w:sz w:val="20"/>
              </w:rPr>
              <w:t xml:space="preserve"> </w:t>
            </w:r>
            <w:proofErr w:type="spellStart"/>
            <w:r w:rsidRPr="007444C5">
              <w:rPr>
                <w:sz w:val="20"/>
              </w:rPr>
              <w:t>Fakultni</w:t>
            </w:r>
            <w:proofErr w:type="spellEnd"/>
            <w:r w:rsidR="00B466AB">
              <w:rPr>
                <w:sz w:val="20"/>
              </w:rPr>
              <w:t xml:space="preserve"> </w:t>
            </w:r>
            <w:proofErr w:type="spellStart"/>
            <w:r w:rsidRPr="007444C5">
              <w:rPr>
                <w:sz w:val="20"/>
              </w:rPr>
              <w:t>nemocnici</w:t>
            </w:r>
            <w:proofErr w:type="spellEnd"/>
            <w:r w:rsidRPr="007444C5">
              <w:rPr>
                <w:sz w:val="20"/>
              </w:rPr>
              <w:t xml:space="preserve"> Brno </w:t>
            </w:r>
            <w:proofErr w:type="spellStart"/>
            <w:r w:rsidRPr="007444C5">
              <w:rPr>
                <w:sz w:val="20"/>
              </w:rPr>
              <w:t>Bohunice</w:t>
            </w:r>
            <w:proofErr w:type="spellEnd"/>
            <w:r w:rsidRPr="007444C5">
              <w:rPr>
                <w:sz w:val="20"/>
              </w:rPr>
              <w:t>,</w:t>
            </w:r>
            <w:r w:rsidR="00B466AB">
              <w:rPr>
                <w:sz w:val="20"/>
              </w:rPr>
              <w:t xml:space="preserve"> </w:t>
            </w:r>
            <w:r w:rsidRPr="007444C5">
              <w:rPr>
                <w:sz w:val="20"/>
              </w:rPr>
              <w:t>639 00,</w:t>
            </w:r>
            <w:r w:rsidR="00B466AB">
              <w:rPr>
                <w:sz w:val="20"/>
              </w:rPr>
              <w:t xml:space="preserve"> </w:t>
            </w:r>
            <w:r w:rsidRPr="007444C5">
              <w:rPr>
                <w:sz w:val="20"/>
              </w:rPr>
              <w:t>Brno,</w:t>
            </w:r>
            <w:r w:rsidR="00B466AB">
              <w:rPr>
                <w:sz w:val="20"/>
              </w:rPr>
              <w:t xml:space="preserve"> </w:t>
            </w:r>
            <w:r w:rsidRPr="007444C5">
              <w:rPr>
                <w:sz w:val="20"/>
              </w:rPr>
              <w:t>Czech Republic</w:t>
            </w:r>
          </w:p>
        </w:tc>
        <w:tc>
          <w:tcPr>
            <w:tcW w:w="4314" w:type="dxa"/>
          </w:tcPr>
          <w:p w14:paraId="5DBFD2B9" w14:textId="4C8DC75C" w:rsidR="00302DAD" w:rsidRPr="00302DAD" w:rsidRDefault="00302DAD" w:rsidP="00302DAD">
            <w:pPr>
              <w:rPr>
                <w:sz w:val="20"/>
              </w:rPr>
            </w:pPr>
            <w:proofErr w:type="spellStart"/>
            <w:r w:rsidRPr="00302DAD">
              <w:rPr>
                <w:sz w:val="20"/>
              </w:rPr>
              <w:t>Eticka</w:t>
            </w:r>
            <w:proofErr w:type="spellEnd"/>
            <w:r w:rsidRPr="00302DAD">
              <w:rPr>
                <w:sz w:val="20"/>
              </w:rPr>
              <w:t xml:space="preserve"> </w:t>
            </w:r>
            <w:proofErr w:type="spellStart"/>
            <w:r w:rsidRPr="00302DAD">
              <w:rPr>
                <w:sz w:val="20"/>
              </w:rPr>
              <w:t>komise</w:t>
            </w:r>
            <w:proofErr w:type="spellEnd"/>
            <w:r w:rsidRPr="00302DAD">
              <w:rPr>
                <w:sz w:val="20"/>
              </w:rPr>
              <w:t xml:space="preserve"> </w:t>
            </w:r>
            <w:proofErr w:type="spellStart"/>
            <w:r w:rsidRPr="00302DAD">
              <w:rPr>
                <w:sz w:val="20"/>
              </w:rPr>
              <w:t>mestske</w:t>
            </w:r>
            <w:proofErr w:type="spellEnd"/>
            <w:r w:rsidR="00B466AB">
              <w:rPr>
                <w:sz w:val="20"/>
              </w:rPr>
              <w:t xml:space="preserve"> </w:t>
            </w:r>
            <w:proofErr w:type="spellStart"/>
            <w:r w:rsidRPr="00302DAD">
              <w:rPr>
                <w:sz w:val="20"/>
              </w:rPr>
              <w:t>nemocnice</w:t>
            </w:r>
            <w:proofErr w:type="spellEnd"/>
            <w:r w:rsidRPr="00302DAD">
              <w:rPr>
                <w:sz w:val="20"/>
              </w:rPr>
              <w:t xml:space="preserve"> Ostrava, </w:t>
            </w:r>
            <w:proofErr w:type="spellStart"/>
            <w:r w:rsidRPr="00302DAD">
              <w:rPr>
                <w:sz w:val="20"/>
              </w:rPr>
              <w:t>Eticka</w:t>
            </w:r>
            <w:proofErr w:type="spellEnd"/>
          </w:p>
          <w:p w14:paraId="609B45B9" w14:textId="6D97BE3C" w:rsidR="00302DAD" w:rsidRDefault="00302DAD" w:rsidP="00302DAD">
            <w:pPr>
              <w:rPr>
                <w:sz w:val="20"/>
              </w:rPr>
            </w:pPr>
            <w:proofErr w:type="spellStart"/>
            <w:r w:rsidRPr="00302DAD">
              <w:rPr>
                <w:sz w:val="20"/>
              </w:rPr>
              <w:t>komise</w:t>
            </w:r>
            <w:proofErr w:type="spellEnd"/>
            <w:r w:rsidRPr="00302DAD">
              <w:rPr>
                <w:sz w:val="20"/>
              </w:rPr>
              <w:t xml:space="preserve"> </w:t>
            </w:r>
            <w:proofErr w:type="spellStart"/>
            <w:r w:rsidRPr="00302DAD">
              <w:rPr>
                <w:sz w:val="20"/>
              </w:rPr>
              <w:t>mestske</w:t>
            </w:r>
            <w:proofErr w:type="spellEnd"/>
            <w:r w:rsidRPr="00302DAD">
              <w:rPr>
                <w:sz w:val="20"/>
              </w:rPr>
              <w:t xml:space="preserve"> </w:t>
            </w:r>
            <w:proofErr w:type="spellStart"/>
            <w:r w:rsidRPr="00302DAD">
              <w:rPr>
                <w:sz w:val="20"/>
              </w:rPr>
              <w:t>nemocnice</w:t>
            </w:r>
            <w:proofErr w:type="spellEnd"/>
            <w:r w:rsidR="00B466AB">
              <w:rPr>
                <w:sz w:val="20"/>
              </w:rPr>
              <w:t xml:space="preserve"> </w:t>
            </w:r>
            <w:r w:rsidRPr="00302DAD">
              <w:rPr>
                <w:sz w:val="20"/>
              </w:rPr>
              <w:t xml:space="preserve">Ostrava, </w:t>
            </w:r>
            <w:proofErr w:type="spellStart"/>
            <w:r w:rsidRPr="00302DAD">
              <w:rPr>
                <w:sz w:val="20"/>
              </w:rPr>
              <w:t>Nemocnicni</w:t>
            </w:r>
            <w:proofErr w:type="spellEnd"/>
            <w:r w:rsidRPr="00302DAD">
              <w:rPr>
                <w:sz w:val="20"/>
              </w:rPr>
              <w:t xml:space="preserve"> 20, 728 80,</w:t>
            </w:r>
            <w:r w:rsidR="00B466AB">
              <w:rPr>
                <w:sz w:val="20"/>
              </w:rPr>
              <w:t xml:space="preserve"> </w:t>
            </w:r>
            <w:r w:rsidRPr="00302DAD">
              <w:rPr>
                <w:sz w:val="20"/>
              </w:rPr>
              <w:t>Ostrava 1,</w:t>
            </w:r>
            <w:r w:rsidR="00B466AB">
              <w:rPr>
                <w:sz w:val="20"/>
              </w:rPr>
              <w:t xml:space="preserve"> </w:t>
            </w:r>
            <w:r w:rsidRPr="00302DAD">
              <w:rPr>
                <w:sz w:val="20"/>
              </w:rPr>
              <w:t>Czech Republic</w:t>
            </w:r>
          </w:p>
          <w:p w14:paraId="3FCEB0EF" w14:textId="77777777" w:rsidR="00302DAD" w:rsidRDefault="00302DAD" w:rsidP="00302DAD">
            <w:pPr>
              <w:rPr>
                <w:sz w:val="20"/>
              </w:rPr>
            </w:pPr>
          </w:p>
          <w:p w14:paraId="461C0416" w14:textId="64A3264D" w:rsidR="00302DAD" w:rsidRPr="00302DAD" w:rsidRDefault="00302DAD" w:rsidP="00302DAD">
            <w:pPr>
              <w:rPr>
                <w:sz w:val="20"/>
              </w:rPr>
            </w:pPr>
            <w:proofErr w:type="spellStart"/>
            <w:r w:rsidRPr="00302DAD">
              <w:rPr>
                <w:sz w:val="20"/>
              </w:rPr>
              <w:t>Eticka</w:t>
            </w:r>
            <w:proofErr w:type="spellEnd"/>
            <w:r w:rsidRPr="00302DAD">
              <w:rPr>
                <w:sz w:val="20"/>
              </w:rPr>
              <w:t xml:space="preserve"> </w:t>
            </w:r>
            <w:proofErr w:type="spellStart"/>
            <w:r w:rsidRPr="00302DAD">
              <w:rPr>
                <w:sz w:val="20"/>
              </w:rPr>
              <w:t>komise</w:t>
            </w:r>
            <w:proofErr w:type="spellEnd"/>
            <w:r w:rsidRPr="00302DAD">
              <w:rPr>
                <w:sz w:val="20"/>
              </w:rPr>
              <w:t xml:space="preserve"> </w:t>
            </w:r>
            <w:proofErr w:type="spellStart"/>
            <w:r w:rsidRPr="00302DAD">
              <w:rPr>
                <w:sz w:val="20"/>
              </w:rPr>
              <w:t>pri</w:t>
            </w:r>
            <w:proofErr w:type="spellEnd"/>
            <w:r w:rsidRPr="00302DAD">
              <w:rPr>
                <w:sz w:val="20"/>
              </w:rPr>
              <w:t xml:space="preserve"> </w:t>
            </w:r>
            <w:proofErr w:type="spellStart"/>
            <w:r w:rsidRPr="00302DAD">
              <w:rPr>
                <w:sz w:val="20"/>
              </w:rPr>
              <w:t>Fakultni</w:t>
            </w:r>
            <w:proofErr w:type="spellEnd"/>
            <w:r w:rsidR="00B466AB">
              <w:rPr>
                <w:sz w:val="20"/>
              </w:rPr>
              <w:t xml:space="preserve"> </w:t>
            </w:r>
            <w:proofErr w:type="spellStart"/>
            <w:r w:rsidRPr="00302DAD">
              <w:rPr>
                <w:sz w:val="20"/>
              </w:rPr>
              <w:t>nemocnici</w:t>
            </w:r>
            <w:proofErr w:type="spellEnd"/>
            <w:r w:rsidRPr="00302DAD">
              <w:rPr>
                <w:sz w:val="20"/>
              </w:rPr>
              <w:t xml:space="preserve"> Brno </w:t>
            </w:r>
            <w:proofErr w:type="spellStart"/>
            <w:r w:rsidRPr="00302DAD">
              <w:rPr>
                <w:sz w:val="20"/>
              </w:rPr>
              <w:t>Bohunice</w:t>
            </w:r>
            <w:proofErr w:type="spellEnd"/>
            <w:r w:rsidRPr="00302DAD">
              <w:rPr>
                <w:sz w:val="20"/>
              </w:rPr>
              <w:t xml:space="preserve">, </w:t>
            </w:r>
            <w:proofErr w:type="spellStart"/>
            <w:r w:rsidRPr="00302DAD">
              <w:rPr>
                <w:sz w:val="20"/>
              </w:rPr>
              <w:t>Eticka</w:t>
            </w:r>
            <w:proofErr w:type="spellEnd"/>
            <w:r w:rsidR="00B466AB">
              <w:rPr>
                <w:sz w:val="20"/>
              </w:rPr>
              <w:t xml:space="preserve"> </w:t>
            </w:r>
            <w:proofErr w:type="spellStart"/>
            <w:r w:rsidRPr="00302DAD">
              <w:rPr>
                <w:sz w:val="20"/>
              </w:rPr>
              <w:t>komise</w:t>
            </w:r>
            <w:proofErr w:type="spellEnd"/>
            <w:r w:rsidRPr="00302DAD">
              <w:rPr>
                <w:sz w:val="20"/>
              </w:rPr>
              <w:t xml:space="preserve"> </w:t>
            </w:r>
            <w:proofErr w:type="spellStart"/>
            <w:r w:rsidRPr="00302DAD">
              <w:rPr>
                <w:sz w:val="20"/>
              </w:rPr>
              <w:t>pri</w:t>
            </w:r>
            <w:proofErr w:type="spellEnd"/>
            <w:r w:rsidRPr="00302DAD">
              <w:rPr>
                <w:sz w:val="20"/>
              </w:rPr>
              <w:t xml:space="preserve"> </w:t>
            </w:r>
            <w:proofErr w:type="spellStart"/>
            <w:r w:rsidRPr="00302DAD">
              <w:rPr>
                <w:sz w:val="20"/>
              </w:rPr>
              <w:t>Fakultni</w:t>
            </w:r>
            <w:proofErr w:type="spellEnd"/>
            <w:r w:rsidRPr="00302DAD">
              <w:rPr>
                <w:sz w:val="20"/>
              </w:rPr>
              <w:t xml:space="preserve"> </w:t>
            </w:r>
            <w:proofErr w:type="spellStart"/>
            <w:r w:rsidRPr="00302DAD">
              <w:rPr>
                <w:sz w:val="20"/>
              </w:rPr>
              <w:t>nemocnici</w:t>
            </w:r>
            <w:proofErr w:type="spellEnd"/>
          </w:p>
          <w:p w14:paraId="376461CF" w14:textId="63D23F5E" w:rsidR="00302DAD" w:rsidRDefault="00302DAD" w:rsidP="00302DAD">
            <w:pPr>
              <w:rPr>
                <w:sz w:val="20"/>
              </w:rPr>
            </w:pPr>
            <w:r w:rsidRPr="00302DAD">
              <w:rPr>
                <w:sz w:val="20"/>
              </w:rPr>
              <w:t xml:space="preserve">Brno </w:t>
            </w:r>
            <w:proofErr w:type="spellStart"/>
            <w:r w:rsidRPr="00302DAD">
              <w:rPr>
                <w:sz w:val="20"/>
              </w:rPr>
              <w:t>Bohunice</w:t>
            </w:r>
            <w:proofErr w:type="spellEnd"/>
            <w:r w:rsidRPr="00302DAD">
              <w:rPr>
                <w:sz w:val="20"/>
              </w:rPr>
              <w:t xml:space="preserve">, </w:t>
            </w:r>
            <w:proofErr w:type="spellStart"/>
            <w:r w:rsidRPr="00302DAD">
              <w:rPr>
                <w:sz w:val="20"/>
              </w:rPr>
              <w:t>Jihlavska</w:t>
            </w:r>
            <w:proofErr w:type="spellEnd"/>
            <w:r w:rsidRPr="00302DAD">
              <w:rPr>
                <w:sz w:val="20"/>
              </w:rPr>
              <w:t xml:space="preserve"> 20,</w:t>
            </w:r>
            <w:r w:rsidR="00B466AB">
              <w:rPr>
                <w:sz w:val="20"/>
              </w:rPr>
              <w:t xml:space="preserve"> </w:t>
            </w:r>
            <w:r w:rsidRPr="00302DAD">
              <w:rPr>
                <w:sz w:val="20"/>
              </w:rPr>
              <w:t>639 00, Brno, Czech Republic</w:t>
            </w:r>
          </w:p>
          <w:p w14:paraId="2109051D" w14:textId="77777777" w:rsidR="00302DAD" w:rsidRDefault="00302DAD" w:rsidP="00302DAD">
            <w:pPr>
              <w:rPr>
                <w:sz w:val="20"/>
              </w:rPr>
            </w:pPr>
          </w:p>
          <w:p w14:paraId="5349BABD" w14:textId="395CAAE1" w:rsidR="00302DAD" w:rsidRDefault="00302DAD" w:rsidP="00B466AB">
            <w:pPr>
              <w:rPr>
                <w:sz w:val="20"/>
              </w:rPr>
            </w:pPr>
            <w:proofErr w:type="spellStart"/>
            <w:r w:rsidRPr="00302DAD">
              <w:rPr>
                <w:sz w:val="20"/>
              </w:rPr>
              <w:t>Eticka</w:t>
            </w:r>
            <w:proofErr w:type="spellEnd"/>
            <w:r w:rsidRPr="00302DAD">
              <w:rPr>
                <w:sz w:val="20"/>
              </w:rPr>
              <w:t xml:space="preserve"> </w:t>
            </w:r>
            <w:proofErr w:type="spellStart"/>
            <w:r w:rsidRPr="00302DAD">
              <w:rPr>
                <w:sz w:val="20"/>
              </w:rPr>
              <w:t>komise</w:t>
            </w:r>
            <w:proofErr w:type="spellEnd"/>
            <w:r w:rsidRPr="00302DAD">
              <w:rPr>
                <w:sz w:val="20"/>
              </w:rPr>
              <w:t xml:space="preserve"> </w:t>
            </w:r>
            <w:proofErr w:type="spellStart"/>
            <w:r w:rsidRPr="00302DAD">
              <w:rPr>
                <w:sz w:val="20"/>
              </w:rPr>
              <w:t>Sdruzeneho</w:t>
            </w:r>
            <w:proofErr w:type="spellEnd"/>
            <w:r w:rsidR="00B466AB">
              <w:rPr>
                <w:sz w:val="20"/>
              </w:rPr>
              <w:t xml:space="preserve"> </w:t>
            </w:r>
            <w:proofErr w:type="spellStart"/>
            <w:r w:rsidRPr="00302DAD">
              <w:rPr>
                <w:sz w:val="20"/>
              </w:rPr>
              <w:t>zdravotnickeho</w:t>
            </w:r>
            <w:proofErr w:type="spellEnd"/>
            <w:r w:rsidRPr="00302DAD">
              <w:rPr>
                <w:sz w:val="20"/>
              </w:rPr>
              <w:t xml:space="preserve"> </w:t>
            </w:r>
            <w:proofErr w:type="spellStart"/>
            <w:r w:rsidRPr="00302DAD">
              <w:rPr>
                <w:sz w:val="20"/>
              </w:rPr>
              <w:t>zarizeni</w:t>
            </w:r>
            <w:proofErr w:type="spellEnd"/>
            <w:r w:rsidRPr="00302DAD">
              <w:rPr>
                <w:sz w:val="20"/>
              </w:rPr>
              <w:t xml:space="preserve"> Krnov,</w:t>
            </w:r>
            <w:r w:rsidR="00B466AB">
              <w:rPr>
                <w:sz w:val="20"/>
              </w:rPr>
              <w:t xml:space="preserve"> </w:t>
            </w:r>
            <w:proofErr w:type="spellStart"/>
            <w:r w:rsidRPr="00302DAD">
              <w:rPr>
                <w:sz w:val="20"/>
              </w:rPr>
              <w:t>Eticka</w:t>
            </w:r>
            <w:proofErr w:type="spellEnd"/>
            <w:r w:rsidRPr="00302DAD">
              <w:rPr>
                <w:sz w:val="20"/>
              </w:rPr>
              <w:t xml:space="preserve"> </w:t>
            </w:r>
            <w:proofErr w:type="spellStart"/>
            <w:r w:rsidRPr="00302DAD">
              <w:rPr>
                <w:sz w:val="20"/>
              </w:rPr>
              <w:t>komise</w:t>
            </w:r>
            <w:proofErr w:type="spellEnd"/>
            <w:r w:rsidRPr="00302DAD">
              <w:rPr>
                <w:sz w:val="20"/>
              </w:rPr>
              <w:t xml:space="preserve"> </w:t>
            </w:r>
            <w:proofErr w:type="spellStart"/>
            <w:r w:rsidRPr="00302DAD">
              <w:rPr>
                <w:sz w:val="20"/>
              </w:rPr>
              <w:t>Sdruzeneho</w:t>
            </w:r>
            <w:proofErr w:type="spellEnd"/>
            <w:r w:rsidR="00B466AB">
              <w:rPr>
                <w:sz w:val="20"/>
              </w:rPr>
              <w:t xml:space="preserve"> </w:t>
            </w:r>
            <w:proofErr w:type="spellStart"/>
            <w:r w:rsidRPr="00302DAD">
              <w:rPr>
                <w:sz w:val="20"/>
              </w:rPr>
              <w:t>zdravotnickeho</w:t>
            </w:r>
            <w:proofErr w:type="spellEnd"/>
            <w:r w:rsidRPr="00302DAD">
              <w:rPr>
                <w:sz w:val="20"/>
              </w:rPr>
              <w:t xml:space="preserve"> </w:t>
            </w:r>
            <w:proofErr w:type="spellStart"/>
            <w:r w:rsidRPr="00302DAD">
              <w:rPr>
                <w:sz w:val="20"/>
              </w:rPr>
              <w:t>zarizeni</w:t>
            </w:r>
            <w:proofErr w:type="spellEnd"/>
            <w:r w:rsidRPr="00302DAD">
              <w:rPr>
                <w:sz w:val="20"/>
              </w:rPr>
              <w:t xml:space="preserve"> Krnov,</w:t>
            </w:r>
            <w:r w:rsidR="00B466AB">
              <w:rPr>
                <w:sz w:val="20"/>
              </w:rPr>
              <w:t xml:space="preserve"> </w:t>
            </w:r>
            <w:proofErr w:type="spellStart"/>
            <w:r w:rsidRPr="00302DAD">
              <w:rPr>
                <w:sz w:val="20"/>
              </w:rPr>
              <w:t>I.P.Pavlova</w:t>
            </w:r>
            <w:proofErr w:type="spellEnd"/>
            <w:r w:rsidRPr="00302DAD">
              <w:rPr>
                <w:sz w:val="20"/>
              </w:rPr>
              <w:t xml:space="preserve"> 9, 794 01, Krnov,</w:t>
            </w:r>
            <w:r w:rsidR="00B466AB">
              <w:rPr>
                <w:sz w:val="20"/>
              </w:rPr>
              <w:t xml:space="preserve"> </w:t>
            </w:r>
            <w:r w:rsidRPr="00302DAD">
              <w:rPr>
                <w:sz w:val="20"/>
              </w:rPr>
              <w:t>Czech Republic</w:t>
            </w:r>
          </w:p>
        </w:tc>
      </w:tr>
      <w:tr w:rsidR="00302DAD" w14:paraId="56B70FA3" w14:textId="77777777" w:rsidTr="005C7BEB">
        <w:tc>
          <w:tcPr>
            <w:tcW w:w="1526" w:type="dxa"/>
          </w:tcPr>
          <w:p w14:paraId="2E92C905" w14:textId="3C471B9B" w:rsidR="00302DAD" w:rsidRDefault="00302DAD" w:rsidP="00E831E3">
            <w:pPr>
              <w:rPr>
                <w:sz w:val="20"/>
              </w:rPr>
            </w:pPr>
            <w:r>
              <w:rPr>
                <w:sz w:val="20"/>
              </w:rPr>
              <w:t>Germany</w:t>
            </w:r>
          </w:p>
        </w:tc>
        <w:tc>
          <w:tcPr>
            <w:tcW w:w="3402" w:type="dxa"/>
          </w:tcPr>
          <w:p w14:paraId="1B03A616" w14:textId="77777777" w:rsidR="00302DAD" w:rsidRPr="007444C5" w:rsidRDefault="00302DAD" w:rsidP="00302DAD">
            <w:pPr>
              <w:rPr>
                <w:sz w:val="20"/>
              </w:rPr>
            </w:pPr>
            <w:r w:rsidRPr="007444C5">
              <w:rPr>
                <w:sz w:val="20"/>
              </w:rPr>
              <w:t xml:space="preserve">EC </w:t>
            </w:r>
            <w:proofErr w:type="spellStart"/>
            <w:r w:rsidRPr="007444C5">
              <w:rPr>
                <w:sz w:val="20"/>
              </w:rPr>
              <w:t>Landesamt</w:t>
            </w:r>
            <w:proofErr w:type="spellEnd"/>
            <w:r w:rsidRPr="007444C5">
              <w:rPr>
                <w:sz w:val="20"/>
              </w:rPr>
              <w:t xml:space="preserve"> fur Gesundheit und</w:t>
            </w:r>
          </w:p>
          <w:p w14:paraId="7172DBDA" w14:textId="25D3E042" w:rsidR="00302DAD" w:rsidRPr="007444C5" w:rsidRDefault="00302DAD" w:rsidP="00B466AB">
            <w:pPr>
              <w:rPr>
                <w:sz w:val="20"/>
              </w:rPr>
            </w:pPr>
            <w:proofErr w:type="spellStart"/>
            <w:r w:rsidRPr="007444C5">
              <w:rPr>
                <w:sz w:val="20"/>
              </w:rPr>
              <w:t>Soziales</w:t>
            </w:r>
            <w:proofErr w:type="spellEnd"/>
            <w:r w:rsidRPr="007444C5">
              <w:rPr>
                <w:sz w:val="20"/>
              </w:rPr>
              <w:t xml:space="preserve"> (</w:t>
            </w:r>
            <w:proofErr w:type="spellStart"/>
            <w:r w:rsidRPr="007444C5">
              <w:rPr>
                <w:sz w:val="20"/>
              </w:rPr>
              <w:t>LAGeSo</w:t>
            </w:r>
            <w:proofErr w:type="spellEnd"/>
            <w:r w:rsidRPr="007444C5">
              <w:rPr>
                <w:sz w:val="20"/>
              </w:rPr>
              <w:t>),Ethics Ref:</w:t>
            </w:r>
            <w:r w:rsidR="00B466AB">
              <w:rPr>
                <w:sz w:val="20"/>
              </w:rPr>
              <w:t xml:space="preserve"> </w:t>
            </w:r>
            <w:r w:rsidRPr="007444C5">
              <w:rPr>
                <w:sz w:val="20"/>
              </w:rPr>
              <w:t>14/0248-EK10, 10707, Berlin,</w:t>
            </w:r>
            <w:r w:rsidR="00B466AB">
              <w:rPr>
                <w:sz w:val="20"/>
              </w:rPr>
              <w:t xml:space="preserve"> </w:t>
            </w:r>
            <w:r w:rsidRPr="007444C5">
              <w:rPr>
                <w:sz w:val="20"/>
              </w:rPr>
              <w:t>Germany</w:t>
            </w:r>
          </w:p>
        </w:tc>
        <w:tc>
          <w:tcPr>
            <w:tcW w:w="4314" w:type="dxa"/>
          </w:tcPr>
          <w:p w14:paraId="5C76BF9A" w14:textId="41E7B5C5" w:rsidR="00302DAD" w:rsidRPr="00302DAD" w:rsidRDefault="00302DAD" w:rsidP="00302DAD">
            <w:pPr>
              <w:rPr>
                <w:sz w:val="20"/>
              </w:rPr>
            </w:pPr>
            <w:r w:rsidRPr="00302DAD">
              <w:rPr>
                <w:sz w:val="20"/>
              </w:rPr>
              <w:t xml:space="preserve">EC </w:t>
            </w:r>
            <w:proofErr w:type="spellStart"/>
            <w:r w:rsidRPr="00302DAD">
              <w:rPr>
                <w:sz w:val="20"/>
              </w:rPr>
              <w:t>Ethikkommission</w:t>
            </w:r>
            <w:proofErr w:type="spellEnd"/>
            <w:r w:rsidRPr="00302DAD">
              <w:rPr>
                <w:sz w:val="20"/>
              </w:rPr>
              <w:t xml:space="preserve"> des </w:t>
            </w:r>
            <w:proofErr w:type="spellStart"/>
            <w:r w:rsidRPr="00302DAD">
              <w:rPr>
                <w:sz w:val="20"/>
              </w:rPr>
              <w:t>Landes</w:t>
            </w:r>
            <w:proofErr w:type="spellEnd"/>
            <w:r w:rsidR="00B466AB">
              <w:rPr>
                <w:sz w:val="20"/>
              </w:rPr>
              <w:t xml:space="preserve"> </w:t>
            </w:r>
            <w:r w:rsidRPr="00302DAD">
              <w:rPr>
                <w:sz w:val="20"/>
              </w:rPr>
              <w:t xml:space="preserve">Berlin, </w:t>
            </w:r>
            <w:proofErr w:type="spellStart"/>
            <w:r w:rsidRPr="00302DAD">
              <w:rPr>
                <w:sz w:val="20"/>
              </w:rPr>
              <w:t>Landesamt</w:t>
            </w:r>
            <w:proofErr w:type="spellEnd"/>
            <w:r w:rsidRPr="00302DAD">
              <w:rPr>
                <w:sz w:val="20"/>
              </w:rPr>
              <w:t xml:space="preserve"> </w:t>
            </w:r>
            <w:proofErr w:type="spellStart"/>
            <w:r w:rsidRPr="00302DAD">
              <w:rPr>
                <w:sz w:val="20"/>
              </w:rPr>
              <w:t>für</w:t>
            </w:r>
            <w:proofErr w:type="spellEnd"/>
            <w:r w:rsidRPr="00302DAD">
              <w:rPr>
                <w:sz w:val="20"/>
              </w:rPr>
              <w:t xml:space="preserve"> Gesundheit</w:t>
            </w:r>
            <w:r w:rsidR="00B466AB">
              <w:rPr>
                <w:sz w:val="20"/>
              </w:rPr>
              <w:t xml:space="preserve"> </w:t>
            </w:r>
            <w:r w:rsidRPr="00302DAD">
              <w:rPr>
                <w:sz w:val="20"/>
              </w:rPr>
              <w:t xml:space="preserve">und </w:t>
            </w:r>
            <w:proofErr w:type="spellStart"/>
            <w:r w:rsidRPr="00302DAD">
              <w:rPr>
                <w:sz w:val="20"/>
              </w:rPr>
              <w:t>Soziales</w:t>
            </w:r>
            <w:proofErr w:type="spellEnd"/>
            <w:r w:rsidRPr="00302DAD">
              <w:rPr>
                <w:sz w:val="20"/>
              </w:rPr>
              <w:t xml:space="preserve">, </w:t>
            </w:r>
            <w:proofErr w:type="spellStart"/>
            <w:r w:rsidRPr="00302DAD">
              <w:rPr>
                <w:sz w:val="20"/>
              </w:rPr>
              <w:t>Fehrbelliner</w:t>
            </w:r>
            <w:proofErr w:type="spellEnd"/>
            <w:r w:rsidRPr="00302DAD">
              <w:rPr>
                <w:sz w:val="20"/>
              </w:rPr>
              <w:t xml:space="preserve"> Platz 1,</w:t>
            </w:r>
          </w:p>
          <w:p w14:paraId="155C75E3" w14:textId="77777777" w:rsidR="00302DAD" w:rsidRDefault="00302DAD" w:rsidP="00302DAD">
            <w:pPr>
              <w:rPr>
                <w:sz w:val="20"/>
              </w:rPr>
            </w:pPr>
            <w:r w:rsidRPr="00302DAD">
              <w:rPr>
                <w:sz w:val="20"/>
              </w:rPr>
              <w:t>10707, Berlin, Germany</w:t>
            </w:r>
          </w:p>
          <w:p w14:paraId="17234981" w14:textId="77777777" w:rsidR="00302DAD" w:rsidRDefault="00302DAD" w:rsidP="00302DAD">
            <w:pPr>
              <w:rPr>
                <w:sz w:val="20"/>
              </w:rPr>
            </w:pPr>
          </w:p>
          <w:p w14:paraId="33EC0089" w14:textId="25EC35EE" w:rsidR="00302DAD" w:rsidRPr="00302DAD" w:rsidRDefault="00302DAD" w:rsidP="00302DAD">
            <w:pPr>
              <w:rPr>
                <w:sz w:val="20"/>
              </w:rPr>
            </w:pPr>
            <w:r w:rsidRPr="00302DAD">
              <w:rPr>
                <w:sz w:val="20"/>
              </w:rPr>
              <w:t xml:space="preserve">EC </w:t>
            </w:r>
            <w:proofErr w:type="spellStart"/>
            <w:r w:rsidRPr="00302DAD">
              <w:rPr>
                <w:sz w:val="20"/>
              </w:rPr>
              <w:t>Ethikkommission</w:t>
            </w:r>
            <w:proofErr w:type="spellEnd"/>
            <w:r w:rsidRPr="00302DAD">
              <w:rPr>
                <w:sz w:val="20"/>
              </w:rPr>
              <w:t xml:space="preserve"> </w:t>
            </w:r>
            <w:proofErr w:type="spellStart"/>
            <w:r w:rsidRPr="00302DAD">
              <w:rPr>
                <w:sz w:val="20"/>
              </w:rPr>
              <w:t>bei</w:t>
            </w:r>
            <w:proofErr w:type="spellEnd"/>
            <w:r w:rsidRPr="00302DAD">
              <w:rPr>
                <w:sz w:val="20"/>
              </w:rPr>
              <w:t xml:space="preserve"> der</w:t>
            </w:r>
            <w:r w:rsidR="00B466AB">
              <w:rPr>
                <w:sz w:val="20"/>
              </w:rPr>
              <w:t xml:space="preserve"> </w:t>
            </w:r>
            <w:proofErr w:type="spellStart"/>
            <w:r w:rsidRPr="00302DAD">
              <w:rPr>
                <w:sz w:val="20"/>
              </w:rPr>
              <w:t>Sachsischen</w:t>
            </w:r>
            <w:proofErr w:type="spellEnd"/>
            <w:r w:rsidRPr="00302DAD">
              <w:rPr>
                <w:sz w:val="20"/>
              </w:rPr>
              <w:t xml:space="preserve"> </w:t>
            </w:r>
            <w:proofErr w:type="spellStart"/>
            <w:r w:rsidRPr="00302DAD">
              <w:rPr>
                <w:sz w:val="20"/>
              </w:rPr>
              <w:t>Landesarztekammer</w:t>
            </w:r>
            <w:proofErr w:type="spellEnd"/>
            <w:r w:rsidRPr="00302DAD">
              <w:rPr>
                <w:sz w:val="20"/>
              </w:rPr>
              <w:t>,</w:t>
            </w:r>
            <w:r w:rsidR="00B466AB">
              <w:rPr>
                <w:sz w:val="20"/>
              </w:rPr>
              <w:t xml:space="preserve"> </w:t>
            </w:r>
            <w:proofErr w:type="spellStart"/>
            <w:r w:rsidRPr="00302DAD">
              <w:rPr>
                <w:sz w:val="20"/>
              </w:rPr>
              <w:t>Schutzenhöhe</w:t>
            </w:r>
            <w:proofErr w:type="spellEnd"/>
            <w:r w:rsidRPr="00302DAD">
              <w:rPr>
                <w:sz w:val="20"/>
              </w:rPr>
              <w:t xml:space="preserve"> 16, 01099,</w:t>
            </w:r>
          </w:p>
          <w:p w14:paraId="691F048D" w14:textId="77777777" w:rsidR="00302DAD" w:rsidRDefault="00302DAD" w:rsidP="00302DAD">
            <w:pPr>
              <w:rPr>
                <w:sz w:val="20"/>
              </w:rPr>
            </w:pPr>
            <w:r w:rsidRPr="00302DAD">
              <w:rPr>
                <w:sz w:val="20"/>
              </w:rPr>
              <w:t>Dresden, Germany</w:t>
            </w:r>
          </w:p>
          <w:p w14:paraId="65FE8670" w14:textId="77777777" w:rsidR="00302DAD" w:rsidRDefault="00302DAD" w:rsidP="00302DAD">
            <w:pPr>
              <w:rPr>
                <w:sz w:val="20"/>
              </w:rPr>
            </w:pPr>
          </w:p>
          <w:p w14:paraId="52C96138" w14:textId="554B2C88" w:rsidR="00302DAD" w:rsidRDefault="00302DAD" w:rsidP="00302DAD">
            <w:pPr>
              <w:rPr>
                <w:sz w:val="20"/>
              </w:rPr>
            </w:pPr>
            <w:proofErr w:type="spellStart"/>
            <w:r w:rsidRPr="00302DAD">
              <w:rPr>
                <w:sz w:val="20"/>
              </w:rPr>
              <w:t>Landesärztekammer</w:t>
            </w:r>
            <w:proofErr w:type="spellEnd"/>
            <w:r w:rsidRPr="00302DAD">
              <w:rPr>
                <w:sz w:val="20"/>
              </w:rPr>
              <w:t xml:space="preserve"> </w:t>
            </w:r>
            <w:proofErr w:type="spellStart"/>
            <w:r w:rsidRPr="00302DAD">
              <w:rPr>
                <w:sz w:val="20"/>
              </w:rPr>
              <w:t>Rheinland</w:t>
            </w:r>
            <w:proofErr w:type="spellEnd"/>
            <w:r w:rsidRPr="00302DAD">
              <w:rPr>
                <w:sz w:val="20"/>
              </w:rPr>
              <w:t xml:space="preserve">-Pfalz EC, </w:t>
            </w:r>
            <w:proofErr w:type="spellStart"/>
            <w:r w:rsidRPr="00302DAD">
              <w:rPr>
                <w:sz w:val="20"/>
              </w:rPr>
              <w:t>Deutschhausplatz</w:t>
            </w:r>
            <w:proofErr w:type="spellEnd"/>
            <w:r w:rsidRPr="00302DAD">
              <w:rPr>
                <w:sz w:val="20"/>
              </w:rPr>
              <w:t xml:space="preserve"> 3,</w:t>
            </w:r>
            <w:r w:rsidR="00B466AB">
              <w:rPr>
                <w:sz w:val="20"/>
              </w:rPr>
              <w:t xml:space="preserve"> </w:t>
            </w:r>
            <w:r w:rsidRPr="00302DAD">
              <w:rPr>
                <w:sz w:val="20"/>
              </w:rPr>
              <w:t>55116, Mainz, Germany</w:t>
            </w:r>
          </w:p>
          <w:p w14:paraId="12A371D2" w14:textId="77777777" w:rsidR="00302DAD" w:rsidRDefault="00302DAD" w:rsidP="00302DAD">
            <w:pPr>
              <w:rPr>
                <w:sz w:val="20"/>
              </w:rPr>
            </w:pPr>
          </w:p>
          <w:p w14:paraId="3FEF0A4C" w14:textId="34816E1E" w:rsidR="00302DAD" w:rsidRDefault="00302DAD" w:rsidP="00302DAD">
            <w:pPr>
              <w:rPr>
                <w:sz w:val="20"/>
              </w:rPr>
            </w:pPr>
            <w:r w:rsidRPr="00302DAD">
              <w:rPr>
                <w:sz w:val="20"/>
              </w:rPr>
              <w:lastRenderedPageBreak/>
              <w:t xml:space="preserve">EC </w:t>
            </w:r>
            <w:proofErr w:type="spellStart"/>
            <w:r w:rsidRPr="00302DAD">
              <w:rPr>
                <w:sz w:val="20"/>
              </w:rPr>
              <w:t>Ethikkommission</w:t>
            </w:r>
            <w:proofErr w:type="spellEnd"/>
            <w:r w:rsidRPr="00302DAD">
              <w:rPr>
                <w:sz w:val="20"/>
              </w:rPr>
              <w:t xml:space="preserve"> der</w:t>
            </w:r>
            <w:r w:rsidR="00B466AB">
              <w:rPr>
                <w:sz w:val="20"/>
              </w:rPr>
              <w:t xml:space="preserve"> </w:t>
            </w:r>
            <w:proofErr w:type="spellStart"/>
            <w:r w:rsidRPr="00302DAD">
              <w:rPr>
                <w:sz w:val="20"/>
              </w:rPr>
              <w:t>Arztekammer</w:t>
            </w:r>
            <w:proofErr w:type="spellEnd"/>
            <w:r w:rsidR="00B466AB">
              <w:rPr>
                <w:sz w:val="20"/>
              </w:rPr>
              <w:t xml:space="preserve"> </w:t>
            </w:r>
            <w:r w:rsidRPr="00302DAD">
              <w:rPr>
                <w:sz w:val="20"/>
              </w:rPr>
              <w:t>Niedersachsen,</w:t>
            </w:r>
            <w:r w:rsidR="00B466AB">
              <w:rPr>
                <w:sz w:val="20"/>
              </w:rPr>
              <w:t xml:space="preserve"> Berliner Allee 20, 30175, </w:t>
            </w:r>
            <w:r w:rsidRPr="00302DAD">
              <w:rPr>
                <w:sz w:val="20"/>
              </w:rPr>
              <w:t>Hannover, Germany</w:t>
            </w:r>
          </w:p>
          <w:p w14:paraId="506ADC13" w14:textId="77777777" w:rsidR="00302DAD" w:rsidRDefault="00302DAD" w:rsidP="00302DAD">
            <w:pPr>
              <w:rPr>
                <w:sz w:val="20"/>
              </w:rPr>
            </w:pPr>
          </w:p>
          <w:p w14:paraId="1DC6177D" w14:textId="5B1F08F1" w:rsidR="00302DAD" w:rsidRPr="00302DAD" w:rsidRDefault="00B466AB" w:rsidP="00302DAD">
            <w:pPr>
              <w:rPr>
                <w:sz w:val="20"/>
              </w:rPr>
            </w:pPr>
            <w:r>
              <w:rPr>
                <w:sz w:val="20"/>
              </w:rPr>
              <w:t xml:space="preserve">EC der </w:t>
            </w:r>
            <w:proofErr w:type="spellStart"/>
            <w:r>
              <w:rPr>
                <w:sz w:val="20"/>
              </w:rPr>
              <w:t>Ärztekammer</w:t>
            </w:r>
            <w:proofErr w:type="spellEnd"/>
            <w:r>
              <w:rPr>
                <w:sz w:val="20"/>
              </w:rPr>
              <w:t xml:space="preserve"> Westfalen-</w:t>
            </w:r>
            <w:r w:rsidR="00302DAD" w:rsidRPr="00302DAD">
              <w:rPr>
                <w:sz w:val="20"/>
              </w:rPr>
              <w:t xml:space="preserve">Lippe und der med. </w:t>
            </w:r>
            <w:proofErr w:type="spellStart"/>
            <w:r w:rsidR="00302DAD" w:rsidRPr="00302DAD">
              <w:rPr>
                <w:sz w:val="20"/>
              </w:rPr>
              <w:t>Fak</w:t>
            </w:r>
            <w:proofErr w:type="spellEnd"/>
            <w:r w:rsidR="00302DAD" w:rsidRPr="00302DAD">
              <w:rPr>
                <w:sz w:val="20"/>
              </w:rPr>
              <w:t xml:space="preserve"> der</w:t>
            </w:r>
            <w:r>
              <w:rPr>
                <w:sz w:val="20"/>
              </w:rPr>
              <w:t xml:space="preserve"> </w:t>
            </w:r>
            <w:r w:rsidR="00302DAD" w:rsidRPr="00302DAD">
              <w:rPr>
                <w:sz w:val="20"/>
              </w:rPr>
              <w:t xml:space="preserve">WWU , </w:t>
            </w:r>
            <w:proofErr w:type="spellStart"/>
            <w:r w:rsidR="00302DAD" w:rsidRPr="00302DAD">
              <w:rPr>
                <w:sz w:val="20"/>
              </w:rPr>
              <w:t>Gartenstraße</w:t>
            </w:r>
            <w:proofErr w:type="spellEnd"/>
            <w:r w:rsidR="00302DAD" w:rsidRPr="00302DAD">
              <w:rPr>
                <w:sz w:val="20"/>
              </w:rPr>
              <w:t xml:space="preserve"> 210 - 214,</w:t>
            </w:r>
          </w:p>
          <w:p w14:paraId="7EE75B54" w14:textId="77777777" w:rsidR="00302DAD" w:rsidRDefault="00302DAD" w:rsidP="00302DAD">
            <w:pPr>
              <w:rPr>
                <w:sz w:val="20"/>
              </w:rPr>
            </w:pPr>
            <w:r w:rsidRPr="00302DAD">
              <w:rPr>
                <w:sz w:val="20"/>
              </w:rPr>
              <w:t>48147, Münster, Germany</w:t>
            </w:r>
          </w:p>
          <w:p w14:paraId="0CA7AE7D" w14:textId="77777777" w:rsidR="00B466AB" w:rsidRDefault="00B466AB" w:rsidP="00302DAD">
            <w:pPr>
              <w:rPr>
                <w:sz w:val="20"/>
              </w:rPr>
            </w:pPr>
          </w:p>
          <w:p w14:paraId="299B54E6" w14:textId="04380F40" w:rsidR="00B466AB" w:rsidRPr="00B466AB" w:rsidRDefault="00B466AB" w:rsidP="00B466AB">
            <w:pPr>
              <w:rPr>
                <w:sz w:val="20"/>
              </w:rPr>
            </w:pPr>
            <w:r w:rsidRPr="00B466AB">
              <w:rPr>
                <w:sz w:val="20"/>
              </w:rPr>
              <w:t xml:space="preserve">EC </w:t>
            </w:r>
            <w:proofErr w:type="spellStart"/>
            <w:r w:rsidRPr="00B466AB">
              <w:rPr>
                <w:sz w:val="20"/>
              </w:rPr>
              <w:t>Ethik-Kommission</w:t>
            </w:r>
            <w:proofErr w:type="spellEnd"/>
            <w:r w:rsidRPr="00B466AB">
              <w:rPr>
                <w:sz w:val="20"/>
              </w:rPr>
              <w:t xml:space="preserve"> (EC) der</w:t>
            </w:r>
            <w:r>
              <w:rPr>
                <w:sz w:val="20"/>
              </w:rPr>
              <w:t xml:space="preserve"> </w:t>
            </w:r>
            <w:proofErr w:type="spellStart"/>
            <w:r w:rsidRPr="00B466AB">
              <w:rPr>
                <w:sz w:val="20"/>
              </w:rPr>
              <w:t>Bayerischen</w:t>
            </w:r>
            <w:proofErr w:type="spellEnd"/>
            <w:r w:rsidRPr="00B466AB">
              <w:rPr>
                <w:sz w:val="20"/>
              </w:rPr>
              <w:t xml:space="preserve"> </w:t>
            </w:r>
            <w:proofErr w:type="spellStart"/>
            <w:r w:rsidRPr="00B466AB">
              <w:rPr>
                <w:sz w:val="20"/>
              </w:rPr>
              <w:t>Landesärztekammer</w:t>
            </w:r>
            <w:proofErr w:type="spellEnd"/>
            <w:r>
              <w:rPr>
                <w:sz w:val="20"/>
              </w:rPr>
              <w:t xml:space="preserve"> </w:t>
            </w:r>
            <w:r w:rsidRPr="00B466AB">
              <w:rPr>
                <w:sz w:val="20"/>
              </w:rPr>
              <w:t xml:space="preserve">, </w:t>
            </w:r>
            <w:proofErr w:type="spellStart"/>
            <w:r w:rsidRPr="00B466AB">
              <w:rPr>
                <w:sz w:val="20"/>
              </w:rPr>
              <w:t>Mühlbaurstraße</w:t>
            </w:r>
            <w:proofErr w:type="spellEnd"/>
            <w:r w:rsidRPr="00B466AB">
              <w:rPr>
                <w:sz w:val="20"/>
              </w:rPr>
              <w:t xml:space="preserve"> 16, 81677,</w:t>
            </w:r>
          </w:p>
          <w:p w14:paraId="00D628B6" w14:textId="77777777" w:rsidR="00B466AB" w:rsidRDefault="00B466AB" w:rsidP="00B466AB">
            <w:pPr>
              <w:rPr>
                <w:sz w:val="20"/>
              </w:rPr>
            </w:pPr>
            <w:r w:rsidRPr="00B466AB">
              <w:rPr>
                <w:sz w:val="20"/>
              </w:rPr>
              <w:t>München, Germany</w:t>
            </w:r>
          </w:p>
          <w:p w14:paraId="32E47395" w14:textId="77777777" w:rsidR="00B466AB" w:rsidRDefault="00B466AB" w:rsidP="00B466AB">
            <w:pPr>
              <w:rPr>
                <w:sz w:val="20"/>
              </w:rPr>
            </w:pPr>
          </w:p>
          <w:p w14:paraId="0E5FE5E7" w14:textId="599886F1" w:rsidR="00B466AB" w:rsidRPr="00B466AB" w:rsidRDefault="00B466AB" w:rsidP="00B466AB">
            <w:pPr>
              <w:rPr>
                <w:sz w:val="20"/>
              </w:rPr>
            </w:pPr>
            <w:proofErr w:type="spellStart"/>
            <w:r w:rsidRPr="00B466AB">
              <w:rPr>
                <w:sz w:val="20"/>
              </w:rPr>
              <w:t>EthikKommission</w:t>
            </w:r>
            <w:proofErr w:type="spellEnd"/>
            <w:r w:rsidRPr="00B466AB">
              <w:rPr>
                <w:sz w:val="20"/>
              </w:rPr>
              <w:t xml:space="preserve"> (EC) der</w:t>
            </w:r>
            <w:r>
              <w:rPr>
                <w:sz w:val="20"/>
              </w:rPr>
              <w:t xml:space="preserve"> </w:t>
            </w:r>
            <w:proofErr w:type="spellStart"/>
            <w:r w:rsidRPr="00B466AB">
              <w:rPr>
                <w:sz w:val="20"/>
              </w:rPr>
              <w:t>Arztekammer</w:t>
            </w:r>
            <w:proofErr w:type="spellEnd"/>
            <w:r w:rsidRPr="00B466AB">
              <w:rPr>
                <w:sz w:val="20"/>
              </w:rPr>
              <w:t xml:space="preserve"> </w:t>
            </w:r>
            <w:proofErr w:type="spellStart"/>
            <w:r w:rsidRPr="00B466AB">
              <w:rPr>
                <w:sz w:val="20"/>
              </w:rPr>
              <w:t>Nordrhein</w:t>
            </w:r>
            <w:proofErr w:type="spellEnd"/>
            <w:r w:rsidRPr="00B466AB">
              <w:rPr>
                <w:sz w:val="20"/>
              </w:rPr>
              <w:t xml:space="preserve"> ,</w:t>
            </w:r>
            <w:r>
              <w:rPr>
                <w:sz w:val="20"/>
              </w:rPr>
              <w:t xml:space="preserve"> </w:t>
            </w:r>
            <w:proofErr w:type="spellStart"/>
            <w:r w:rsidRPr="00B466AB">
              <w:rPr>
                <w:sz w:val="20"/>
              </w:rPr>
              <w:t>Landesärztekammer</w:t>
            </w:r>
            <w:proofErr w:type="spellEnd"/>
            <w:r w:rsidRPr="00B466AB">
              <w:rPr>
                <w:sz w:val="20"/>
              </w:rPr>
              <w:t xml:space="preserve"> </w:t>
            </w:r>
            <w:proofErr w:type="spellStart"/>
            <w:r w:rsidRPr="00B466AB">
              <w:rPr>
                <w:sz w:val="20"/>
              </w:rPr>
              <w:t>Nordrhein</w:t>
            </w:r>
            <w:proofErr w:type="spellEnd"/>
            <w:r w:rsidRPr="00B466AB">
              <w:rPr>
                <w:sz w:val="20"/>
              </w:rPr>
              <w:t>,</w:t>
            </w:r>
          </w:p>
          <w:p w14:paraId="08DD9D67" w14:textId="2F2A7466" w:rsidR="00B466AB" w:rsidRDefault="00B466AB" w:rsidP="00B466AB">
            <w:pPr>
              <w:rPr>
                <w:sz w:val="20"/>
              </w:rPr>
            </w:pPr>
            <w:proofErr w:type="spellStart"/>
            <w:r w:rsidRPr="00B466AB">
              <w:rPr>
                <w:sz w:val="20"/>
              </w:rPr>
              <w:t>Tersteegenstr</w:t>
            </w:r>
            <w:proofErr w:type="spellEnd"/>
            <w:r w:rsidRPr="00B466AB">
              <w:rPr>
                <w:sz w:val="20"/>
              </w:rPr>
              <w:t>. 9, 40474,</w:t>
            </w:r>
            <w:r>
              <w:rPr>
                <w:sz w:val="20"/>
              </w:rPr>
              <w:t xml:space="preserve"> </w:t>
            </w:r>
            <w:r w:rsidRPr="00B466AB">
              <w:rPr>
                <w:sz w:val="20"/>
              </w:rPr>
              <w:t>Düsseldorf, Germany</w:t>
            </w:r>
          </w:p>
          <w:p w14:paraId="38EC2932" w14:textId="77777777" w:rsidR="00B466AB" w:rsidRDefault="00B466AB" w:rsidP="00B466AB">
            <w:pPr>
              <w:rPr>
                <w:sz w:val="20"/>
              </w:rPr>
            </w:pPr>
          </w:p>
          <w:p w14:paraId="1A515DC1" w14:textId="04DCF0EA" w:rsidR="00B466AB" w:rsidRPr="00B466AB" w:rsidRDefault="00B466AB" w:rsidP="00B466AB">
            <w:pPr>
              <w:rPr>
                <w:sz w:val="20"/>
              </w:rPr>
            </w:pPr>
            <w:proofErr w:type="spellStart"/>
            <w:r w:rsidRPr="00B466AB">
              <w:rPr>
                <w:sz w:val="20"/>
              </w:rPr>
              <w:t>Ethik-Kommission</w:t>
            </w:r>
            <w:proofErr w:type="spellEnd"/>
            <w:r w:rsidRPr="00B466AB">
              <w:rPr>
                <w:sz w:val="20"/>
              </w:rPr>
              <w:t xml:space="preserve"> des </w:t>
            </w:r>
            <w:proofErr w:type="spellStart"/>
            <w:r w:rsidRPr="00B466AB">
              <w:rPr>
                <w:sz w:val="20"/>
              </w:rPr>
              <w:t>Landes</w:t>
            </w:r>
            <w:proofErr w:type="spellEnd"/>
            <w:r>
              <w:rPr>
                <w:sz w:val="20"/>
              </w:rPr>
              <w:t xml:space="preserve"> </w:t>
            </w:r>
            <w:r w:rsidRPr="00B466AB">
              <w:rPr>
                <w:sz w:val="20"/>
              </w:rPr>
              <w:t xml:space="preserve">Sachsen-Anhalt, </w:t>
            </w:r>
            <w:proofErr w:type="spellStart"/>
            <w:r w:rsidRPr="00B466AB">
              <w:rPr>
                <w:sz w:val="20"/>
              </w:rPr>
              <w:t>Kühnauer</w:t>
            </w:r>
            <w:proofErr w:type="spellEnd"/>
            <w:r w:rsidRPr="00B466AB">
              <w:rPr>
                <w:sz w:val="20"/>
              </w:rPr>
              <w:t xml:space="preserve"> </w:t>
            </w:r>
            <w:proofErr w:type="spellStart"/>
            <w:r w:rsidRPr="00B466AB">
              <w:rPr>
                <w:sz w:val="20"/>
              </w:rPr>
              <w:t>Straße</w:t>
            </w:r>
            <w:proofErr w:type="spellEnd"/>
            <w:r>
              <w:rPr>
                <w:sz w:val="20"/>
              </w:rPr>
              <w:t xml:space="preserve"> </w:t>
            </w:r>
            <w:r w:rsidRPr="00B466AB">
              <w:rPr>
                <w:sz w:val="20"/>
              </w:rPr>
              <w:t xml:space="preserve">70 c/o </w:t>
            </w:r>
            <w:proofErr w:type="spellStart"/>
            <w:r w:rsidRPr="00B466AB">
              <w:rPr>
                <w:sz w:val="20"/>
              </w:rPr>
              <w:t>Landesamt</w:t>
            </w:r>
            <w:proofErr w:type="spellEnd"/>
            <w:r w:rsidRPr="00B466AB">
              <w:rPr>
                <w:sz w:val="20"/>
              </w:rPr>
              <w:t xml:space="preserve"> </w:t>
            </w:r>
            <w:proofErr w:type="spellStart"/>
            <w:r w:rsidRPr="00B466AB">
              <w:rPr>
                <w:sz w:val="20"/>
              </w:rPr>
              <w:t>für</w:t>
            </w:r>
            <w:proofErr w:type="spellEnd"/>
          </w:p>
          <w:p w14:paraId="503685C7" w14:textId="124DFE4E" w:rsidR="00B466AB" w:rsidRDefault="00B466AB" w:rsidP="00B466AB">
            <w:pPr>
              <w:rPr>
                <w:sz w:val="20"/>
              </w:rPr>
            </w:pPr>
            <w:proofErr w:type="spellStart"/>
            <w:r w:rsidRPr="00B466AB">
              <w:rPr>
                <w:sz w:val="20"/>
              </w:rPr>
              <w:t>Verbraucherschutz</w:t>
            </w:r>
            <w:proofErr w:type="spellEnd"/>
            <w:r w:rsidRPr="00B466AB">
              <w:rPr>
                <w:sz w:val="20"/>
              </w:rPr>
              <w:t>, 6846, Dessau,</w:t>
            </w:r>
            <w:r>
              <w:rPr>
                <w:sz w:val="20"/>
              </w:rPr>
              <w:t xml:space="preserve"> </w:t>
            </w:r>
            <w:r w:rsidRPr="00B466AB">
              <w:rPr>
                <w:sz w:val="20"/>
              </w:rPr>
              <w:t>Germany</w:t>
            </w:r>
          </w:p>
        </w:tc>
      </w:tr>
      <w:tr w:rsidR="00302DAD" w14:paraId="672A1F58" w14:textId="77777777" w:rsidTr="005C7BEB">
        <w:tc>
          <w:tcPr>
            <w:tcW w:w="1526" w:type="dxa"/>
          </w:tcPr>
          <w:p w14:paraId="47DFD314" w14:textId="130834BE" w:rsidR="00302DAD" w:rsidRDefault="00302DAD" w:rsidP="00E831E3">
            <w:pPr>
              <w:rPr>
                <w:sz w:val="20"/>
              </w:rPr>
            </w:pPr>
            <w:r>
              <w:rPr>
                <w:sz w:val="20"/>
              </w:rPr>
              <w:lastRenderedPageBreak/>
              <w:t>Mexico</w:t>
            </w:r>
          </w:p>
        </w:tc>
        <w:tc>
          <w:tcPr>
            <w:tcW w:w="3402" w:type="dxa"/>
          </w:tcPr>
          <w:p w14:paraId="01DBDBE1" w14:textId="7C49078B" w:rsidR="00302DAD" w:rsidRPr="007444C5" w:rsidRDefault="00B466AB" w:rsidP="007444C5">
            <w:pPr>
              <w:rPr>
                <w:sz w:val="20"/>
              </w:rPr>
            </w:pPr>
            <w:r>
              <w:rPr>
                <w:sz w:val="20"/>
              </w:rPr>
              <w:t>–</w:t>
            </w:r>
          </w:p>
        </w:tc>
        <w:tc>
          <w:tcPr>
            <w:tcW w:w="4314" w:type="dxa"/>
          </w:tcPr>
          <w:p w14:paraId="44037DBD" w14:textId="781472D1" w:rsidR="00302DAD" w:rsidRPr="007444C5" w:rsidRDefault="00302DAD" w:rsidP="007444C5">
            <w:pPr>
              <w:rPr>
                <w:sz w:val="20"/>
              </w:rPr>
            </w:pPr>
            <w:r w:rsidRPr="007444C5">
              <w:rPr>
                <w:sz w:val="20"/>
              </w:rPr>
              <w:t xml:space="preserve">Inst. </w:t>
            </w:r>
            <w:proofErr w:type="spellStart"/>
            <w:r w:rsidRPr="007444C5">
              <w:rPr>
                <w:sz w:val="20"/>
              </w:rPr>
              <w:t>Jaliscience</w:t>
            </w:r>
            <w:proofErr w:type="spellEnd"/>
            <w:r w:rsidRPr="007444C5">
              <w:rPr>
                <w:sz w:val="20"/>
              </w:rPr>
              <w:t xml:space="preserve"> de </w:t>
            </w:r>
            <w:proofErr w:type="spellStart"/>
            <w:r w:rsidRPr="007444C5">
              <w:rPr>
                <w:sz w:val="20"/>
              </w:rPr>
              <w:t>Investigación</w:t>
            </w:r>
            <w:proofErr w:type="spellEnd"/>
            <w:r w:rsidR="00B466AB">
              <w:rPr>
                <w:sz w:val="20"/>
              </w:rPr>
              <w:t xml:space="preserve"> </w:t>
            </w:r>
            <w:proofErr w:type="spellStart"/>
            <w:r w:rsidRPr="007444C5">
              <w:rPr>
                <w:sz w:val="20"/>
              </w:rPr>
              <w:t>Clínica</w:t>
            </w:r>
            <w:proofErr w:type="spellEnd"/>
            <w:r w:rsidRPr="007444C5">
              <w:rPr>
                <w:sz w:val="20"/>
              </w:rPr>
              <w:t xml:space="preserve">, </w:t>
            </w:r>
            <w:proofErr w:type="spellStart"/>
            <w:r w:rsidRPr="007444C5">
              <w:rPr>
                <w:sz w:val="20"/>
              </w:rPr>
              <w:t>Penitenciaria</w:t>
            </w:r>
            <w:proofErr w:type="spellEnd"/>
            <w:r w:rsidRPr="007444C5">
              <w:rPr>
                <w:sz w:val="20"/>
              </w:rPr>
              <w:t xml:space="preserve"> No. 20,</w:t>
            </w:r>
            <w:r w:rsidR="00B466AB">
              <w:rPr>
                <w:sz w:val="20"/>
              </w:rPr>
              <w:t xml:space="preserve"> </w:t>
            </w:r>
            <w:proofErr w:type="spellStart"/>
            <w:r w:rsidRPr="007444C5">
              <w:rPr>
                <w:sz w:val="20"/>
              </w:rPr>
              <w:t>Piso</w:t>
            </w:r>
            <w:proofErr w:type="spellEnd"/>
            <w:r w:rsidRPr="007444C5">
              <w:rPr>
                <w:sz w:val="20"/>
              </w:rPr>
              <w:t xml:space="preserve"> 1, Col. Centro, 44100,</w:t>
            </w:r>
          </w:p>
          <w:p w14:paraId="745FF456" w14:textId="77777777" w:rsidR="00302DAD" w:rsidRDefault="00302DAD" w:rsidP="007444C5">
            <w:pPr>
              <w:rPr>
                <w:sz w:val="20"/>
              </w:rPr>
            </w:pPr>
            <w:r w:rsidRPr="007444C5">
              <w:rPr>
                <w:sz w:val="20"/>
              </w:rPr>
              <w:t>Guadalajara, Mexico</w:t>
            </w:r>
          </w:p>
          <w:p w14:paraId="202D8101" w14:textId="77777777" w:rsidR="00302DAD" w:rsidRDefault="00302DAD" w:rsidP="007444C5">
            <w:pPr>
              <w:rPr>
                <w:sz w:val="20"/>
              </w:rPr>
            </w:pPr>
          </w:p>
          <w:p w14:paraId="13768D49" w14:textId="3204F31A" w:rsidR="00302DAD" w:rsidRPr="00302DAD" w:rsidRDefault="00302DAD" w:rsidP="00302DAD">
            <w:pPr>
              <w:rPr>
                <w:sz w:val="20"/>
              </w:rPr>
            </w:pPr>
            <w:r w:rsidRPr="00302DAD">
              <w:rPr>
                <w:sz w:val="20"/>
              </w:rPr>
              <w:t>EC Hospital Universitario "</w:t>
            </w:r>
            <w:proofErr w:type="spellStart"/>
            <w:r w:rsidRPr="00302DAD">
              <w:rPr>
                <w:sz w:val="20"/>
              </w:rPr>
              <w:t>Dr.</w:t>
            </w:r>
            <w:proofErr w:type="spellEnd"/>
            <w:r w:rsidR="00B466AB">
              <w:rPr>
                <w:sz w:val="20"/>
              </w:rPr>
              <w:t xml:space="preserve"> </w:t>
            </w:r>
            <w:r w:rsidRPr="00302DAD">
              <w:rPr>
                <w:sz w:val="20"/>
              </w:rPr>
              <w:t xml:space="preserve">José </w:t>
            </w:r>
            <w:proofErr w:type="spellStart"/>
            <w:r w:rsidRPr="00302DAD">
              <w:rPr>
                <w:sz w:val="20"/>
              </w:rPr>
              <w:t>Eleuterio</w:t>
            </w:r>
            <w:proofErr w:type="spellEnd"/>
            <w:r w:rsidRPr="00302DAD">
              <w:rPr>
                <w:sz w:val="20"/>
              </w:rPr>
              <w:t xml:space="preserve"> González", </w:t>
            </w:r>
            <w:proofErr w:type="spellStart"/>
            <w:r w:rsidRPr="00302DAD">
              <w:rPr>
                <w:sz w:val="20"/>
              </w:rPr>
              <w:t>Comite</w:t>
            </w:r>
            <w:proofErr w:type="spellEnd"/>
            <w:r w:rsidR="00B466AB">
              <w:rPr>
                <w:sz w:val="20"/>
              </w:rPr>
              <w:t xml:space="preserve"> </w:t>
            </w:r>
            <w:r w:rsidRPr="00302DAD">
              <w:rPr>
                <w:sz w:val="20"/>
              </w:rPr>
              <w:t xml:space="preserve">de </w:t>
            </w:r>
            <w:proofErr w:type="spellStart"/>
            <w:r w:rsidRPr="00302DAD">
              <w:rPr>
                <w:sz w:val="20"/>
              </w:rPr>
              <w:t>Etica</w:t>
            </w:r>
            <w:proofErr w:type="spellEnd"/>
            <w:r w:rsidRPr="00302DAD">
              <w:rPr>
                <w:sz w:val="20"/>
              </w:rPr>
              <w:t xml:space="preserve"> de </w:t>
            </w:r>
            <w:proofErr w:type="spellStart"/>
            <w:r w:rsidRPr="00302DAD">
              <w:rPr>
                <w:sz w:val="20"/>
              </w:rPr>
              <w:t>Facultad</w:t>
            </w:r>
            <w:proofErr w:type="spellEnd"/>
            <w:r w:rsidRPr="00302DAD">
              <w:rPr>
                <w:sz w:val="20"/>
              </w:rPr>
              <w:t xml:space="preserve"> de </w:t>
            </w:r>
            <w:proofErr w:type="spellStart"/>
            <w:r w:rsidRPr="00302DAD">
              <w:rPr>
                <w:sz w:val="20"/>
              </w:rPr>
              <w:t>Medicina</w:t>
            </w:r>
            <w:proofErr w:type="spellEnd"/>
            <w:r w:rsidR="00B466AB">
              <w:rPr>
                <w:sz w:val="20"/>
              </w:rPr>
              <w:t xml:space="preserve"> </w:t>
            </w:r>
            <w:r w:rsidRPr="00302DAD">
              <w:rPr>
                <w:sz w:val="20"/>
              </w:rPr>
              <w:t xml:space="preserve">y Hosp </w:t>
            </w:r>
            <w:proofErr w:type="spellStart"/>
            <w:r w:rsidRPr="00302DAD">
              <w:rPr>
                <w:sz w:val="20"/>
              </w:rPr>
              <w:t>Universi</w:t>
            </w:r>
            <w:proofErr w:type="spellEnd"/>
            <w:r w:rsidRPr="00302DAD">
              <w:rPr>
                <w:sz w:val="20"/>
              </w:rPr>
              <w:t>, Av. Francisco I.</w:t>
            </w:r>
          </w:p>
          <w:p w14:paraId="70B1918F" w14:textId="359BE0AD" w:rsidR="00302DAD" w:rsidRDefault="00B466AB" w:rsidP="00B466AB">
            <w:pPr>
              <w:rPr>
                <w:sz w:val="20"/>
              </w:rPr>
            </w:pPr>
            <w:r>
              <w:rPr>
                <w:sz w:val="20"/>
              </w:rPr>
              <w:t xml:space="preserve">Madero y </w:t>
            </w:r>
            <w:proofErr w:type="spellStart"/>
            <w:r>
              <w:rPr>
                <w:sz w:val="20"/>
              </w:rPr>
              <w:t>Gonzalitos</w:t>
            </w:r>
            <w:proofErr w:type="spellEnd"/>
            <w:r>
              <w:rPr>
                <w:sz w:val="20"/>
              </w:rPr>
              <w:t xml:space="preserve"> s/n</w:t>
            </w:r>
            <w:r w:rsidR="00302DAD" w:rsidRPr="00302DAD">
              <w:rPr>
                <w:sz w:val="20"/>
              </w:rPr>
              <w:t>, Col.</w:t>
            </w:r>
            <w:r>
              <w:rPr>
                <w:sz w:val="20"/>
              </w:rPr>
              <w:t xml:space="preserve"> </w:t>
            </w:r>
            <w:proofErr w:type="spellStart"/>
            <w:r w:rsidR="00302DAD" w:rsidRPr="00302DAD">
              <w:rPr>
                <w:sz w:val="20"/>
              </w:rPr>
              <w:t>Mitras</w:t>
            </w:r>
            <w:proofErr w:type="spellEnd"/>
            <w:r w:rsidR="00302DAD" w:rsidRPr="00302DAD">
              <w:rPr>
                <w:sz w:val="20"/>
              </w:rPr>
              <w:t xml:space="preserve"> Centro , 64460,</w:t>
            </w:r>
            <w:r>
              <w:rPr>
                <w:sz w:val="20"/>
              </w:rPr>
              <w:t xml:space="preserve"> </w:t>
            </w:r>
            <w:r w:rsidR="00302DAD" w:rsidRPr="00302DAD">
              <w:rPr>
                <w:sz w:val="20"/>
              </w:rPr>
              <w:t>Monterrey, Mexico</w:t>
            </w:r>
          </w:p>
        </w:tc>
      </w:tr>
      <w:tr w:rsidR="00302DAD" w14:paraId="1B53309C" w14:textId="77777777" w:rsidTr="005C7BEB">
        <w:tc>
          <w:tcPr>
            <w:tcW w:w="1526" w:type="dxa"/>
          </w:tcPr>
          <w:p w14:paraId="560171AC" w14:textId="76EA51C0" w:rsidR="00302DAD" w:rsidRDefault="00302DAD" w:rsidP="00E831E3">
            <w:pPr>
              <w:rPr>
                <w:sz w:val="20"/>
              </w:rPr>
            </w:pPr>
            <w:r>
              <w:rPr>
                <w:sz w:val="20"/>
              </w:rPr>
              <w:t>Poland</w:t>
            </w:r>
          </w:p>
        </w:tc>
        <w:tc>
          <w:tcPr>
            <w:tcW w:w="3402" w:type="dxa"/>
          </w:tcPr>
          <w:p w14:paraId="0BB16FAF" w14:textId="39D095EE" w:rsidR="00302DAD" w:rsidRPr="00302DAD" w:rsidRDefault="00B466AB" w:rsidP="00B466AB">
            <w:pPr>
              <w:rPr>
                <w:sz w:val="20"/>
              </w:rPr>
            </w:pPr>
            <w:r w:rsidRPr="00302DAD">
              <w:rPr>
                <w:sz w:val="20"/>
              </w:rPr>
              <w:t xml:space="preserve">EC </w:t>
            </w:r>
            <w:proofErr w:type="spellStart"/>
            <w:r w:rsidRPr="00302DAD">
              <w:rPr>
                <w:sz w:val="20"/>
              </w:rPr>
              <w:t>Komisja</w:t>
            </w:r>
            <w:proofErr w:type="spellEnd"/>
            <w:r w:rsidRPr="00302DAD">
              <w:rPr>
                <w:sz w:val="20"/>
              </w:rPr>
              <w:t xml:space="preserve"> </w:t>
            </w:r>
            <w:proofErr w:type="spellStart"/>
            <w:r w:rsidRPr="00302DAD">
              <w:rPr>
                <w:sz w:val="20"/>
              </w:rPr>
              <w:t>Bioetyczna</w:t>
            </w:r>
            <w:proofErr w:type="spellEnd"/>
            <w:r w:rsidRPr="00302DAD">
              <w:rPr>
                <w:sz w:val="20"/>
              </w:rPr>
              <w:t xml:space="preserve"> </w:t>
            </w:r>
            <w:proofErr w:type="spellStart"/>
            <w:r w:rsidRPr="00302DAD">
              <w:rPr>
                <w:sz w:val="20"/>
              </w:rPr>
              <w:t>przy</w:t>
            </w:r>
            <w:proofErr w:type="spellEnd"/>
            <w:r>
              <w:rPr>
                <w:sz w:val="20"/>
              </w:rPr>
              <w:t xml:space="preserve"> </w:t>
            </w:r>
            <w:proofErr w:type="spellStart"/>
            <w:r w:rsidRPr="00302DAD">
              <w:rPr>
                <w:sz w:val="20"/>
              </w:rPr>
              <w:t>Bydgoskiej</w:t>
            </w:r>
            <w:proofErr w:type="spellEnd"/>
            <w:r w:rsidRPr="00302DAD">
              <w:rPr>
                <w:sz w:val="20"/>
              </w:rPr>
              <w:t xml:space="preserve"> </w:t>
            </w:r>
            <w:proofErr w:type="spellStart"/>
            <w:r w:rsidRPr="00302DAD">
              <w:rPr>
                <w:sz w:val="20"/>
              </w:rPr>
              <w:t>Izbie</w:t>
            </w:r>
            <w:proofErr w:type="spellEnd"/>
            <w:r w:rsidRPr="00302DAD">
              <w:rPr>
                <w:sz w:val="20"/>
              </w:rPr>
              <w:t xml:space="preserve"> </w:t>
            </w:r>
            <w:proofErr w:type="spellStart"/>
            <w:r w:rsidRPr="00302DAD">
              <w:rPr>
                <w:sz w:val="20"/>
              </w:rPr>
              <w:t>Lekarskiej</w:t>
            </w:r>
            <w:proofErr w:type="spellEnd"/>
            <w:r w:rsidRPr="00302DAD">
              <w:rPr>
                <w:sz w:val="20"/>
              </w:rPr>
              <w:t>, 85-681, Bydgoszcz, Poland</w:t>
            </w:r>
          </w:p>
        </w:tc>
        <w:tc>
          <w:tcPr>
            <w:tcW w:w="4314" w:type="dxa"/>
          </w:tcPr>
          <w:p w14:paraId="1072B33F" w14:textId="36AA8B6E" w:rsidR="00302DAD" w:rsidRDefault="00B466AB" w:rsidP="00302DAD">
            <w:pPr>
              <w:rPr>
                <w:sz w:val="20"/>
              </w:rPr>
            </w:pPr>
            <w:r>
              <w:rPr>
                <w:sz w:val="20"/>
              </w:rPr>
              <w:t>–</w:t>
            </w:r>
          </w:p>
        </w:tc>
      </w:tr>
      <w:tr w:rsidR="00302DAD" w14:paraId="52EF97BB" w14:textId="77777777" w:rsidTr="005C7BEB">
        <w:tc>
          <w:tcPr>
            <w:tcW w:w="1526" w:type="dxa"/>
          </w:tcPr>
          <w:p w14:paraId="43879EDD" w14:textId="534541D9" w:rsidR="00302DAD" w:rsidRDefault="00302DAD" w:rsidP="00E831E3">
            <w:pPr>
              <w:rPr>
                <w:sz w:val="20"/>
              </w:rPr>
            </w:pPr>
            <w:r>
              <w:rPr>
                <w:sz w:val="20"/>
              </w:rPr>
              <w:t>South Africa</w:t>
            </w:r>
          </w:p>
        </w:tc>
        <w:tc>
          <w:tcPr>
            <w:tcW w:w="3402" w:type="dxa"/>
          </w:tcPr>
          <w:p w14:paraId="3BAA1B28" w14:textId="47B3C2F8" w:rsidR="00302DAD" w:rsidRPr="00302DAD" w:rsidRDefault="00B466AB" w:rsidP="00302DAD">
            <w:pPr>
              <w:rPr>
                <w:sz w:val="20"/>
              </w:rPr>
            </w:pPr>
            <w:r>
              <w:rPr>
                <w:sz w:val="20"/>
              </w:rPr>
              <w:t>–</w:t>
            </w:r>
          </w:p>
        </w:tc>
        <w:tc>
          <w:tcPr>
            <w:tcW w:w="4314" w:type="dxa"/>
          </w:tcPr>
          <w:p w14:paraId="44E65249" w14:textId="317C70E2" w:rsidR="00302DAD" w:rsidRPr="00302DAD" w:rsidRDefault="00302DAD" w:rsidP="00B466AB">
            <w:pPr>
              <w:rPr>
                <w:sz w:val="20"/>
              </w:rPr>
            </w:pPr>
            <w:r w:rsidRPr="00302DAD">
              <w:rPr>
                <w:sz w:val="20"/>
              </w:rPr>
              <w:t>EC, Pharma Ethics, Pharma</w:t>
            </w:r>
            <w:r w:rsidR="00B466AB">
              <w:rPr>
                <w:sz w:val="20"/>
              </w:rPr>
              <w:t xml:space="preserve"> </w:t>
            </w:r>
            <w:r w:rsidRPr="00302DAD">
              <w:rPr>
                <w:sz w:val="20"/>
              </w:rPr>
              <w:t>Ethics, 123 Amcor Road,</w:t>
            </w:r>
            <w:r w:rsidR="00B466AB">
              <w:rPr>
                <w:sz w:val="20"/>
              </w:rPr>
              <w:t xml:space="preserve"> </w:t>
            </w:r>
            <w:proofErr w:type="spellStart"/>
            <w:r w:rsidRPr="00302DAD">
              <w:rPr>
                <w:sz w:val="20"/>
              </w:rPr>
              <w:t>Lyttelton</w:t>
            </w:r>
            <w:proofErr w:type="spellEnd"/>
            <w:r w:rsidRPr="00302DAD">
              <w:rPr>
                <w:sz w:val="20"/>
              </w:rPr>
              <w:t xml:space="preserve"> Manor 0157,</w:t>
            </w:r>
            <w:r w:rsidR="00B466AB">
              <w:rPr>
                <w:sz w:val="20"/>
              </w:rPr>
              <w:t xml:space="preserve"> </w:t>
            </w:r>
            <w:r w:rsidRPr="00302DAD">
              <w:rPr>
                <w:sz w:val="20"/>
              </w:rPr>
              <w:t>Irene,</w:t>
            </w:r>
            <w:r w:rsidR="00B466AB">
              <w:rPr>
                <w:sz w:val="20"/>
              </w:rPr>
              <w:t xml:space="preserve"> </w:t>
            </w:r>
            <w:r w:rsidRPr="00302DAD">
              <w:rPr>
                <w:sz w:val="20"/>
              </w:rPr>
              <w:t>7925, Pretoria, South Africa</w:t>
            </w:r>
          </w:p>
        </w:tc>
      </w:tr>
      <w:tr w:rsidR="00302DAD" w14:paraId="029DA0F8" w14:textId="77777777" w:rsidTr="00A73217">
        <w:tc>
          <w:tcPr>
            <w:tcW w:w="1526" w:type="dxa"/>
          </w:tcPr>
          <w:p w14:paraId="4D011A85" w14:textId="47C1411A" w:rsidR="00302DAD" w:rsidRDefault="00302DAD" w:rsidP="00E831E3">
            <w:pPr>
              <w:rPr>
                <w:sz w:val="20"/>
              </w:rPr>
            </w:pPr>
            <w:r>
              <w:rPr>
                <w:sz w:val="20"/>
              </w:rPr>
              <w:t>Spain</w:t>
            </w:r>
          </w:p>
        </w:tc>
        <w:tc>
          <w:tcPr>
            <w:tcW w:w="3402" w:type="dxa"/>
          </w:tcPr>
          <w:p w14:paraId="4FE6802B" w14:textId="5EE76C31" w:rsidR="00302DAD" w:rsidRPr="00302DAD" w:rsidRDefault="00B466AB" w:rsidP="00B466AB">
            <w:pPr>
              <w:rPr>
                <w:sz w:val="20"/>
              </w:rPr>
            </w:pPr>
            <w:r w:rsidRPr="00302DAD">
              <w:rPr>
                <w:sz w:val="20"/>
              </w:rPr>
              <w:t>Parc de Salut Mar CEIC,</w:t>
            </w:r>
            <w:r>
              <w:rPr>
                <w:sz w:val="20"/>
              </w:rPr>
              <w:t xml:space="preserve"> </w:t>
            </w:r>
            <w:r w:rsidRPr="00302DAD">
              <w:rPr>
                <w:sz w:val="20"/>
              </w:rPr>
              <w:t>08003,</w:t>
            </w:r>
            <w:r>
              <w:rPr>
                <w:sz w:val="20"/>
              </w:rPr>
              <w:t xml:space="preserve"> </w:t>
            </w:r>
            <w:r w:rsidRPr="00302DAD">
              <w:rPr>
                <w:sz w:val="20"/>
              </w:rPr>
              <w:t>Cataluña, Barcelona, Spain</w:t>
            </w:r>
          </w:p>
        </w:tc>
        <w:tc>
          <w:tcPr>
            <w:tcW w:w="4314" w:type="dxa"/>
          </w:tcPr>
          <w:p w14:paraId="5D2A0E83" w14:textId="513466FE" w:rsidR="00B466AB" w:rsidRPr="00B466AB" w:rsidRDefault="00B466AB" w:rsidP="00B466AB">
            <w:pPr>
              <w:rPr>
                <w:sz w:val="20"/>
              </w:rPr>
            </w:pPr>
            <w:r w:rsidRPr="00B466AB">
              <w:rPr>
                <w:sz w:val="20"/>
              </w:rPr>
              <w:t xml:space="preserve">Parc de Salut Mar CEIC, </w:t>
            </w:r>
            <w:proofErr w:type="spellStart"/>
            <w:r w:rsidRPr="00B466AB">
              <w:rPr>
                <w:sz w:val="20"/>
              </w:rPr>
              <w:t>Institut</w:t>
            </w:r>
            <w:proofErr w:type="spellEnd"/>
            <w:r>
              <w:rPr>
                <w:sz w:val="20"/>
              </w:rPr>
              <w:t xml:space="preserve"> </w:t>
            </w:r>
            <w:r w:rsidRPr="00B466AB">
              <w:rPr>
                <w:sz w:val="20"/>
              </w:rPr>
              <w:t xml:space="preserve">de </w:t>
            </w:r>
            <w:proofErr w:type="spellStart"/>
            <w:r w:rsidRPr="00B466AB">
              <w:rPr>
                <w:sz w:val="20"/>
              </w:rPr>
              <w:t>Recerca</w:t>
            </w:r>
            <w:proofErr w:type="spellEnd"/>
            <w:r w:rsidRPr="00B466AB">
              <w:rPr>
                <w:sz w:val="20"/>
              </w:rPr>
              <w:t xml:space="preserve"> Hospital del Mar, Parc</w:t>
            </w:r>
            <w:r>
              <w:rPr>
                <w:sz w:val="20"/>
              </w:rPr>
              <w:t xml:space="preserve"> </w:t>
            </w:r>
            <w:r w:rsidRPr="00B466AB">
              <w:rPr>
                <w:sz w:val="20"/>
              </w:rPr>
              <w:t xml:space="preserve">de </w:t>
            </w:r>
            <w:proofErr w:type="spellStart"/>
            <w:r w:rsidRPr="00B466AB">
              <w:rPr>
                <w:sz w:val="20"/>
              </w:rPr>
              <w:t>Recerca</w:t>
            </w:r>
            <w:proofErr w:type="spellEnd"/>
            <w:r w:rsidRPr="00B466AB">
              <w:rPr>
                <w:sz w:val="20"/>
              </w:rPr>
              <w:t xml:space="preserve"> </w:t>
            </w:r>
            <w:proofErr w:type="spellStart"/>
            <w:r w:rsidRPr="00B466AB">
              <w:rPr>
                <w:sz w:val="20"/>
              </w:rPr>
              <w:t>Biomédica</w:t>
            </w:r>
            <w:proofErr w:type="spellEnd"/>
            <w:r w:rsidRPr="00B466AB">
              <w:rPr>
                <w:sz w:val="20"/>
              </w:rPr>
              <w:t xml:space="preserve"> de</w:t>
            </w:r>
          </w:p>
          <w:p w14:paraId="2063608A" w14:textId="16904447" w:rsidR="00302DAD" w:rsidRDefault="00B466AB" w:rsidP="00B466AB">
            <w:pPr>
              <w:rPr>
                <w:sz w:val="20"/>
              </w:rPr>
            </w:pPr>
            <w:r w:rsidRPr="00B466AB">
              <w:rPr>
                <w:sz w:val="20"/>
              </w:rPr>
              <w:t xml:space="preserve">Barcelona C/ Doctor </w:t>
            </w:r>
            <w:proofErr w:type="spellStart"/>
            <w:r w:rsidRPr="00B466AB">
              <w:rPr>
                <w:sz w:val="20"/>
              </w:rPr>
              <w:t>Aiguader</w:t>
            </w:r>
            <w:proofErr w:type="spellEnd"/>
            <w:r w:rsidRPr="00B466AB">
              <w:rPr>
                <w:sz w:val="20"/>
              </w:rPr>
              <w:t>,</w:t>
            </w:r>
            <w:r>
              <w:rPr>
                <w:sz w:val="20"/>
              </w:rPr>
              <w:t xml:space="preserve"> </w:t>
            </w:r>
            <w:r w:rsidRPr="00B466AB">
              <w:rPr>
                <w:sz w:val="20"/>
              </w:rPr>
              <w:t>88, 08003, Barcelona, Spain</w:t>
            </w:r>
          </w:p>
          <w:p w14:paraId="1F7B4176" w14:textId="77777777" w:rsidR="00B466AB" w:rsidRDefault="00B466AB" w:rsidP="00B466AB">
            <w:pPr>
              <w:rPr>
                <w:sz w:val="20"/>
              </w:rPr>
            </w:pPr>
          </w:p>
          <w:p w14:paraId="48C335A8" w14:textId="74C7B45E" w:rsidR="00B466AB" w:rsidRPr="00B466AB" w:rsidRDefault="00B466AB" w:rsidP="00B466AB">
            <w:pPr>
              <w:rPr>
                <w:sz w:val="20"/>
              </w:rPr>
            </w:pPr>
            <w:r w:rsidRPr="00B466AB">
              <w:rPr>
                <w:sz w:val="20"/>
              </w:rPr>
              <w:t xml:space="preserve">CEICA </w:t>
            </w:r>
            <w:proofErr w:type="spellStart"/>
            <w:r w:rsidRPr="00B466AB">
              <w:rPr>
                <w:sz w:val="20"/>
              </w:rPr>
              <w:t>Comité</w:t>
            </w:r>
            <w:proofErr w:type="spellEnd"/>
            <w:r w:rsidRPr="00B466AB">
              <w:rPr>
                <w:sz w:val="20"/>
              </w:rPr>
              <w:t xml:space="preserve"> </w:t>
            </w:r>
            <w:proofErr w:type="spellStart"/>
            <w:r w:rsidRPr="00B466AB">
              <w:rPr>
                <w:sz w:val="20"/>
              </w:rPr>
              <w:t>Ético</w:t>
            </w:r>
            <w:proofErr w:type="spellEnd"/>
            <w:r w:rsidRPr="00B466AB">
              <w:rPr>
                <w:sz w:val="20"/>
              </w:rPr>
              <w:t xml:space="preserve"> de</w:t>
            </w:r>
            <w:r>
              <w:rPr>
                <w:sz w:val="20"/>
              </w:rPr>
              <w:t xml:space="preserve"> </w:t>
            </w:r>
            <w:proofErr w:type="spellStart"/>
            <w:r w:rsidRPr="00B466AB">
              <w:rPr>
                <w:sz w:val="20"/>
              </w:rPr>
              <w:t>Investigación</w:t>
            </w:r>
            <w:proofErr w:type="spellEnd"/>
            <w:r w:rsidRPr="00B466AB">
              <w:rPr>
                <w:sz w:val="20"/>
              </w:rPr>
              <w:t xml:space="preserve"> </w:t>
            </w:r>
            <w:proofErr w:type="spellStart"/>
            <w:r w:rsidRPr="00B466AB">
              <w:rPr>
                <w:sz w:val="20"/>
              </w:rPr>
              <w:t>Clínica</w:t>
            </w:r>
            <w:proofErr w:type="spellEnd"/>
            <w:r w:rsidRPr="00B466AB">
              <w:rPr>
                <w:sz w:val="20"/>
              </w:rPr>
              <w:t xml:space="preserve"> de Aragón,</w:t>
            </w:r>
            <w:r>
              <w:rPr>
                <w:sz w:val="20"/>
              </w:rPr>
              <w:t xml:space="preserve"> Instituto de </w:t>
            </w:r>
            <w:proofErr w:type="spellStart"/>
            <w:r>
              <w:rPr>
                <w:sz w:val="20"/>
              </w:rPr>
              <w:t>Investigación</w:t>
            </w:r>
            <w:proofErr w:type="spellEnd"/>
            <w:r>
              <w:rPr>
                <w:sz w:val="20"/>
              </w:rPr>
              <w:t xml:space="preserve"> </w:t>
            </w:r>
            <w:r w:rsidRPr="00B466AB">
              <w:rPr>
                <w:sz w:val="20"/>
              </w:rPr>
              <w:t>Sanitaria Aragón (IIS Aragón),</w:t>
            </w:r>
            <w:r>
              <w:rPr>
                <w:sz w:val="20"/>
              </w:rPr>
              <w:t xml:space="preserve"> </w:t>
            </w:r>
            <w:r w:rsidRPr="00B466AB">
              <w:rPr>
                <w:sz w:val="20"/>
              </w:rPr>
              <w:t xml:space="preserve">Centro de </w:t>
            </w:r>
            <w:proofErr w:type="spellStart"/>
            <w:r w:rsidRPr="00B466AB">
              <w:rPr>
                <w:sz w:val="20"/>
              </w:rPr>
              <w:t>Investigación</w:t>
            </w:r>
            <w:proofErr w:type="spellEnd"/>
          </w:p>
          <w:p w14:paraId="509953AD" w14:textId="3122EAD4" w:rsidR="00B466AB" w:rsidRDefault="00B466AB" w:rsidP="00B466AB">
            <w:pPr>
              <w:rPr>
                <w:sz w:val="20"/>
              </w:rPr>
            </w:pPr>
            <w:proofErr w:type="spellStart"/>
            <w:r w:rsidRPr="00B466AB">
              <w:rPr>
                <w:sz w:val="20"/>
              </w:rPr>
              <w:t>Biomédica</w:t>
            </w:r>
            <w:proofErr w:type="spellEnd"/>
            <w:r w:rsidRPr="00B466AB">
              <w:rPr>
                <w:sz w:val="20"/>
              </w:rPr>
              <w:t xml:space="preserve"> de Aragón (CIBA),</w:t>
            </w:r>
            <w:r>
              <w:rPr>
                <w:sz w:val="20"/>
              </w:rPr>
              <w:t xml:space="preserve"> </w:t>
            </w:r>
            <w:proofErr w:type="spellStart"/>
            <w:r w:rsidRPr="00B466AB">
              <w:rPr>
                <w:sz w:val="20"/>
              </w:rPr>
              <w:t>Avda</w:t>
            </w:r>
            <w:proofErr w:type="spellEnd"/>
            <w:r w:rsidRPr="00B466AB">
              <w:rPr>
                <w:sz w:val="20"/>
              </w:rPr>
              <w:t>. San Juan Bosco, 13, planta</w:t>
            </w:r>
            <w:r>
              <w:rPr>
                <w:sz w:val="20"/>
              </w:rPr>
              <w:t xml:space="preserve"> </w:t>
            </w:r>
            <w:r w:rsidRPr="00B466AB">
              <w:rPr>
                <w:sz w:val="20"/>
              </w:rPr>
              <w:t>1, 50009, Zaragoza, Spain</w:t>
            </w:r>
          </w:p>
          <w:p w14:paraId="252BE1A0" w14:textId="77777777" w:rsidR="00B466AB" w:rsidRDefault="00B466AB" w:rsidP="00B466AB">
            <w:pPr>
              <w:rPr>
                <w:sz w:val="20"/>
              </w:rPr>
            </w:pPr>
          </w:p>
          <w:p w14:paraId="4D5DCA94" w14:textId="07A749E7" w:rsidR="00B466AB" w:rsidRPr="00B466AB" w:rsidRDefault="00B466AB" w:rsidP="00B466AB">
            <w:pPr>
              <w:rPr>
                <w:sz w:val="20"/>
              </w:rPr>
            </w:pPr>
            <w:r w:rsidRPr="00B466AB">
              <w:rPr>
                <w:sz w:val="20"/>
              </w:rPr>
              <w:t xml:space="preserve">EC </w:t>
            </w:r>
            <w:proofErr w:type="spellStart"/>
            <w:r w:rsidRPr="00B466AB">
              <w:rPr>
                <w:sz w:val="20"/>
              </w:rPr>
              <w:t>Comite</w:t>
            </w:r>
            <w:proofErr w:type="spellEnd"/>
            <w:r w:rsidRPr="00B466AB">
              <w:rPr>
                <w:sz w:val="20"/>
              </w:rPr>
              <w:t xml:space="preserve"> </w:t>
            </w:r>
            <w:proofErr w:type="spellStart"/>
            <w:r w:rsidRPr="00B466AB">
              <w:rPr>
                <w:sz w:val="20"/>
              </w:rPr>
              <w:t>coord</w:t>
            </w:r>
            <w:proofErr w:type="spellEnd"/>
            <w:r w:rsidRPr="00B466AB">
              <w:rPr>
                <w:sz w:val="20"/>
              </w:rPr>
              <w:t xml:space="preserve"> </w:t>
            </w:r>
            <w:proofErr w:type="spellStart"/>
            <w:r w:rsidRPr="00B466AB">
              <w:rPr>
                <w:sz w:val="20"/>
              </w:rPr>
              <w:t>etica</w:t>
            </w:r>
            <w:proofErr w:type="spellEnd"/>
            <w:r>
              <w:rPr>
                <w:sz w:val="20"/>
              </w:rPr>
              <w:t xml:space="preserve"> </w:t>
            </w:r>
            <w:proofErr w:type="spellStart"/>
            <w:r w:rsidRPr="00B466AB">
              <w:rPr>
                <w:sz w:val="20"/>
              </w:rPr>
              <w:t>investigacion</w:t>
            </w:r>
            <w:proofErr w:type="spellEnd"/>
            <w:r w:rsidRPr="00B466AB">
              <w:rPr>
                <w:sz w:val="20"/>
              </w:rPr>
              <w:t xml:space="preserve"> </w:t>
            </w:r>
            <w:proofErr w:type="spellStart"/>
            <w:r w:rsidRPr="00B466AB">
              <w:rPr>
                <w:sz w:val="20"/>
              </w:rPr>
              <w:t>biomedica</w:t>
            </w:r>
            <w:proofErr w:type="spellEnd"/>
            <w:r w:rsidRPr="00B466AB">
              <w:rPr>
                <w:sz w:val="20"/>
              </w:rPr>
              <w:t xml:space="preserve"> de</w:t>
            </w:r>
          </w:p>
          <w:p w14:paraId="27A4AF01" w14:textId="0B468EBA" w:rsidR="00B466AB" w:rsidRDefault="00B466AB" w:rsidP="00B466AB">
            <w:pPr>
              <w:rPr>
                <w:sz w:val="20"/>
              </w:rPr>
            </w:pPr>
            <w:proofErr w:type="spellStart"/>
            <w:r w:rsidRPr="00B466AB">
              <w:rPr>
                <w:sz w:val="20"/>
              </w:rPr>
              <w:t>Andalucia</w:t>
            </w:r>
            <w:proofErr w:type="spellEnd"/>
            <w:r w:rsidRPr="00B466AB">
              <w:rPr>
                <w:sz w:val="20"/>
              </w:rPr>
              <w:t xml:space="preserve">, </w:t>
            </w:r>
            <w:proofErr w:type="spellStart"/>
            <w:r w:rsidRPr="00B466AB">
              <w:rPr>
                <w:sz w:val="20"/>
              </w:rPr>
              <w:t>Avda</w:t>
            </w:r>
            <w:proofErr w:type="spellEnd"/>
            <w:r w:rsidRPr="00B466AB">
              <w:rPr>
                <w:sz w:val="20"/>
              </w:rPr>
              <w:t xml:space="preserve">. </w:t>
            </w:r>
            <w:proofErr w:type="spellStart"/>
            <w:r w:rsidRPr="00B466AB">
              <w:rPr>
                <w:sz w:val="20"/>
              </w:rPr>
              <w:t>Innovación</w:t>
            </w:r>
            <w:proofErr w:type="spellEnd"/>
            <w:r w:rsidRPr="00B466AB">
              <w:rPr>
                <w:sz w:val="20"/>
              </w:rPr>
              <w:t xml:space="preserve"> s/n</w:t>
            </w:r>
            <w:r>
              <w:rPr>
                <w:sz w:val="20"/>
              </w:rPr>
              <w:t xml:space="preserve"> </w:t>
            </w:r>
            <w:r w:rsidRPr="00B466AB">
              <w:rPr>
                <w:sz w:val="20"/>
              </w:rPr>
              <w:t xml:space="preserve">– </w:t>
            </w:r>
            <w:proofErr w:type="spellStart"/>
            <w:r w:rsidRPr="00B466AB">
              <w:rPr>
                <w:sz w:val="20"/>
              </w:rPr>
              <w:t>Edifico</w:t>
            </w:r>
            <w:proofErr w:type="spellEnd"/>
            <w:r w:rsidRPr="00B466AB">
              <w:rPr>
                <w:sz w:val="20"/>
              </w:rPr>
              <w:t xml:space="preserve"> Arena 1, 41020, Sevilla,</w:t>
            </w:r>
            <w:r>
              <w:rPr>
                <w:sz w:val="20"/>
              </w:rPr>
              <w:t xml:space="preserve"> </w:t>
            </w:r>
            <w:r w:rsidRPr="00B466AB">
              <w:rPr>
                <w:sz w:val="20"/>
              </w:rPr>
              <w:t>Spain</w:t>
            </w:r>
          </w:p>
          <w:p w14:paraId="73DA760D" w14:textId="77777777" w:rsidR="00B466AB" w:rsidRDefault="00B466AB" w:rsidP="00B466AB">
            <w:pPr>
              <w:rPr>
                <w:sz w:val="20"/>
              </w:rPr>
            </w:pPr>
          </w:p>
          <w:p w14:paraId="3A2FFBB7" w14:textId="059B1577" w:rsidR="00B466AB" w:rsidRPr="00B466AB" w:rsidRDefault="00B466AB" w:rsidP="00B466AB">
            <w:pPr>
              <w:rPr>
                <w:sz w:val="20"/>
              </w:rPr>
            </w:pPr>
            <w:r w:rsidRPr="00B466AB">
              <w:rPr>
                <w:sz w:val="20"/>
              </w:rPr>
              <w:t>Hospital Universitario Germans</w:t>
            </w:r>
            <w:r>
              <w:rPr>
                <w:sz w:val="20"/>
              </w:rPr>
              <w:t xml:space="preserve"> </w:t>
            </w:r>
            <w:proofErr w:type="spellStart"/>
            <w:r w:rsidRPr="00B466AB">
              <w:rPr>
                <w:sz w:val="20"/>
              </w:rPr>
              <w:t>Trias</w:t>
            </w:r>
            <w:proofErr w:type="spellEnd"/>
            <w:r w:rsidRPr="00B466AB">
              <w:rPr>
                <w:sz w:val="20"/>
              </w:rPr>
              <w:t xml:space="preserve"> i Pujol, </w:t>
            </w:r>
            <w:proofErr w:type="spellStart"/>
            <w:r w:rsidRPr="00B466AB">
              <w:rPr>
                <w:sz w:val="20"/>
              </w:rPr>
              <w:t>Comité</w:t>
            </w:r>
            <w:proofErr w:type="spellEnd"/>
            <w:r w:rsidRPr="00B466AB">
              <w:rPr>
                <w:sz w:val="20"/>
              </w:rPr>
              <w:t xml:space="preserve"> </w:t>
            </w:r>
            <w:proofErr w:type="spellStart"/>
            <w:r w:rsidRPr="00B466AB">
              <w:rPr>
                <w:sz w:val="20"/>
              </w:rPr>
              <w:t>Ético</w:t>
            </w:r>
            <w:proofErr w:type="spellEnd"/>
            <w:r w:rsidRPr="00B466AB">
              <w:rPr>
                <w:sz w:val="20"/>
              </w:rPr>
              <w:t xml:space="preserve"> de</w:t>
            </w:r>
            <w:r>
              <w:rPr>
                <w:sz w:val="20"/>
              </w:rPr>
              <w:t xml:space="preserve"> </w:t>
            </w:r>
            <w:proofErr w:type="spellStart"/>
            <w:r w:rsidRPr="00B466AB">
              <w:rPr>
                <w:sz w:val="20"/>
              </w:rPr>
              <w:t>Investigación</w:t>
            </w:r>
            <w:proofErr w:type="spellEnd"/>
            <w:r w:rsidRPr="00B466AB">
              <w:rPr>
                <w:sz w:val="20"/>
              </w:rPr>
              <w:t xml:space="preserve"> </w:t>
            </w:r>
            <w:proofErr w:type="spellStart"/>
            <w:r w:rsidRPr="00B466AB">
              <w:rPr>
                <w:sz w:val="20"/>
              </w:rPr>
              <w:t>Clínica</w:t>
            </w:r>
            <w:proofErr w:type="spellEnd"/>
            <w:r w:rsidRPr="00B466AB">
              <w:rPr>
                <w:sz w:val="20"/>
              </w:rPr>
              <w:t xml:space="preserve">, </w:t>
            </w:r>
            <w:proofErr w:type="spellStart"/>
            <w:r w:rsidRPr="00B466AB">
              <w:rPr>
                <w:sz w:val="20"/>
              </w:rPr>
              <w:t>Ctra</w:t>
            </w:r>
            <w:proofErr w:type="spellEnd"/>
            <w:r w:rsidRPr="00B466AB">
              <w:rPr>
                <w:sz w:val="20"/>
              </w:rPr>
              <w:t>. del</w:t>
            </w:r>
          </w:p>
          <w:p w14:paraId="3E634D6A" w14:textId="3357389A" w:rsidR="00B466AB" w:rsidRPr="00302DAD" w:rsidRDefault="00B466AB" w:rsidP="00B466AB">
            <w:pPr>
              <w:rPr>
                <w:sz w:val="20"/>
              </w:rPr>
            </w:pPr>
            <w:proofErr w:type="spellStart"/>
            <w:r w:rsidRPr="00B466AB">
              <w:rPr>
                <w:sz w:val="20"/>
              </w:rPr>
              <w:t>Canyet</w:t>
            </w:r>
            <w:proofErr w:type="spellEnd"/>
            <w:r w:rsidRPr="00B466AB">
              <w:rPr>
                <w:sz w:val="20"/>
              </w:rPr>
              <w:t xml:space="preserve"> s/n, </w:t>
            </w:r>
            <w:proofErr w:type="spellStart"/>
            <w:r w:rsidRPr="00B466AB">
              <w:rPr>
                <w:sz w:val="20"/>
              </w:rPr>
              <w:t>Edificio</w:t>
            </w:r>
            <w:proofErr w:type="spellEnd"/>
            <w:r w:rsidRPr="00B466AB">
              <w:rPr>
                <w:sz w:val="20"/>
              </w:rPr>
              <w:t xml:space="preserve"> </w:t>
            </w:r>
            <w:proofErr w:type="spellStart"/>
            <w:r w:rsidRPr="00B466AB">
              <w:rPr>
                <w:sz w:val="20"/>
              </w:rPr>
              <w:t>Materno-Infantil</w:t>
            </w:r>
            <w:proofErr w:type="spellEnd"/>
            <w:r w:rsidRPr="00B466AB">
              <w:rPr>
                <w:sz w:val="20"/>
              </w:rPr>
              <w:t xml:space="preserve"> 3 planta, 08916,</w:t>
            </w:r>
            <w:r>
              <w:rPr>
                <w:sz w:val="20"/>
              </w:rPr>
              <w:t xml:space="preserve"> </w:t>
            </w:r>
            <w:r w:rsidRPr="00B466AB">
              <w:rPr>
                <w:sz w:val="20"/>
              </w:rPr>
              <w:t>Badalona, Spain</w:t>
            </w:r>
          </w:p>
        </w:tc>
      </w:tr>
      <w:tr w:rsidR="00302DAD" w14:paraId="47D21A48" w14:textId="77777777" w:rsidTr="00A73217">
        <w:tc>
          <w:tcPr>
            <w:tcW w:w="1526" w:type="dxa"/>
            <w:tcBorders>
              <w:bottom w:val="single" w:sz="4" w:space="0" w:color="auto"/>
            </w:tcBorders>
          </w:tcPr>
          <w:p w14:paraId="3C352E31" w14:textId="4AEE7A2A" w:rsidR="00302DAD" w:rsidRDefault="00302DAD" w:rsidP="00E831E3">
            <w:pPr>
              <w:rPr>
                <w:sz w:val="20"/>
              </w:rPr>
            </w:pPr>
            <w:r>
              <w:rPr>
                <w:sz w:val="20"/>
              </w:rPr>
              <w:t>USA</w:t>
            </w:r>
          </w:p>
        </w:tc>
        <w:tc>
          <w:tcPr>
            <w:tcW w:w="3402" w:type="dxa"/>
            <w:tcBorders>
              <w:bottom w:val="single" w:sz="4" w:space="0" w:color="auto"/>
            </w:tcBorders>
          </w:tcPr>
          <w:p w14:paraId="70D2D95D" w14:textId="77777777" w:rsidR="00B466AB" w:rsidRPr="00302DAD" w:rsidRDefault="00B466AB" w:rsidP="00B466AB">
            <w:pPr>
              <w:rPr>
                <w:sz w:val="20"/>
              </w:rPr>
            </w:pPr>
            <w:r w:rsidRPr="00302DAD">
              <w:rPr>
                <w:sz w:val="20"/>
              </w:rPr>
              <w:t>Copernicus Group IRB, One</w:t>
            </w:r>
          </w:p>
          <w:p w14:paraId="63E9A8BD" w14:textId="77777777" w:rsidR="00B466AB" w:rsidRPr="00302DAD" w:rsidRDefault="00B466AB" w:rsidP="00B466AB">
            <w:pPr>
              <w:rPr>
                <w:sz w:val="20"/>
              </w:rPr>
            </w:pPr>
            <w:r w:rsidRPr="00302DAD">
              <w:rPr>
                <w:sz w:val="20"/>
              </w:rPr>
              <w:t>Triangle Drive, Suite 100, 27713,</w:t>
            </w:r>
          </w:p>
          <w:p w14:paraId="3586CD82" w14:textId="15FB407E" w:rsidR="00302DAD" w:rsidRPr="00302DAD" w:rsidRDefault="00B466AB" w:rsidP="00B466AB">
            <w:pPr>
              <w:rPr>
                <w:sz w:val="20"/>
              </w:rPr>
            </w:pPr>
            <w:r w:rsidRPr="00302DAD">
              <w:rPr>
                <w:sz w:val="20"/>
              </w:rPr>
              <w:lastRenderedPageBreak/>
              <w:t>Durham, United States of America</w:t>
            </w:r>
          </w:p>
        </w:tc>
        <w:tc>
          <w:tcPr>
            <w:tcW w:w="4314" w:type="dxa"/>
            <w:tcBorders>
              <w:bottom w:val="single" w:sz="4" w:space="0" w:color="auto"/>
            </w:tcBorders>
          </w:tcPr>
          <w:p w14:paraId="5F39CF49" w14:textId="5A4B628B" w:rsidR="00302DAD" w:rsidRPr="00302DAD" w:rsidRDefault="00B466AB" w:rsidP="00302DAD">
            <w:pPr>
              <w:rPr>
                <w:sz w:val="20"/>
              </w:rPr>
            </w:pPr>
            <w:r>
              <w:rPr>
                <w:sz w:val="20"/>
              </w:rPr>
              <w:lastRenderedPageBreak/>
              <w:t>–</w:t>
            </w:r>
          </w:p>
        </w:tc>
      </w:tr>
    </w:tbl>
    <w:p w14:paraId="23FBD8F4" w14:textId="6420B238" w:rsidR="007444C5" w:rsidRDefault="007444C5" w:rsidP="00E831E3">
      <w:pPr>
        <w:rPr>
          <w:sz w:val="20"/>
        </w:rPr>
      </w:pPr>
    </w:p>
    <w:p w14:paraId="5272B049" w14:textId="77777777" w:rsidR="0088458C" w:rsidRPr="00AD3086" w:rsidRDefault="0088458C">
      <w:pPr>
        <w:rPr>
          <w:sz w:val="20"/>
        </w:rPr>
      </w:pPr>
    </w:p>
    <w:sectPr w:rsidR="0088458C" w:rsidRPr="00AD3086" w:rsidSect="007444C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C19A2"/>
    <w:multiLevelType w:val="hybridMultilevel"/>
    <w:tmpl w:val="C908E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F17F2"/>
    <w:multiLevelType w:val="hybridMultilevel"/>
    <w:tmpl w:val="A02AF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982"/>
    <w:rsid w:val="00012D24"/>
    <w:rsid w:val="00030492"/>
    <w:rsid w:val="000E37C8"/>
    <w:rsid w:val="000E426B"/>
    <w:rsid w:val="000F7267"/>
    <w:rsid w:val="001B0C84"/>
    <w:rsid w:val="001C280F"/>
    <w:rsid w:val="00236A99"/>
    <w:rsid w:val="002930B6"/>
    <w:rsid w:val="00296457"/>
    <w:rsid w:val="00302DAD"/>
    <w:rsid w:val="003405B4"/>
    <w:rsid w:val="003710B2"/>
    <w:rsid w:val="00377C41"/>
    <w:rsid w:val="003A3631"/>
    <w:rsid w:val="003E1A29"/>
    <w:rsid w:val="003E3081"/>
    <w:rsid w:val="004346EA"/>
    <w:rsid w:val="004401EB"/>
    <w:rsid w:val="004626B9"/>
    <w:rsid w:val="00494236"/>
    <w:rsid w:val="004C7894"/>
    <w:rsid w:val="00526109"/>
    <w:rsid w:val="00550CF2"/>
    <w:rsid w:val="00565015"/>
    <w:rsid w:val="0059691F"/>
    <w:rsid w:val="005C7BEB"/>
    <w:rsid w:val="005D7C51"/>
    <w:rsid w:val="006335FB"/>
    <w:rsid w:val="00657546"/>
    <w:rsid w:val="006712A1"/>
    <w:rsid w:val="00733EA5"/>
    <w:rsid w:val="007444C5"/>
    <w:rsid w:val="00790450"/>
    <w:rsid w:val="0080294A"/>
    <w:rsid w:val="008724F6"/>
    <w:rsid w:val="00876EDD"/>
    <w:rsid w:val="0088458C"/>
    <w:rsid w:val="00A07D75"/>
    <w:rsid w:val="00A562BB"/>
    <w:rsid w:val="00A67FFE"/>
    <w:rsid w:val="00A73217"/>
    <w:rsid w:val="00AB274A"/>
    <w:rsid w:val="00AD3086"/>
    <w:rsid w:val="00B148D5"/>
    <w:rsid w:val="00B2648C"/>
    <w:rsid w:val="00B466AB"/>
    <w:rsid w:val="00B534DB"/>
    <w:rsid w:val="00B673C5"/>
    <w:rsid w:val="00B7297D"/>
    <w:rsid w:val="00B96B97"/>
    <w:rsid w:val="00BC0982"/>
    <w:rsid w:val="00C57D30"/>
    <w:rsid w:val="00CB16F4"/>
    <w:rsid w:val="00D31B7F"/>
    <w:rsid w:val="00D41BD4"/>
    <w:rsid w:val="00D91F02"/>
    <w:rsid w:val="00D92610"/>
    <w:rsid w:val="00DA49F2"/>
    <w:rsid w:val="00DE0268"/>
    <w:rsid w:val="00E5757B"/>
    <w:rsid w:val="00E607C6"/>
    <w:rsid w:val="00E66372"/>
    <w:rsid w:val="00E81F34"/>
    <w:rsid w:val="00E831E3"/>
    <w:rsid w:val="00E97241"/>
    <w:rsid w:val="00EC3F98"/>
    <w:rsid w:val="00ED0564"/>
    <w:rsid w:val="00EE4994"/>
    <w:rsid w:val="00EE655C"/>
    <w:rsid w:val="00F04234"/>
    <w:rsid w:val="00F20F6E"/>
    <w:rsid w:val="00FD0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D2F9"/>
  <w15:docId w15:val="{CF36C628-4F0A-41C8-9171-6B48E610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1B7F"/>
    <w:rPr>
      <w:sz w:val="16"/>
      <w:szCs w:val="16"/>
    </w:rPr>
  </w:style>
  <w:style w:type="paragraph" w:styleId="CommentText">
    <w:name w:val="annotation text"/>
    <w:basedOn w:val="Normal"/>
    <w:link w:val="CommentTextChar"/>
    <w:uiPriority w:val="99"/>
    <w:semiHidden/>
    <w:unhideWhenUsed/>
    <w:rsid w:val="00D31B7F"/>
    <w:pPr>
      <w:spacing w:line="240" w:lineRule="auto"/>
    </w:pPr>
    <w:rPr>
      <w:sz w:val="20"/>
      <w:szCs w:val="20"/>
    </w:rPr>
  </w:style>
  <w:style w:type="character" w:customStyle="1" w:styleId="CommentTextChar">
    <w:name w:val="Comment Text Char"/>
    <w:basedOn w:val="DefaultParagraphFont"/>
    <w:link w:val="CommentText"/>
    <w:uiPriority w:val="99"/>
    <w:semiHidden/>
    <w:rsid w:val="00D31B7F"/>
    <w:rPr>
      <w:sz w:val="20"/>
      <w:szCs w:val="20"/>
    </w:rPr>
  </w:style>
  <w:style w:type="paragraph" w:styleId="CommentSubject">
    <w:name w:val="annotation subject"/>
    <w:basedOn w:val="CommentText"/>
    <w:next w:val="CommentText"/>
    <w:link w:val="CommentSubjectChar"/>
    <w:uiPriority w:val="99"/>
    <w:semiHidden/>
    <w:unhideWhenUsed/>
    <w:rsid w:val="00D31B7F"/>
    <w:rPr>
      <w:b/>
      <w:bCs/>
    </w:rPr>
  </w:style>
  <w:style w:type="character" w:customStyle="1" w:styleId="CommentSubjectChar">
    <w:name w:val="Comment Subject Char"/>
    <w:basedOn w:val="CommentTextChar"/>
    <w:link w:val="CommentSubject"/>
    <w:uiPriority w:val="99"/>
    <w:semiHidden/>
    <w:rsid w:val="00D31B7F"/>
    <w:rPr>
      <w:b/>
      <w:bCs/>
      <w:sz w:val="20"/>
      <w:szCs w:val="20"/>
    </w:rPr>
  </w:style>
  <w:style w:type="paragraph" w:styleId="BalloonText">
    <w:name w:val="Balloon Text"/>
    <w:basedOn w:val="Normal"/>
    <w:link w:val="BalloonTextChar"/>
    <w:uiPriority w:val="99"/>
    <w:semiHidden/>
    <w:unhideWhenUsed/>
    <w:rsid w:val="00D31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B7F"/>
    <w:rPr>
      <w:rFonts w:ascii="Tahoma" w:hAnsi="Tahoma" w:cs="Tahoma"/>
      <w:sz w:val="16"/>
      <w:szCs w:val="16"/>
    </w:rPr>
  </w:style>
  <w:style w:type="table" w:styleId="TableGrid">
    <w:name w:val="Table Grid"/>
    <w:basedOn w:val="TableNormal"/>
    <w:uiPriority w:val="59"/>
    <w:rsid w:val="00CB1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iSC</dc:creator>
  <cp:lastModifiedBy>Boon Lee</cp:lastModifiedBy>
  <cp:revision>2</cp:revision>
  <dcterms:created xsi:type="dcterms:W3CDTF">2020-11-22T21:08:00Z</dcterms:created>
  <dcterms:modified xsi:type="dcterms:W3CDTF">2020-11-22T21:08:00Z</dcterms:modified>
</cp:coreProperties>
</file>