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695" w14:textId="77777777" w:rsidR="00A77862" w:rsidRDefault="00A7786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7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8850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 </w:t>
      </w:r>
    </w:p>
    <w:p w14:paraId="701D7064" w14:textId="77777777" w:rsidR="007A3537" w:rsidRDefault="007A353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6DAA5C" w14:textId="77777777" w:rsidR="00344AEA" w:rsidRPr="00182739" w:rsidRDefault="00A505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739">
        <w:rPr>
          <w:rFonts w:ascii="Times New Roman" w:hAnsi="Times New Roman" w:cs="Times New Roman"/>
          <w:b/>
          <w:sz w:val="24"/>
          <w:szCs w:val="24"/>
          <w:lang w:val="en-US"/>
        </w:rPr>
        <w:t>Sample Power Analysis</w:t>
      </w:r>
    </w:p>
    <w:p w14:paraId="6E2D52FA" w14:textId="77777777" w:rsidR="009421D9" w:rsidRPr="00F30E21" w:rsidRDefault="009421D9" w:rsidP="009421D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182739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Statistical Power of the </w:t>
      </w:r>
      <w:r w:rsidR="00E06E7E"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Manuscript </w:t>
      </w:r>
      <w:r w:rsidR="00F30E21" w:rsidRPr="00F30E2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Resistance training modulates the MMP-2 activity in different trabecular bones in aging</w:t>
      </w:r>
      <w:r w:rsidR="00F30E2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fo</w:t>
      </w:r>
      <w:r w:rsidR="004D621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llowed the instruction by Beck</w:t>
      </w:r>
      <w:hyperlink w:anchor="_ENREF_1" w:tooltip="Beck, 2013 #91" w:history="1"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fldChar w:fldCharType="begin"/>
        </w:r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instrText xml:space="preserve"> ADDIN EN.CITE &lt;EndNote&gt;&lt;Cite&gt;&lt;Author&gt;Beck&lt;/Author&gt;&lt;Year&gt;2013&lt;/Year&gt;&lt;RecNum&gt;91&lt;/RecNum&gt;&lt;DisplayText&gt;&lt;style face="superscript"&gt;1&lt;/style&gt;&lt;/DisplayText&gt;&lt;record&gt;&lt;rec-number&gt;91&lt;/rec-number&gt;&lt;foreign-keys&gt;&lt;key app="EN" db-id="tft05a2pkfzrfzes2f6vewxlzw0p25r5x20p"&gt;91&lt;/key&gt;&lt;/foreign-keys&gt;&lt;ref-type name="Journal Article"&gt;17&lt;/ref-type&gt;&lt;contributors&gt;&lt;authors&gt;&lt;author&gt;Beck, T. W.&lt;/author&gt;&lt;/authors&gt;&lt;/contributors&gt;&lt;auth-address&gt;Department of Health and Exercise Science, University of Oklahoma, Norman, Oklahoma, USA. tbeck@ou.edu&lt;/auth-address&gt;&lt;titles&gt;&lt;title&gt;The importance of a priori sample size estimation in strength and conditioning research&lt;/title&gt;&lt;secondary-title&gt;J Strength Cond Res&lt;/secondary-title&gt;&lt;/titles&gt;&lt;periodical&gt;&lt;full-title&gt;J Strength Cond Res&lt;/full-title&gt;&lt;/periodical&gt;&lt;pages&gt;2323-37&lt;/pages&gt;&lt;volume&gt;27&lt;/volume&gt;&lt;number&gt;8&lt;/number&gt;&lt;edition&gt;2013/07/25&lt;/edition&gt;&lt;keywords&gt;&lt;keyword&gt;Analysis of Variance&lt;/keyword&gt;&lt;keyword&gt;Biomedical Research&lt;/keyword&gt;&lt;keyword&gt;Humans&lt;/keyword&gt;&lt;keyword&gt;Linear Models&lt;/keyword&gt;&lt;keyword&gt;Physical Conditioning, Human/*statistics &amp;amp; numerical data&lt;/keyword&gt;&lt;keyword&gt;*Research Design&lt;/keyword&gt;&lt;keyword&gt;Resistance Training/*statistics &amp;amp; numerical data&lt;/keyword&gt;&lt;keyword&gt;*Sample Size&lt;/keyword&gt;&lt;keyword&gt;*Software&lt;/keyword&gt;&lt;/keywords&gt;&lt;dates&gt;&lt;year&gt;2013&lt;/year&gt;&lt;pub-dates&gt;&lt;date&gt;Aug&lt;/date&gt;&lt;/pub-dates&gt;&lt;/dates&gt;&lt;isbn&gt;1533-4287 (Electronic)&amp;#xD;1064-8011 (Linking)&lt;/isbn&gt;&lt;accession-num&gt;23880657&lt;/accession-num&gt;&lt;urls&gt;&lt;related-urls&gt;&lt;url&gt;http://www.ncbi.nlm.nih.gov/pubmed/23880657&lt;/url&gt;&lt;/related-urls&gt;&lt;/urls&gt;&lt;electronic-resource-num&gt;10.1519/JSC.0b013e318278eea0&amp;#xD;00124278-201308000-00038 [pii]&lt;/electronic-resource-num&gt;&lt;language&gt;eng&lt;/language&gt;&lt;/record&gt;&lt;/Cite&gt;&lt;/EndNote&gt;</w:instrText>
        </w:r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fldChar w:fldCharType="separate"/>
        </w:r>
        <w:r w:rsidRPr="00182739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vertAlign w:val="superscript"/>
            <w:lang w:val="en-US"/>
          </w:rPr>
          <w:t>1</w:t>
        </w:r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fldChar w:fldCharType="end"/>
        </w:r>
      </w:hyperlink>
      <w:r w:rsidR="004D621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="004D621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Faul</w:t>
      </w:r>
      <w:proofErr w:type="spellEnd"/>
      <w:r w:rsidR="004D621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et al</w:t>
      </w:r>
      <w:hyperlink w:anchor="_ENREF_2" w:tooltip="Faul, 2007 #92" w:history="1"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fldChar w:fldCharType="begin"/>
        </w:r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instrText xml:space="preserve"> ADDIN EN.CITE &lt;EndNote&gt;&lt;Cite&gt;&lt;Author&gt;Faul&lt;/Author&gt;&lt;Year&gt;2007&lt;/Year&gt;&lt;RecNum&gt;92&lt;/RecNum&gt;&lt;DisplayText&gt;&lt;style face="superscript"&gt;2&lt;/style&gt;&lt;/DisplayText&gt;&lt;record&gt;&lt;rec-number&gt;92&lt;/rec-number&gt;&lt;foreign-keys&gt;&lt;key app="EN" db-id="tft05a2pkfzrfzes2f6vewxlzw0p25r5x20p"&gt;92&lt;/key&gt;&lt;/foreign-keys&gt;&lt;ref-type name="Journal Article"&gt;17&lt;/ref-type&gt;&lt;contributors&gt;&lt;authors&gt;&lt;author&gt;Faul, F.&lt;/author&gt;&lt;author&gt;Erdfelder, E.&lt;/author&gt;&lt;author&gt;Lang, A. G.&lt;/author&gt;&lt;author&gt;Buchner, A.&lt;/author&gt;&lt;/authors&gt;&lt;/contributors&gt;&lt;auth-address&gt;Institut fur Psychologie, Christian-Albrechts-Universitat Kiel, Kiel, Germany. ffaul@psychologie.uni-kiel.de&lt;/auth-address&gt;&lt;titles&gt;&lt;title&gt;G*Power 3: a flexible statistical power analysis program for the social, behavioral, and biomedical sciences&lt;/title&gt;&lt;secondary-title&gt;Behav Res Methods&lt;/secondary-title&gt;&lt;/titles&gt;&lt;periodical&gt;&lt;full-title&gt;Behav Res Methods&lt;/full-title&gt;&lt;/periodical&gt;&lt;pages&gt;175-91&lt;/pages&gt;&lt;volume&gt;39&lt;/volume&gt;&lt;number&gt;2&lt;/number&gt;&lt;edition&gt;2007/08/19&lt;/edition&gt;&lt;keywords&gt;&lt;keyword&gt;Algorithms&lt;/keyword&gt;&lt;keyword&gt;Behavioral Sciences/*methods&lt;/keyword&gt;&lt;keyword&gt;Biomedical Research/methods&lt;/keyword&gt;&lt;keyword&gt;*Data Interpretation, Statistical&lt;/keyword&gt;&lt;keyword&gt;*Mathematical Computing&lt;/keyword&gt;&lt;keyword&gt;Microcomputers&lt;/keyword&gt;&lt;keyword&gt;Sensitivity and Specificity&lt;/keyword&gt;&lt;keyword&gt;Social Sciences/*methods&lt;/keyword&gt;&lt;keyword&gt;*Software&lt;/keyword&gt;&lt;keyword&gt;Statistics, Nonparametric&lt;/keyword&gt;&lt;/keywords&gt;&lt;dates&gt;&lt;year&gt;2007&lt;/year&gt;&lt;pub-dates&gt;&lt;date&gt;May&lt;/date&gt;&lt;/pub-dates&gt;&lt;/dates&gt;&lt;isbn&gt;1554-351X (Print)&amp;#xD;1554-351X (Linking)&lt;/isbn&gt;&lt;accession-num&gt;17695343&lt;/accession-num&gt;&lt;urls&gt;&lt;related-urls&gt;&lt;url&gt;http://www.ncbi.nlm.nih.gov/pubmed/17695343&lt;/url&gt;&lt;/related-urls&gt;&lt;/urls&gt;&lt;language&gt;eng&lt;/language&gt;&lt;/record&gt;&lt;/Cite&gt;&lt;/EndNote&gt;</w:instrText>
        </w:r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fldChar w:fldCharType="separate"/>
        </w:r>
        <w:r w:rsidRPr="00182739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vertAlign w:val="superscript"/>
            <w:lang w:val="en-US"/>
          </w:rPr>
          <w:t>2</w:t>
        </w:r>
        <w:r w:rsidRPr="00182739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fldChar w:fldCharType="end"/>
        </w:r>
      </w:hyperlink>
      <w:r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5BD52C91" w14:textId="77777777" w:rsidR="00E06E7E" w:rsidRPr="00182739" w:rsidRDefault="00BF5054" w:rsidP="00E06E7E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8273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 tests - </w:t>
      </w:r>
      <w:r w:rsidRPr="001827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ANOVA: Fixed effects, omnibus, (four </w:t>
      </w:r>
      <w:r w:rsidR="00E06E7E" w:rsidRPr="00182739">
        <w:rPr>
          <w:rFonts w:ascii="Times New Roman" w:hAnsi="Times New Roman" w:cs="Times New Roman"/>
          <w:color w:val="000000"/>
          <w:sz w:val="24"/>
          <w:szCs w:val="24"/>
          <w:lang w:val="en-US"/>
        </w:rPr>
        <w:t>groups)</w:t>
      </w:r>
    </w:p>
    <w:p w14:paraId="1C1B984F" w14:textId="77777777" w:rsidR="00E06E7E" w:rsidRPr="00182739" w:rsidRDefault="00E06E7E" w:rsidP="00E06E7E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9AEDC2C" w14:textId="77777777" w:rsidR="00CB470E" w:rsidRPr="00574AB9" w:rsidRDefault="00146583" w:rsidP="00574AB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1827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Our research </w:t>
      </w:r>
      <w:r w:rsidR="00E06E7E" w:rsidRPr="00182739">
        <w:rPr>
          <w:rFonts w:ascii="Times New Roman" w:hAnsi="Times New Roman" w:cs="Times New Roman"/>
          <w:sz w:val="24"/>
          <w:szCs w:val="24"/>
          <w:lang w:val="en-GB"/>
        </w:rPr>
        <w:t>investigated</w:t>
      </w:r>
      <w:r w:rsidR="00574A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="00574AB9" w:rsidRPr="00574A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we aimed to investigate </w:t>
      </w:r>
      <w:r w:rsidR="00F30E21" w:rsidRPr="00247BB9">
        <w:rPr>
          <w:rFonts w:ascii="Times New Roman" w:hAnsi="Times New Roman" w:cs="Times New Roman"/>
          <w:sz w:val="24"/>
          <w:szCs w:val="24"/>
          <w:lang w:val="en-US"/>
        </w:rPr>
        <w:t>the effects of RT on MMP-2 activity in the lumbar vertebra (L6), tibia and femur of young and older rats</w:t>
      </w:r>
      <w:r w:rsidR="00E06E7E" w:rsidRPr="00182739">
        <w:rPr>
          <w:rFonts w:ascii="Times New Roman" w:hAnsi="Times New Roman" w:cs="Times New Roman"/>
          <w:sz w:val="24"/>
          <w:szCs w:val="24"/>
          <w:lang w:val="en-GB"/>
        </w:rPr>
        <w:t>. Thus, which ones were</w:t>
      </w:r>
      <w:r w:rsidR="00E06E7E" w:rsidRPr="00182739">
        <w:rPr>
          <w:rFonts w:ascii="Times New Roman" w:hAnsi="Times New Roman" w:cs="Times New Roman"/>
          <w:sz w:val="24"/>
          <w:szCs w:val="24"/>
          <w:lang w:val="en-US"/>
        </w:rPr>
        <w:t xml:space="preserve"> the parameters used to make the calculations including the desired power and magnitude of difference aiming for</w:t>
      </w:r>
      <w:r w:rsidR="00BF5054" w:rsidRPr="00182739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r w:rsidR="00D61061" w:rsidRPr="00182739">
        <w:rPr>
          <w:rFonts w:ascii="Times New Roman" w:hAnsi="Times New Roman" w:cs="Times New Roman"/>
          <w:sz w:val="24"/>
          <w:szCs w:val="24"/>
          <w:lang w:val="en-US"/>
        </w:rPr>
        <w:t xml:space="preserve">abundance </w:t>
      </w:r>
      <w:proofErr w:type="gramStart"/>
      <w:r w:rsidR="00BF5054" w:rsidRPr="00182739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E06E7E" w:rsidRPr="00182739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="00E06E7E" w:rsidRPr="00182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0BD" w:rsidRPr="00182739">
        <w:rPr>
          <w:rFonts w:ascii="Times New Roman" w:eastAsia="Calibri" w:hAnsi="Times New Roman" w:cs="Times New Roman"/>
          <w:sz w:val="24"/>
          <w:szCs w:val="24"/>
          <w:lang w:val="en-US"/>
        </w:rPr>
        <w:t>Refer to figure 1 as you go through the fo</w:t>
      </w:r>
      <w:r w:rsidR="00BF5054" w:rsidRPr="00182739">
        <w:rPr>
          <w:rFonts w:ascii="Times New Roman" w:eastAsia="Calibri" w:hAnsi="Times New Roman" w:cs="Times New Roman"/>
          <w:sz w:val="24"/>
          <w:szCs w:val="24"/>
          <w:lang w:val="en-US"/>
        </w:rPr>
        <w:t>llowing steps. The G*Power 3.1.9.4</w:t>
      </w:r>
      <w:r w:rsidR="00D010BD" w:rsidRPr="001827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used to calculate statistical power </w:t>
      </w:r>
      <w:r w:rsidR="00DA60E0" w:rsidRPr="00182739">
        <w:rPr>
          <w:rFonts w:ascii="Times New Roman" w:eastAsia="Calibri" w:hAnsi="Times New Roman" w:cs="Times New Roman"/>
          <w:sz w:val="24"/>
          <w:szCs w:val="24"/>
          <w:lang w:val="en-US"/>
        </w:rPr>
        <w:t>analysis</w:t>
      </w:r>
      <w:r w:rsidR="00D010BD" w:rsidRPr="0018273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4417D24" w14:textId="77777777" w:rsidR="00D010BD" w:rsidRPr="00182739" w:rsidRDefault="00D010BD" w:rsidP="009421D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8273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Step 1:</w:t>
      </w:r>
      <w:r w:rsidR="00BF5054"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We selected “F</w:t>
      </w:r>
      <w:r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tests” in the “Test family” panel.</w:t>
      </w:r>
    </w:p>
    <w:p w14:paraId="0F6AC345" w14:textId="77777777" w:rsidR="00D010BD" w:rsidRPr="00182739" w:rsidRDefault="00D010BD" w:rsidP="00D61061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8273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Step 2:</w:t>
      </w:r>
      <w:r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In the “Statistical test” panel, select “</w:t>
      </w:r>
      <w:r w:rsidR="00BF5054" w:rsidRPr="0018273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 tests - </w:t>
      </w:r>
      <w:r w:rsidR="00BF5054" w:rsidRPr="001827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ANOVA: </w:t>
      </w:r>
      <w:r w:rsidR="00D61061" w:rsidRPr="00182739">
        <w:rPr>
          <w:rFonts w:ascii="Times New Roman" w:hAnsi="Times New Roman" w:cs="Times New Roman"/>
          <w:color w:val="000000"/>
          <w:sz w:val="24"/>
          <w:szCs w:val="24"/>
          <w:lang w:val="en-US"/>
        </w:rPr>
        <w:t>Fixed effects, omnibus, (four</w:t>
      </w:r>
      <w:r w:rsidR="002E2951" w:rsidRPr="001827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groups)</w:t>
      </w:r>
      <w:r w:rsidR="00B13804"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.”</w:t>
      </w:r>
    </w:p>
    <w:p w14:paraId="0DD1E4D8" w14:textId="77777777" w:rsidR="00D61061" w:rsidRPr="00182739" w:rsidRDefault="00D61061" w:rsidP="009421D9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14:paraId="4844DD7A" w14:textId="77777777" w:rsidR="00B13804" w:rsidRPr="00182739" w:rsidRDefault="00B13804" w:rsidP="009421D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8273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Step 3:</w:t>
      </w:r>
      <w:r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In the “Type of power analysis” panel, select “Post hoc: Compute achieved power – given α, sample size, and effect size.”</w:t>
      </w:r>
    </w:p>
    <w:p w14:paraId="14F17534" w14:textId="77777777" w:rsidR="00B13804" w:rsidRPr="00301293" w:rsidRDefault="00B13804" w:rsidP="009421D9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8273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Step 4:</w:t>
      </w:r>
      <w:r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In the “Input Parameters” panel, select “Determine” and this will open-up a new panel </w:t>
      </w:r>
      <w:r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that allows the user to </w:t>
      </w:r>
      <w:r w:rsidR="002E2951"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calculate the effect size</w:t>
      </w:r>
      <w:r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for the</w:t>
      </w:r>
      <w:r w:rsidR="00D61061" w:rsidRPr="0089398B">
        <w:rPr>
          <w:rFonts w:ascii="Times New Roman" w:hAnsi="Times New Roman" w:cs="Times New Roman"/>
          <w:sz w:val="24"/>
          <w:szCs w:val="24"/>
          <w:lang w:val="en-US"/>
        </w:rPr>
        <w:t xml:space="preserve"> protein abundance levels</w:t>
      </w:r>
      <w:r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="00D61061"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For example (</w:t>
      </w:r>
      <w:r w:rsidR="00344AEA" w:rsidRPr="00344AE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 activity of vertebrae</w:t>
      </w:r>
      <w:r w:rsidR="00D61061"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  <w:r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r w:rsidR="002E2951" w:rsidRPr="008939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using</w:t>
      </w:r>
      <w:r w:rsidR="002E2951"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the mean and standard deviation of the Table 1 for </w:t>
      </w:r>
      <w:r w:rsidR="00D61061"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four groups </w:t>
      </w:r>
      <w:r w:rsidR="002E2951"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we can calculate the power of the present study.</w:t>
      </w:r>
      <w:r w:rsidR="00A77862" w:rsidRPr="00182739">
        <w:rPr>
          <w:lang w:val="en-US"/>
        </w:rPr>
        <w:t xml:space="preserve"> </w:t>
      </w:r>
      <w:r w:rsidR="00A77862"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Such choice is justified because it </w:t>
      </w:r>
      <w:r w:rsidR="00A77862"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represents the main dependent variable.</w:t>
      </w:r>
    </w:p>
    <w:tbl>
      <w:tblPr>
        <w:tblW w:w="7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1594"/>
        <w:gridCol w:w="1416"/>
      </w:tblGrid>
      <w:tr w:rsidR="002E2951" w:rsidRPr="004D621D" w14:paraId="7CF16269" w14:textId="77777777" w:rsidTr="00D61061">
        <w:trPr>
          <w:trHeight w:val="202"/>
          <w:jc w:val="center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043D" w14:textId="38597C6C" w:rsidR="002E2951" w:rsidRPr="00DA3B77" w:rsidRDefault="002E2951" w:rsidP="00F7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DA3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TABLE </w:t>
            </w:r>
            <w:r w:rsidR="00AA0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S</w:t>
            </w:r>
            <w:r w:rsidRPr="00DA3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1. </w:t>
            </w:r>
            <w:r w:rsidR="00A77862" w:rsidRPr="00DA3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 </w:t>
            </w:r>
            <w:r w:rsidR="00344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 xml:space="preserve">Pro activity of vertebrae </w:t>
            </w:r>
          </w:p>
        </w:tc>
      </w:tr>
      <w:tr w:rsidR="002E2951" w:rsidRPr="00DA3B77" w14:paraId="002E37BB" w14:textId="77777777" w:rsidTr="00F73322">
        <w:trPr>
          <w:trHeight w:val="202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5692" w14:textId="77777777" w:rsidR="002E2951" w:rsidRPr="00DA3B77" w:rsidRDefault="002E2951" w:rsidP="00D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3B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GROUPS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05C5" w14:textId="77777777" w:rsidR="002E2951" w:rsidRPr="00DA3B77" w:rsidRDefault="00341F12" w:rsidP="00D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3B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90B2B" w14:textId="77777777" w:rsidR="002E2951" w:rsidRPr="00DA3B77" w:rsidRDefault="00341F12" w:rsidP="00D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3B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SD</w:t>
            </w:r>
          </w:p>
        </w:tc>
      </w:tr>
      <w:tr w:rsidR="00135E50" w:rsidRPr="00DA3B77" w14:paraId="08E9CBF2" w14:textId="77777777" w:rsidTr="00F73322">
        <w:trPr>
          <w:trHeight w:val="202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C2E0" w14:textId="77777777" w:rsidR="00135E50" w:rsidRPr="00DA3B77" w:rsidRDefault="00135E50" w:rsidP="00D61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3B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B8DB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.138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C9B97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</w:tc>
      </w:tr>
      <w:tr w:rsidR="00135E50" w:rsidRPr="00DA3B77" w14:paraId="7D71D416" w14:textId="77777777" w:rsidTr="00F73322">
        <w:trPr>
          <w:trHeight w:val="202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BF76" w14:textId="77777777" w:rsidR="00135E50" w:rsidRPr="00DA3B77" w:rsidRDefault="00135E50" w:rsidP="00D61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3B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ABC5A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8A229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35E50" w:rsidRPr="00DA3B77" w14:paraId="5305BB4E" w14:textId="77777777" w:rsidTr="00F73322">
        <w:trPr>
          <w:trHeight w:val="202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3DFD" w14:textId="77777777" w:rsidR="00135E50" w:rsidRPr="00DA3B77" w:rsidRDefault="00135E50" w:rsidP="00D61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3B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0DF44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EAB3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135E50" w:rsidRPr="00DA3B77" w14:paraId="185F0B32" w14:textId="77777777" w:rsidTr="00F73322">
        <w:trPr>
          <w:trHeight w:val="202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76DB" w14:textId="77777777" w:rsidR="00135E50" w:rsidRPr="00DA3B77" w:rsidRDefault="00135E50" w:rsidP="00D61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3B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F6908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.196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D1799" w14:textId="77777777" w:rsidR="00135E50" w:rsidRPr="00DA3B77" w:rsidRDefault="00135E50" w:rsidP="00DA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B77">
              <w:rPr>
                <w:rFonts w:ascii="Times New Roman" w:hAnsi="Times New Roman" w:cs="Times New Roman"/>
                <w:sz w:val="24"/>
                <w:szCs w:val="24"/>
              </w:rPr>
              <w:t>.032</w:t>
            </w:r>
          </w:p>
        </w:tc>
      </w:tr>
    </w:tbl>
    <w:p w14:paraId="113D4300" w14:textId="77777777" w:rsidR="00F861FA" w:rsidRPr="00301293" w:rsidRDefault="00F861FA" w:rsidP="00A05251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14:paraId="76401590" w14:textId="706A4803" w:rsidR="00B13804" w:rsidRPr="00182739" w:rsidRDefault="00521F5D" w:rsidP="00A0525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0129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Step 5</w:t>
      </w:r>
      <w:r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T</w:t>
      </w:r>
      <w:r w:rsidR="002E2951"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he “Effect size d</w:t>
      </w:r>
      <w:r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²” can be estimated from the </w:t>
      </w:r>
      <w:r w:rsidR="002E2951"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mean and standard deviation highlighted</w:t>
      </w:r>
      <w:r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1316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Table 1</w:t>
      </w:r>
      <w:r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  <w:r w:rsidR="002E2951"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To estimate the “Effect size d</w:t>
      </w:r>
      <w:r w:rsidRPr="003012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²”</w:t>
      </w:r>
      <w:r w:rsidRPr="00182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using this method, select “Determine” in the “Input Parameters” </w:t>
      </w:r>
      <w:r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panel. Next, select “Calculate,” and “Calculate and transfer to main window.” This will transfer the estimated </w:t>
      </w:r>
      <w:r w:rsidR="00EF38B3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“Effect size f²</w:t>
      </w:r>
      <w:r w:rsidR="00F73322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” of </w:t>
      </w:r>
      <w:r w:rsidR="00135E50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0.80</w:t>
      </w:r>
      <w:r w:rsidR="00A0525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</w:t>
      </w:r>
      <w:r w:rsidR="00344AE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Figure </w:t>
      </w:r>
      <w:r w:rsidR="00AA04E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</w:t>
      </w:r>
      <w:r w:rsidR="00344AE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1</w:t>
      </w:r>
      <w:r w:rsidR="00A0525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  <w:r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to the main window. </w:t>
      </w:r>
      <w:r w:rsidR="00A0525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Select 0.05 for the “</w:t>
      </w:r>
      <w:r w:rsidR="00EF38B3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(1-α</w:t>
      </w:r>
      <w:r w:rsidR="00A0525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F38B3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err prob</w:t>
      </w:r>
      <w:r w:rsidR="00F30E2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), 5</w:t>
      </w:r>
      <w:r w:rsidR="00EF2059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F861FA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</w:t>
      </w:r>
      <w:r w:rsidR="00F30E2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ts for sample size group 1 and 5</w:t>
      </w:r>
      <w:r w:rsidR="00F861FA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rats </w:t>
      </w:r>
      <w:r w:rsidR="00A0596A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for sample size group 2.</w:t>
      </w:r>
      <w:r w:rsidR="00EF2059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Select “Calculate,” and observe the “To</w:t>
      </w:r>
      <w:r w:rsidR="00F30E2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tal sample size” of 5</w:t>
      </w:r>
      <w:r w:rsidR="00A0596A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rats</w:t>
      </w:r>
      <w:r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required </w:t>
      </w:r>
      <w:r w:rsidR="00D61061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to achieve a power level of </w:t>
      </w:r>
      <w:r w:rsidR="00F73322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0.</w:t>
      </w:r>
      <w:r w:rsidR="00135E50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95</w:t>
      </w:r>
      <w:r w:rsidR="00EF2059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</w:t>
      </w:r>
      <w:r w:rsidR="00344AE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Figure </w:t>
      </w:r>
      <w:r w:rsidR="00AA04E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</w:t>
      </w:r>
      <w:r w:rsidR="00344AE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1</w:t>
      </w:r>
      <w:r w:rsidR="00EF2059"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  <w:r w:rsidRPr="00DA3B7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138828DB" w14:textId="1B01A052" w:rsidR="001356EE" w:rsidRPr="00182739" w:rsidRDefault="00344AEA" w:rsidP="001356EE">
      <w:pPr>
        <w:spacing w:line="48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Figure </w:t>
      </w:r>
      <w:r w:rsidR="00AA04E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1</w:t>
      </w:r>
      <w:r w:rsidR="001356EE" w:rsidRPr="0018273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.</w:t>
      </w:r>
    </w:p>
    <w:p w14:paraId="699410A1" w14:textId="77777777" w:rsidR="001356EE" w:rsidRPr="00182739" w:rsidRDefault="00135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6DF495F" wp14:editId="1F0E9F2D">
            <wp:extent cx="5362575" cy="3733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9172" r="25941" b="5438"/>
                    <a:stretch/>
                  </pic:blipFill>
                  <pic:spPr bwMode="auto">
                    <a:xfrm>
                      <a:off x="0" y="0"/>
                      <a:ext cx="5366896" cy="3736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EDDBB" w14:textId="77777777" w:rsidR="00BB6FD4" w:rsidRPr="00135E50" w:rsidRDefault="00BB6FD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35E50">
        <w:rPr>
          <w:rFonts w:ascii="Times New Roman" w:hAnsi="Times New Roman" w:cs="Times New Roman"/>
          <w:b/>
          <w:sz w:val="24"/>
          <w:szCs w:val="24"/>
          <w:lang w:val="en-US"/>
        </w:rPr>
        <w:t>GPower</w:t>
      </w:r>
      <w:proofErr w:type="spellEnd"/>
      <w:r w:rsidRPr="00135E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Protocol</w:t>
      </w:r>
    </w:p>
    <w:p w14:paraId="1C9D48B2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 tests - 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>ANOVA: Fixed effects, omnibus</w:t>
      </w:r>
    </w:p>
    <w:p w14:paraId="58FA8E95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Analysis:</w:t>
      </w:r>
      <w:r w:rsidRPr="00135E5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priori: Compute required sample size </w:t>
      </w:r>
    </w:p>
    <w:p w14:paraId="1F3CD3A1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Input: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Effect size f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0.8045982</w:t>
      </w:r>
    </w:p>
    <w:p w14:paraId="7B8F97BC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135E50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err prob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0.05</w:t>
      </w:r>
    </w:p>
    <w:p w14:paraId="4EBCF5BE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Power (1-</w:t>
      </w:r>
      <w:r w:rsidRPr="00135E50">
        <w:rPr>
          <w:rFonts w:ascii="Times New Roman" w:hAnsi="Times New Roman" w:cs="Times New Roman"/>
          <w:color w:val="000000"/>
          <w:sz w:val="24"/>
          <w:szCs w:val="24"/>
        </w:rPr>
        <w:t>β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err prob)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0.95</w:t>
      </w:r>
    </w:p>
    <w:p w14:paraId="422C49F9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Number of groups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4</w:t>
      </w:r>
    </w:p>
    <w:p w14:paraId="381EA807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Output: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>Noncentrality</w:t>
      </w:r>
      <w:proofErr w:type="spellEnd"/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parameter </w:t>
      </w:r>
      <w:r w:rsidRPr="00135E50">
        <w:rPr>
          <w:rFonts w:ascii="Times New Roman" w:hAnsi="Times New Roman" w:cs="Times New Roman"/>
          <w:color w:val="000000"/>
          <w:sz w:val="24"/>
          <w:szCs w:val="24"/>
        </w:rPr>
        <w:t>λ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20.7161044</w:t>
      </w:r>
    </w:p>
    <w:p w14:paraId="0B20F4D4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Critical F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2.9466853</w:t>
      </w:r>
    </w:p>
    <w:p w14:paraId="0A5D2C28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Numerator df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3</w:t>
      </w:r>
    </w:p>
    <w:p w14:paraId="3373A46B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Denominator df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28</w:t>
      </w:r>
    </w:p>
    <w:p w14:paraId="767764F3" w14:textId="77777777" w:rsidR="00135E50" w:rsidRPr="00135E50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Total sample size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32</w:t>
      </w:r>
    </w:p>
    <w:p w14:paraId="5D68B470" w14:textId="77777777" w:rsidR="00135E50" w:rsidRPr="00344AEA" w:rsidRDefault="00135E50" w:rsidP="00135E50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35E5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44AEA">
        <w:rPr>
          <w:rFonts w:ascii="Times New Roman" w:hAnsi="Times New Roman" w:cs="Times New Roman"/>
          <w:color w:val="000000"/>
          <w:sz w:val="24"/>
          <w:szCs w:val="24"/>
          <w:lang w:val="en-US"/>
        </w:rPr>
        <w:t>Actual power</w:t>
      </w:r>
      <w:r w:rsidRPr="00344AEA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</w:t>
      </w:r>
      <w:r w:rsidRPr="00344AEA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0.9587343</w:t>
      </w:r>
    </w:p>
    <w:p w14:paraId="14DF17C3" w14:textId="77777777" w:rsidR="00F73322" w:rsidRPr="00135E50" w:rsidRDefault="00F73322" w:rsidP="00F73322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9F5CF8" w14:textId="77777777" w:rsidR="00D25D63" w:rsidRDefault="00D25D63" w:rsidP="00D61061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5BE7AB8" w14:textId="77777777" w:rsidR="00D25D63" w:rsidRDefault="00D25D63" w:rsidP="00D61061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776E2E0" w14:textId="77777777" w:rsidR="00D25D63" w:rsidRDefault="00D25D63" w:rsidP="00D61061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6EA72EF" w14:textId="56B73FCC" w:rsidR="00E06E7E" w:rsidRPr="00182739" w:rsidRDefault="00D25D63" w:rsidP="00D61061">
      <w:pPr>
        <w:tabs>
          <w:tab w:val="left" w:pos="1134"/>
          <w:tab w:val="left" w:pos="3969"/>
          <w:tab w:val="left" w:pos="42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5D6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Table</w:t>
      </w:r>
      <w:r w:rsidR="007A353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A04E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="007A353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Pr="008905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Post hoc power analysis of main </w:t>
      </w:r>
      <w:r w:rsidR="005B1519" w:rsidRPr="008905D6">
        <w:rPr>
          <w:rFonts w:ascii="Times New Roman" w:hAnsi="Times New Roman" w:cs="Times New Roman"/>
          <w:color w:val="000000"/>
          <w:sz w:val="24"/>
          <w:szCs w:val="24"/>
          <w:lang w:val="en-US"/>
        </w:rPr>
        <w:t>outcomes</w:t>
      </w:r>
    </w:p>
    <w:p w14:paraId="3B480035" w14:textId="77777777" w:rsidR="00D25D63" w:rsidRDefault="00D25D6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11103" w:type="dxa"/>
        <w:tblInd w:w="-112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134"/>
        <w:gridCol w:w="1417"/>
        <w:gridCol w:w="1788"/>
        <w:gridCol w:w="1836"/>
      </w:tblGrid>
      <w:tr w:rsidR="00D25D63" w:rsidRPr="008905D6" w14:paraId="7882ED57" w14:textId="77777777" w:rsidTr="00D25D63">
        <w:trPr>
          <w:trHeight w:val="632"/>
        </w:trPr>
        <w:tc>
          <w:tcPr>
            <w:tcW w:w="3510" w:type="dxa"/>
          </w:tcPr>
          <w:p w14:paraId="543CD2BC" w14:textId="77777777" w:rsidR="00D25D63" w:rsidRPr="008905D6" w:rsidRDefault="00D25D63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C6D5C33" w14:textId="77777777" w:rsidR="00D25D63" w:rsidRPr="008905D6" w:rsidRDefault="00D25D63" w:rsidP="0030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Noncentrality</w:t>
            </w:r>
            <w:proofErr w:type="spellEnd"/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parameter </w:t>
            </w:r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λ</w:t>
            </w:r>
          </w:p>
        </w:tc>
        <w:tc>
          <w:tcPr>
            <w:tcW w:w="1134" w:type="dxa"/>
          </w:tcPr>
          <w:p w14:paraId="4A76EB91" w14:textId="77777777" w:rsidR="00D25D63" w:rsidRPr="008905D6" w:rsidRDefault="00D25D63" w:rsidP="0030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Critical F</w:t>
            </w:r>
          </w:p>
        </w:tc>
        <w:tc>
          <w:tcPr>
            <w:tcW w:w="1417" w:type="dxa"/>
          </w:tcPr>
          <w:p w14:paraId="4F37E7C0" w14:textId="77777777" w:rsidR="00D25D63" w:rsidRPr="008905D6" w:rsidRDefault="00D25D63" w:rsidP="0030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Numerator df</w:t>
            </w:r>
          </w:p>
        </w:tc>
        <w:tc>
          <w:tcPr>
            <w:tcW w:w="1788" w:type="dxa"/>
          </w:tcPr>
          <w:p w14:paraId="2EC294EE" w14:textId="77777777" w:rsidR="00D25D63" w:rsidRPr="008905D6" w:rsidRDefault="00D25D63" w:rsidP="00301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Denominator df</w:t>
            </w:r>
          </w:p>
        </w:tc>
        <w:tc>
          <w:tcPr>
            <w:tcW w:w="1836" w:type="dxa"/>
          </w:tcPr>
          <w:p w14:paraId="79D842AD" w14:textId="77777777" w:rsidR="00D25D63" w:rsidRPr="008905D6" w:rsidRDefault="00D25D63" w:rsidP="003012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Power (1-</w:t>
            </w:r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β</w:t>
            </w:r>
            <w:r w:rsidRPr="008905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err prob)</w:t>
            </w:r>
          </w:p>
        </w:tc>
      </w:tr>
      <w:tr w:rsidR="00FF3733" w:rsidRPr="008905D6" w14:paraId="28B84539" w14:textId="77777777" w:rsidTr="00D25D63">
        <w:trPr>
          <w:trHeight w:val="335"/>
        </w:trPr>
        <w:tc>
          <w:tcPr>
            <w:tcW w:w="3510" w:type="dxa"/>
          </w:tcPr>
          <w:p w14:paraId="51D8249B" w14:textId="77777777" w:rsidR="00FF3733" w:rsidRPr="008905D6" w:rsidRDefault="00584E1D" w:rsidP="00344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Vertebra</w:t>
            </w:r>
          </w:p>
        </w:tc>
        <w:tc>
          <w:tcPr>
            <w:tcW w:w="1418" w:type="dxa"/>
          </w:tcPr>
          <w:p w14:paraId="6C012DD7" w14:textId="77777777" w:rsidR="00FF3733" w:rsidRPr="008905D6" w:rsidRDefault="00FF3733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4881A7" w14:textId="77777777" w:rsidR="00FF3733" w:rsidRPr="008905D6" w:rsidRDefault="00FF3733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2908C" w14:textId="77777777" w:rsidR="00FF3733" w:rsidRPr="008905D6" w:rsidRDefault="00FF3733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390437F" w14:textId="77777777" w:rsidR="00FF3733" w:rsidRPr="008905D6" w:rsidRDefault="00FF3733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07A23B2" w14:textId="77777777" w:rsidR="00FF3733" w:rsidRPr="008905D6" w:rsidRDefault="00FF3733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733" w:rsidRPr="008905D6" w14:paraId="28D69B12" w14:textId="77777777" w:rsidTr="00D25D63">
        <w:trPr>
          <w:trHeight w:val="335"/>
        </w:trPr>
        <w:tc>
          <w:tcPr>
            <w:tcW w:w="3510" w:type="dxa"/>
          </w:tcPr>
          <w:p w14:paraId="40446237" w14:textId="77777777" w:rsidR="00FF3733" w:rsidRPr="008905D6" w:rsidRDefault="00584E1D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</w:p>
        </w:tc>
        <w:tc>
          <w:tcPr>
            <w:tcW w:w="1418" w:type="dxa"/>
          </w:tcPr>
          <w:p w14:paraId="1A78AEE6" w14:textId="77777777" w:rsidR="00FF3733" w:rsidRPr="00135E50" w:rsidRDefault="00135E50" w:rsidP="00135E50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  <w:t>20.7161044</w:t>
            </w:r>
          </w:p>
        </w:tc>
        <w:tc>
          <w:tcPr>
            <w:tcW w:w="1134" w:type="dxa"/>
          </w:tcPr>
          <w:p w14:paraId="22DA7C02" w14:textId="77777777" w:rsidR="00FF3733" w:rsidRPr="008905D6" w:rsidRDefault="00135E50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32D41306" w14:textId="77777777" w:rsidR="00FF3733" w:rsidRPr="008905D6" w:rsidRDefault="00135E50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0CEA8CCC" w14:textId="77777777" w:rsidR="00FF3733" w:rsidRPr="008905D6" w:rsidRDefault="00135E50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1D2829C1" w14:textId="77777777" w:rsidR="00FF3733" w:rsidRPr="008905D6" w:rsidRDefault="00135E50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  <w:r w:rsidR="002A61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A6112" w:rsidRPr="008905D6" w14:paraId="4598B59E" w14:textId="77777777" w:rsidTr="00D25D63">
        <w:trPr>
          <w:trHeight w:val="335"/>
        </w:trPr>
        <w:tc>
          <w:tcPr>
            <w:tcW w:w="3510" w:type="dxa"/>
          </w:tcPr>
          <w:p w14:paraId="4C07BFBB" w14:textId="77777777" w:rsidR="002A6112" w:rsidRPr="00584E1D" w:rsidRDefault="002A6112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1D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1418" w:type="dxa"/>
          </w:tcPr>
          <w:p w14:paraId="605339A1" w14:textId="77777777" w:rsidR="002A6112" w:rsidRPr="00131631" w:rsidRDefault="002A6112" w:rsidP="00131631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  <w:t>19.3823142</w:t>
            </w:r>
          </w:p>
        </w:tc>
        <w:tc>
          <w:tcPr>
            <w:tcW w:w="1134" w:type="dxa"/>
          </w:tcPr>
          <w:p w14:paraId="73D6C760" w14:textId="77777777" w:rsidR="002A6112" w:rsidRPr="008905D6" w:rsidRDefault="002A6112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11ABB1AD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02CC00CF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6747B933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</w:tr>
      <w:tr w:rsidR="002A6112" w:rsidRPr="008905D6" w14:paraId="5189993A" w14:textId="77777777" w:rsidTr="00D25D63">
        <w:trPr>
          <w:trHeight w:val="335"/>
        </w:trPr>
        <w:tc>
          <w:tcPr>
            <w:tcW w:w="3510" w:type="dxa"/>
          </w:tcPr>
          <w:p w14:paraId="0E7C41F2" w14:textId="77777777" w:rsidR="002A6112" w:rsidRPr="008905D6" w:rsidRDefault="002A6112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418" w:type="dxa"/>
          </w:tcPr>
          <w:p w14:paraId="4FFAA8B2" w14:textId="77777777" w:rsidR="002A6112" w:rsidRPr="002A6112" w:rsidRDefault="002A6112" w:rsidP="002A6112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  <w:t>20.0203189</w:t>
            </w:r>
          </w:p>
        </w:tc>
        <w:tc>
          <w:tcPr>
            <w:tcW w:w="1134" w:type="dxa"/>
          </w:tcPr>
          <w:p w14:paraId="5E268EF3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0846FBC3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26352881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605FAD56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</w:tr>
      <w:tr w:rsidR="005B1519" w:rsidRPr="008905D6" w14:paraId="379C56E6" w14:textId="77777777" w:rsidTr="00D25D63">
        <w:trPr>
          <w:trHeight w:val="335"/>
        </w:trPr>
        <w:tc>
          <w:tcPr>
            <w:tcW w:w="3510" w:type="dxa"/>
          </w:tcPr>
          <w:p w14:paraId="26C82FDF" w14:textId="77777777" w:rsidR="005B1519" w:rsidRPr="00584E1D" w:rsidRDefault="00584E1D" w:rsidP="00344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E1D">
              <w:rPr>
                <w:rFonts w:ascii="Times New Roman" w:hAnsi="Times New Roman" w:cs="Times New Roman"/>
                <w:b/>
                <w:sz w:val="20"/>
                <w:szCs w:val="20"/>
              </w:rPr>
              <w:t>Femur</w:t>
            </w:r>
          </w:p>
        </w:tc>
        <w:tc>
          <w:tcPr>
            <w:tcW w:w="1418" w:type="dxa"/>
          </w:tcPr>
          <w:p w14:paraId="68E143C5" w14:textId="77777777" w:rsidR="005B1519" w:rsidRPr="008905D6" w:rsidRDefault="005B1519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F1BA87" w14:textId="77777777" w:rsidR="005B1519" w:rsidRPr="008905D6" w:rsidRDefault="005B1519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8D9E57" w14:textId="77777777" w:rsidR="005B1519" w:rsidRPr="008905D6" w:rsidRDefault="005B1519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C004C85" w14:textId="77777777" w:rsidR="005B1519" w:rsidRPr="008905D6" w:rsidRDefault="005B1519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28446C8" w14:textId="77777777" w:rsidR="005B1519" w:rsidRPr="008905D6" w:rsidRDefault="005B1519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12" w:rsidRPr="008905D6" w14:paraId="4004749D" w14:textId="77777777" w:rsidTr="00D25D63">
        <w:trPr>
          <w:trHeight w:val="335"/>
        </w:trPr>
        <w:tc>
          <w:tcPr>
            <w:tcW w:w="3510" w:type="dxa"/>
          </w:tcPr>
          <w:p w14:paraId="03BE9325" w14:textId="77777777" w:rsidR="002A6112" w:rsidRPr="008905D6" w:rsidRDefault="002A6112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</w:p>
        </w:tc>
        <w:tc>
          <w:tcPr>
            <w:tcW w:w="1418" w:type="dxa"/>
          </w:tcPr>
          <w:p w14:paraId="411FA0E6" w14:textId="77777777" w:rsidR="002A6112" w:rsidRPr="002A6112" w:rsidRDefault="002A6112" w:rsidP="002A6112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color w:val="000000"/>
                <w:sz w:val="17"/>
                <w:szCs w:val="17"/>
              </w:rPr>
              <w:t>17.6526084</w:t>
            </w:r>
          </w:p>
        </w:tc>
        <w:tc>
          <w:tcPr>
            <w:tcW w:w="1134" w:type="dxa"/>
          </w:tcPr>
          <w:p w14:paraId="756C62B4" w14:textId="77777777" w:rsidR="002A6112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5A139AB6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3D2313C1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05B9B293" w14:textId="77777777" w:rsidR="002A6112" w:rsidRPr="008905D6" w:rsidRDefault="002A6112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0.952</w:t>
            </w:r>
          </w:p>
        </w:tc>
      </w:tr>
      <w:tr w:rsidR="003405D0" w:rsidRPr="008905D6" w14:paraId="76A8C728" w14:textId="77777777" w:rsidTr="00D25D63">
        <w:trPr>
          <w:trHeight w:val="335"/>
        </w:trPr>
        <w:tc>
          <w:tcPr>
            <w:tcW w:w="3510" w:type="dxa"/>
          </w:tcPr>
          <w:p w14:paraId="05FA8241" w14:textId="77777777" w:rsidR="003405D0" w:rsidRPr="00584E1D" w:rsidRDefault="003405D0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</w:p>
        </w:tc>
        <w:tc>
          <w:tcPr>
            <w:tcW w:w="1418" w:type="dxa"/>
          </w:tcPr>
          <w:p w14:paraId="7663BB92" w14:textId="77777777" w:rsidR="003405D0" w:rsidRPr="008905D6" w:rsidRDefault="003405D0" w:rsidP="00301293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17.2947030</w:t>
            </w:r>
          </w:p>
        </w:tc>
        <w:tc>
          <w:tcPr>
            <w:tcW w:w="1134" w:type="dxa"/>
          </w:tcPr>
          <w:p w14:paraId="6B1FC693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3D11DD07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71593779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06B2064F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</w:tr>
      <w:tr w:rsidR="004829A4" w:rsidRPr="008905D6" w14:paraId="6599C6F6" w14:textId="77777777" w:rsidTr="00D25D63">
        <w:trPr>
          <w:trHeight w:val="335"/>
        </w:trPr>
        <w:tc>
          <w:tcPr>
            <w:tcW w:w="3510" w:type="dxa"/>
          </w:tcPr>
          <w:p w14:paraId="43ED4E28" w14:textId="77777777" w:rsidR="004829A4" w:rsidRPr="008905D6" w:rsidRDefault="00584E1D" w:rsidP="00344AE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Tibia</w:t>
            </w:r>
          </w:p>
        </w:tc>
        <w:tc>
          <w:tcPr>
            <w:tcW w:w="1418" w:type="dxa"/>
          </w:tcPr>
          <w:p w14:paraId="01DC1B7E" w14:textId="77777777" w:rsidR="004829A4" w:rsidRPr="008905D6" w:rsidRDefault="004829A4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764C5" w14:textId="77777777" w:rsidR="004829A4" w:rsidRPr="008905D6" w:rsidRDefault="004829A4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81DC05" w14:textId="77777777" w:rsidR="004829A4" w:rsidRPr="008905D6" w:rsidRDefault="004829A4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0E27F5C" w14:textId="77777777" w:rsidR="004829A4" w:rsidRPr="008905D6" w:rsidRDefault="004829A4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C3CDA92" w14:textId="77777777" w:rsidR="004829A4" w:rsidRPr="008905D6" w:rsidRDefault="004829A4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5D0" w:rsidRPr="008905D6" w14:paraId="4C2E3FD9" w14:textId="77777777" w:rsidTr="00D25D63">
        <w:trPr>
          <w:trHeight w:val="335"/>
        </w:trPr>
        <w:tc>
          <w:tcPr>
            <w:tcW w:w="3510" w:type="dxa"/>
          </w:tcPr>
          <w:p w14:paraId="5772C6D9" w14:textId="77777777" w:rsidR="003405D0" w:rsidRPr="00584E1D" w:rsidRDefault="003405D0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E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1418" w:type="dxa"/>
          </w:tcPr>
          <w:p w14:paraId="694359DB" w14:textId="77777777" w:rsidR="003405D0" w:rsidRPr="008905D6" w:rsidRDefault="003405D0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5D0">
              <w:rPr>
                <w:rFonts w:ascii="Times New Roman" w:hAnsi="Times New Roman" w:cs="Times New Roman"/>
                <w:sz w:val="20"/>
                <w:szCs w:val="20"/>
              </w:rPr>
              <w:t>20.4505958</w:t>
            </w:r>
          </w:p>
        </w:tc>
        <w:tc>
          <w:tcPr>
            <w:tcW w:w="1134" w:type="dxa"/>
          </w:tcPr>
          <w:p w14:paraId="57DB1D65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0C0388AE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7E9F3EA5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3E332C10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</w:tr>
      <w:tr w:rsidR="003405D0" w:rsidRPr="008905D6" w14:paraId="5C116ECC" w14:textId="77777777" w:rsidTr="00D25D63">
        <w:trPr>
          <w:trHeight w:val="335"/>
        </w:trPr>
        <w:tc>
          <w:tcPr>
            <w:tcW w:w="3510" w:type="dxa"/>
          </w:tcPr>
          <w:p w14:paraId="25544019" w14:textId="77777777" w:rsidR="003405D0" w:rsidRPr="00584E1D" w:rsidRDefault="003405D0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Intermediate</w:t>
            </w:r>
          </w:p>
        </w:tc>
        <w:tc>
          <w:tcPr>
            <w:tcW w:w="1418" w:type="dxa"/>
          </w:tcPr>
          <w:p w14:paraId="2C2BD7E0" w14:textId="77777777" w:rsidR="003405D0" w:rsidRPr="008905D6" w:rsidRDefault="003405D0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5D0">
              <w:rPr>
                <w:rFonts w:ascii="Times New Roman" w:hAnsi="Times New Roman" w:cs="Times New Roman"/>
                <w:sz w:val="20"/>
                <w:szCs w:val="20"/>
              </w:rPr>
              <w:t>20.5950424</w:t>
            </w:r>
          </w:p>
        </w:tc>
        <w:tc>
          <w:tcPr>
            <w:tcW w:w="1134" w:type="dxa"/>
          </w:tcPr>
          <w:p w14:paraId="29056938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4FA24FB3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20D8755F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2B1B9435" w14:textId="77777777" w:rsidR="003405D0" w:rsidRPr="008905D6" w:rsidRDefault="003405D0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0.966</w:t>
            </w:r>
          </w:p>
        </w:tc>
      </w:tr>
      <w:tr w:rsidR="005D3C4A" w:rsidRPr="008905D6" w14:paraId="572530AA" w14:textId="77777777" w:rsidTr="00D25D63">
        <w:trPr>
          <w:trHeight w:val="335"/>
        </w:trPr>
        <w:tc>
          <w:tcPr>
            <w:tcW w:w="3510" w:type="dxa"/>
          </w:tcPr>
          <w:p w14:paraId="23D47522" w14:textId="77777777" w:rsidR="005D3C4A" w:rsidRPr="00584E1D" w:rsidRDefault="005D3C4A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</w:p>
        </w:tc>
        <w:tc>
          <w:tcPr>
            <w:tcW w:w="1418" w:type="dxa"/>
          </w:tcPr>
          <w:p w14:paraId="289E57D8" w14:textId="77777777" w:rsidR="005D3C4A" w:rsidRPr="008905D6" w:rsidRDefault="005D3C4A" w:rsidP="003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C4A">
              <w:rPr>
                <w:rFonts w:ascii="Times New Roman" w:hAnsi="Times New Roman" w:cs="Times New Roman"/>
                <w:sz w:val="20"/>
                <w:szCs w:val="20"/>
              </w:rPr>
              <w:t>20.8126907</w:t>
            </w:r>
          </w:p>
        </w:tc>
        <w:tc>
          <w:tcPr>
            <w:tcW w:w="1134" w:type="dxa"/>
          </w:tcPr>
          <w:p w14:paraId="5D9CBFAD" w14:textId="77777777" w:rsidR="005D3C4A" w:rsidRPr="008905D6" w:rsidRDefault="005D3C4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417" w:type="dxa"/>
          </w:tcPr>
          <w:p w14:paraId="61723141" w14:textId="77777777" w:rsidR="005D3C4A" w:rsidRPr="008905D6" w:rsidRDefault="005D3C4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</w:tcPr>
          <w:p w14:paraId="74D8698B" w14:textId="77777777" w:rsidR="005D3C4A" w:rsidRPr="008905D6" w:rsidRDefault="005D3C4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6" w:type="dxa"/>
          </w:tcPr>
          <w:p w14:paraId="2D55FF05" w14:textId="77777777" w:rsidR="005D3C4A" w:rsidRPr="008905D6" w:rsidRDefault="005D3C4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0.955</w:t>
            </w:r>
          </w:p>
        </w:tc>
      </w:tr>
    </w:tbl>
    <w:p w14:paraId="48C8DF65" w14:textId="77777777" w:rsidR="00D25D63" w:rsidRDefault="00D25D6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2F0646" w14:textId="77777777" w:rsidR="00D25D63" w:rsidRDefault="00D25D6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108A70" w14:textId="77777777" w:rsidR="009421D9" w:rsidRPr="00182739" w:rsidRDefault="009421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739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459BD0D1" w14:textId="77777777" w:rsidR="009421D9" w:rsidRPr="00D25D63" w:rsidRDefault="009421D9" w:rsidP="00A77862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82739">
        <w:rPr>
          <w:rFonts w:ascii="Times New Roman" w:hAnsi="Times New Roman" w:cs="Times New Roman"/>
          <w:sz w:val="24"/>
          <w:szCs w:val="24"/>
        </w:rPr>
        <w:fldChar w:fldCharType="begin"/>
      </w:r>
      <w:r w:rsidRPr="00182739">
        <w:rPr>
          <w:rFonts w:ascii="Times New Roman" w:hAnsi="Times New Roman" w:cs="Times New Roman"/>
          <w:sz w:val="24"/>
          <w:szCs w:val="24"/>
          <w:lang w:val="en-US"/>
        </w:rPr>
        <w:instrText xml:space="preserve"> ADDIN EN.REFLIST </w:instrText>
      </w:r>
      <w:r w:rsidRPr="00182739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ENREF_1"/>
      <w:r w:rsidRPr="00182739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1.</w:t>
      </w:r>
      <w:r w:rsidRPr="00182739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25D6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Beck TW. The importance of a priori sample size estimation in strength and conditioning research. </w:t>
      </w:r>
      <w:r w:rsidRPr="004D621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 Strength Cond Res</w:t>
      </w:r>
      <w:r w:rsidRPr="00D25D63">
        <w:rPr>
          <w:rFonts w:ascii="Times New Roman" w:hAnsi="Times New Roman" w:cs="Times New Roman"/>
          <w:noProof/>
          <w:sz w:val="24"/>
          <w:szCs w:val="24"/>
          <w:lang w:val="en-US"/>
        </w:rPr>
        <w:t>. Aug 2013;27(8):2323-2337.</w:t>
      </w:r>
      <w:bookmarkEnd w:id="0"/>
    </w:p>
    <w:p w14:paraId="05A6AB96" w14:textId="77777777" w:rsidR="00A77862" w:rsidRPr="00D25D63" w:rsidRDefault="00A77862" w:rsidP="00A77862">
      <w:pPr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6113BCF" w14:textId="77777777" w:rsidR="009421D9" w:rsidRPr="00D25D63" w:rsidRDefault="009421D9" w:rsidP="00A77862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1" w:name="_ENREF_2"/>
      <w:r w:rsidRPr="00D25D6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2.</w:t>
      </w:r>
      <w:r w:rsidRPr="00D25D63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Faul F, Erdfelder E, Lang AG, Buchner A. G*Power 3: a flexible statistical power analysis program for the social, behavioral, and biomedical sciences. </w:t>
      </w:r>
      <w:r w:rsidRPr="004D621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Behav Res Methods</w:t>
      </w:r>
      <w:r w:rsidRPr="00D25D63">
        <w:rPr>
          <w:rFonts w:ascii="Times New Roman" w:hAnsi="Times New Roman" w:cs="Times New Roman"/>
          <w:noProof/>
          <w:sz w:val="24"/>
          <w:szCs w:val="24"/>
          <w:lang w:val="en-US"/>
        </w:rPr>
        <w:t>. May 2007;39(2):175-191.</w:t>
      </w:r>
      <w:bookmarkEnd w:id="1"/>
    </w:p>
    <w:p w14:paraId="3E305562" w14:textId="77777777" w:rsidR="009421D9" w:rsidRPr="00182739" w:rsidRDefault="009421D9" w:rsidP="00A77862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14:paraId="5F485AA1" w14:textId="77777777" w:rsidR="00344AEA" w:rsidRDefault="009421D9" w:rsidP="00344AEA">
      <w:pPr>
        <w:rPr>
          <w:rFonts w:ascii="Times New Roman" w:hAnsi="Times New Roman" w:cs="Times New Roman"/>
          <w:sz w:val="24"/>
          <w:szCs w:val="24"/>
        </w:rPr>
      </w:pPr>
      <w:r w:rsidRPr="0018273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C9BE02" w14:textId="52C47B33" w:rsidR="00344AEA" w:rsidRPr="007A3537" w:rsidRDefault="00344AEA" w:rsidP="00344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4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62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AA04E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4D621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A3537">
        <w:rPr>
          <w:rFonts w:ascii="Times New Roman" w:hAnsi="Times New Roman" w:cs="Times New Roman"/>
          <w:sz w:val="24"/>
          <w:szCs w:val="24"/>
          <w:lang w:val="en-US"/>
        </w:rPr>
        <w:t>Description of the p-values of factors (diet and training) and interaction</w:t>
      </w:r>
    </w:p>
    <w:tbl>
      <w:tblPr>
        <w:tblStyle w:val="TableGrid"/>
        <w:tblW w:w="74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134"/>
        <w:gridCol w:w="1417"/>
      </w:tblGrid>
      <w:tr w:rsidR="00344AEA" w:rsidRPr="003613A2" w14:paraId="355AE8D6" w14:textId="77777777" w:rsidTr="00344AEA">
        <w:trPr>
          <w:trHeight w:val="632"/>
        </w:trPr>
        <w:tc>
          <w:tcPr>
            <w:tcW w:w="3510" w:type="dxa"/>
          </w:tcPr>
          <w:p w14:paraId="578B45AA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14FC7D2D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613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Anova</w:t>
            </w:r>
            <w:proofErr w:type="spellEnd"/>
            <w:r w:rsidRPr="003613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Two-way </w:t>
            </w:r>
            <w:proofErr w:type="spellStart"/>
            <w:r w:rsidRPr="003613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indepedent</w:t>
            </w:r>
            <w:proofErr w:type="spellEnd"/>
          </w:p>
        </w:tc>
      </w:tr>
      <w:tr w:rsidR="00344AEA" w:rsidRPr="003613A2" w14:paraId="20E92BF7" w14:textId="77777777" w:rsidTr="00344AEA">
        <w:trPr>
          <w:trHeight w:val="335"/>
        </w:trPr>
        <w:tc>
          <w:tcPr>
            <w:tcW w:w="3510" w:type="dxa"/>
          </w:tcPr>
          <w:p w14:paraId="7BA32A23" w14:textId="77777777" w:rsidR="00344AEA" w:rsidRPr="003613A2" w:rsidRDefault="00344AEA" w:rsidP="00344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D947D19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b/>
                <w:sz w:val="20"/>
                <w:szCs w:val="20"/>
              </w:rPr>
              <w:t>Main effects</w:t>
            </w:r>
          </w:p>
        </w:tc>
        <w:tc>
          <w:tcPr>
            <w:tcW w:w="1417" w:type="dxa"/>
          </w:tcPr>
          <w:p w14:paraId="048FEFA4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EA" w:rsidRPr="003613A2" w14:paraId="58086361" w14:textId="77777777" w:rsidTr="00344AEA">
        <w:trPr>
          <w:trHeight w:val="335"/>
        </w:trPr>
        <w:tc>
          <w:tcPr>
            <w:tcW w:w="3510" w:type="dxa"/>
          </w:tcPr>
          <w:p w14:paraId="2C485DDA" w14:textId="77777777" w:rsidR="00344AEA" w:rsidRPr="003613A2" w:rsidRDefault="00344AEA" w:rsidP="00344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533BB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 xml:space="preserve">P-value </w:t>
            </w:r>
          </w:p>
          <w:p w14:paraId="4CDE8E56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(aging fator)</w:t>
            </w:r>
          </w:p>
        </w:tc>
        <w:tc>
          <w:tcPr>
            <w:tcW w:w="1134" w:type="dxa"/>
          </w:tcPr>
          <w:p w14:paraId="11074765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P-value (exercice)</w:t>
            </w:r>
          </w:p>
        </w:tc>
        <w:tc>
          <w:tcPr>
            <w:tcW w:w="1417" w:type="dxa"/>
          </w:tcPr>
          <w:p w14:paraId="5F4AB279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  <w:p w14:paraId="4FADC26B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(Interaction)</w:t>
            </w:r>
          </w:p>
        </w:tc>
      </w:tr>
      <w:tr w:rsidR="00344AEA" w:rsidRPr="003613A2" w14:paraId="6670B42B" w14:textId="77777777" w:rsidTr="00344AEA">
        <w:trPr>
          <w:trHeight w:val="335"/>
        </w:trPr>
        <w:tc>
          <w:tcPr>
            <w:tcW w:w="3510" w:type="dxa"/>
          </w:tcPr>
          <w:p w14:paraId="54D95847" w14:textId="77777777" w:rsidR="00344AEA" w:rsidRPr="003613A2" w:rsidRDefault="00344AEA" w:rsidP="00344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b/>
                <w:sz w:val="20"/>
                <w:szCs w:val="20"/>
              </w:rPr>
              <w:t>Vertebra</w:t>
            </w:r>
          </w:p>
        </w:tc>
        <w:tc>
          <w:tcPr>
            <w:tcW w:w="1418" w:type="dxa"/>
          </w:tcPr>
          <w:p w14:paraId="311C860B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F1D34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201920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EA" w:rsidRPr="003613A2" w14:paraId="2EFC0508" w14:textId="77777777" w:rsidTr="00344AEA">
        <w:trPr>
          <w:trHeight w:val="335"/>
        </w:trPr>
        <w:tc>
          <w:tcPr>
            <w:tcW w:w="3510" w:type="dxa"/>
          </w:tcPr>
          <w:p w14:paraId="0CBCC3C5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</w:p>
        </w:tc>
        <w:tc>
          <w:tcPr>
            <w:tcW w:w="1418" w:type="dxa"/>
          </w:tcPr>
          <w:p w14:paraId="40AF107E" w14:textId="77777777" w:rsidR="00344AEA" w:rsidRPr="003613A2" w:rsidRDefault="00344AEA" w:rsidP="00344AEA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.336</w:t>
            </w:r>
          </w:p>
        </w:tc>
        <w:tc>
          <w:tcPr>
            <w:tcW w:w="1134" w:type="dxa"/>
          </w:tcPr>
          <w:p w14:paraId="171886E5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17" w:type="dxa"/>
          </w:tcPr>
          <w:p w14:paraId="22FBBFDB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</w:tr>
      <w:tr w:rsidR="00344AEA" w:rsidRPr="003613A2" w14:paraId="4CAD8621" w14:textId="77777777" w:rsidTr="00344AEA">
        <w:trPr>
          <w:trHeight w:val="335"/>
        </w:trPr>
        <w:tc>
          <w:tcPr>
            <w:tcW w:w="3510" w:type="dxa"/>
          </w:tcPr>
          <w:p w14:paraId="1559E0E5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1418" w:type="dxa"/>
          </w:tcPr>
          <w:p w14:paraId="341574A1" w14:textId="77777777" w:rsidR="00344AEA" w:rsidRPr="003613A2" w:rsidRDefault="00344AEA" w:rsidP="00344AEA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1134" w:type="dxa"/>
          </w:tcPr>
          <w:p w14:paraId="36280A3F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.083</w:t>
            </w:r>
          </w:p>
        </w:tc>
        <w:tc>
          <w:tcPr>
            <w:tcW w:w="1417" w:type="dxa"/>
          </w:tcPr>
          <w:p w14:paraId="391DF0D9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.124</w:t>
            </w:r>
          </w:p>
        </w:tc>
      </w:tr>
      <w:tr w:rsidR="00344AEA" w:rsidRPr="003613A2" w14:paraId="362D8EE8" w14:textId="77777777" w:rsidTr="00344AEA">
        <w:trPr>
          <w:trHeight w:val="335"/>
        </w:trPr>
        <w:tc>
          <w:tcPr>
            <w:tcW w:w="3510" w:type="dxa"/>
          </w:tcPr>
          <w:p w14:paraId="37FF7CE6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418" w:type="dxa"/>
          </w:tcPr>
          <w:p w14:paraId="5F676662" w14:textId="77777777" w:rsidR="00344AEA" w:rsidRPr="003613A2" w:rsidRDefault="00344AEA" w:rsidP="00344AEA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.327</w:t>
            </w:r>
          </w:p>
        </w:tc>
        <w:tc>
          <w:tcPr>
            <w:tcW w:w="1134" w:type="dxa"/>
          </w:tcPr>
          <w:p w14:paraId="1CCFADD9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17" w:type="dxa"/>
          </w:tcPr>
          <w:p w14:paraId="664D150D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.023</w:t>
            </w:r>
          </w:p>
        </w:tc>
      </w:tr>
      <w:tr w:rsidR="00344AEA" w:rsidRPr="003613A2" w14:paraId="438270AF" w14:textId="77777777" w:rsidTr="00344AEA">
        <w:trPr>
          <w:trHeight w:val="335"/>
        </w:trPr>
        <w:tc>
          <w:tcPr>
            <w:tcW w:w="3510" w:type="dxa"/>
          </w:tcPr>
          <w:p w14:paraId="0CD02570" w14:textId="77777777" w:rsidR="00344AEA" w:rsidRPr="003613A2" w:rsidRDefault="00344AEA" w:rsidP="00344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b/>
                <w:sz w:val="20"/>
                <w:szCs w:val="20"/>
              </w:rPr>
              <w:t>Femur</w:t>
            </w:r>
          </w:p>
        </w:tc>
        <w:tc>
          <w:tcPr>
            <w:tcW w:w="1418" w:type="dxa"/>
          </w:tcPr>
          <w:p w14:paraId="2838F449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0049A5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61077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EA" w:rsidRPr="003613A2" w14:paraId="444D0C86" w14:textId="77777777" w:rsidTr="00344AEA">
        <w:trPr>
          <w:trHeight w:val="335"/>
        </w:trPr>
        <w:tc>
          <w:tcPr>
            <w:tcW w:w="3510" w:type="dxa"/>
          </w:tcPr>
          <w:p w14:paraId="7E29C00A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</w:p>
        </w:tc>
        <w:tc>
          <w:tcPr>
            <w:tcW w:w="1418" w:type="dxa"/>
          </w:tcPr>
          <w:p w14:paraId="22B93100" w14:textId="77777777" w:rsidR="00344AEA" w:rsidRPr="003613A2" w:rsidRDefault="00344AEA" w:rsidP="00344AEA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.517</w:t>
            </w:r>
          </w:p>
        </w:tc>
        <w:tc>
          <w:tcPr>
            <w:tcW w:w="1134" w:type="dxa"/>
          </w:tcPr>
          <w:p w14:paraId="3599A019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.662</w:t>
            </w:r>
          </w:p>
        </w:tc>
        <w:tc>
          <w:tcPr>
            <w:tcW w:w="1417" w:type="dxa"/>
          </w:tcPr>
          <w:p w14:paraId="619FA36A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.576</w:t>
            </w:r>
          </w:p>
        </w:tc>
      </w:tr>
      <w:tr w:rsidR="00344AEA" w:rsidRPr="003613A2" w14:paraId="21046AF7" w14:textId="77777777" w:rsidTr="00344AEA">
        <w:trPr>
          <w:trHeight w:val="335"/>
        </w:trPr>
        <w:tc>
          <w:tcPr>
            <w:tcW w:w="3510" w:type="dxa"/>
          </w:tcPr>
          <w:p w14:paraId="5AE6438D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</w:p>
        </w:tc>
        <w:tc>
          <w:tcPr>
            <w:tcW w:w="1418" w:type="dxa"/>
          </w:tcPr>
          <w:p w14:paraId="4EBA4E04" w14:textId="77777777" w:rsidR="00344AEA" w:rsidRPr="003613A2" w:rsidRDefault="00344AEA" w:rsidP="00344AEA">
            <w:pPr>
              <w:tabs>
                <w:tab w:val="left" w:pos="1134"/>
                <w:tab w:val="left" w:pos="3969"/>
                <w:tab w:val="left" w:pos="4252"/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.699</w:t>
            </w:r>
          </w:p>
        </w:tc>
        <w:tc>
          <w:tcPr>
            <w:tcW w:w="1134" w:type="dxa"/>
          </w:tcPr>
          <w:p w14:paraId="5C4FC877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.698</w:t>
            </w:r>
          </w:p>
        </w:tc>
        <w:tc>
          <w:tcPr>
            <w:tcW w:w="1417" w:type="dxa"/>
          </w:tcPr>
          <w:p w14:paraId="7BCA7556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.944</w:t>
            </w:r>
          </w:p>
        </w:tc>
      </w:tr>
      <w:tr w:rsidR="00344AEA" w:rsidRPr="003613A2" w14:paraId="07AF1625" w14:textId="77777777" w:rsidTr="00344AEA">
        <w:trPr>
          <w:trHeight w:val="335"/>
        </w:trPr>
        <w:tc>
          <w:tcPr>
            <w:tcW w:w="3510" w:type="dxa"/>
          </w:tcPr>
          <w:p w14:paraId="41884FFC" w14:textId="77777777" w:rsidR="00344AEA" w:rsidRPr="003613A2" w:rsidRDefault="00344AEA" w:rsidP="00344AE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13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Tibia</w:t>
            </w:r>
          </w:p>
        </w:tc>
        <w:tc>
          <w:tcPr>
            <w:tcW w:w="1418" w:type="dxa"/>
          </w:tcPr>
          <w:p w14:paraId="2571509D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2E5741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D5FF47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EA" w:rsidRPr="003613A2" w14:paraId="4EA38C27" w14:textId="77777777" w:rsidTr="00344AEA">
        <w:trPr>
          <w:trHeight w:val="335"/>
        </w:trPr>
        <w:tc>
          <w:tcPr>
            <w:tcW w:w="3510" w:type="dxa"/>
          </w:tcPr>
          <w:p w14:paraId="62F14AA1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1418" w:type="dxa"/>
          </w:tcPr>
          <w:p w14:paraId="5DC8DD60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134" w:type="dxa"/>
          </w:tcPr>
          <w:p w14:paraId="7DE19260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1417" w:type="dxa"/>
          </w:tcPr>
          <w:p w14:paraId="51B9594C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.466</w:t>
            </w:r>
          </w:p>
        </w:tc>
      </w:tr>
      <w:tr w:rsidR="00344AEA" w:rsidRPr="003613A2" w14:paraId="34397338" w14:textId="77777777" w:rsidTr="00344AEA">
        <w:trPr>
          <w:trHeight w:val="335"/>
        </w:trPr>
        <w:tc>
          <w:tcPr>
            <w:tcW w:w="3510" w:type="dxa"/>
          </w:tcPr>
          <w:p w14:paraId="7344A24F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Intermediate</w:t>
            </w:r>
          </w:p>
        </w:tc>
        <w:tc>
          <w:tcPr>
            <w:tcW w:w="1418" w:type="dxa"/>
          </w:tcPr>
          <w:p w14:paraId="2B13B15A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0072</w:t>
            </w:r>
          </w:p>
        </w:tc>
        <w:tc>
          <w:tcPr>
            <w:tcW w:w="1134" w:type="dxa"/>
          </w:tcPr>
          <w:p w14:paraId="2D879EE4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  <w:tc>
          <w:tcPr>
            <w:tcW w:w="1417" w:type="dxa"/>
          </w:tcPr>
          <w:p w14:paraId="46E75876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.115</w:t>
            </w:r>
          </w:p>
        </w:tc>
      </w:tr>
      <w:tr w:rsidR="00344AEA" w:rsidRPr="003613A2" w14:paraId="793BFD69" w14:textId="77777777" w:rsidTr="00344AEA">
        <w:trPr>
          <w:trHeight w:val="335"/>
        </w:trPr>
        <w:tc>
          <w:tcPr>
            <w:tcW w:w="3510" w:type="dxa"/>
          </w:tcPr>
          <w:p w14:paraId="1B0608B5" w14:textId="77777777" w:rsidR="00344AEA" w:rsidRPr="003613A2" w:rsidRDefault="00344AEA" w:rsidP="00344A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</w:p>
        </w:tc>
        <w:tc>
          <w:tcPr>
            <w:tcW w:w="1418" w:type="dxa"/>
          </w:tcPr>
          <w:p w14:paraId="5188C7AB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134" w:type="dxa"/>
          </w:tcPr>
          <w:p w14:paraId="0760C2A4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17" w:type="dxa"/>
          </w:tcPr>
          <w:p w14:paraId="2617C70D" w14:textId="77777777" w:rsidR="00344AEA" w:rsidRPr="003613A2" w:rsidRDefault="00344AEA" w:rsidP="00344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.127</w:t>
            </w:r>
          </w:p>
        </w:tc>
      </w:tr>
    </w:tbl>
    <w:p w14:paraId="0D758E1F" w14:textId="77777777" w:rsidR="00344AEA" w:rsidRPr="00182739" w:rsidRDefault="00344AEA" w:rsidP="00344AE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DA012B" w14:textId="77777777" w:rsidR="00344AEA" w:rsidRDefault="00344AEA" w:rsidP="00344AE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6BBA84" w14:textId="77777777" w:rsidR="00A505EC" w:rsidRPr="009421D9" w:rsidRDefault="00A505EC">
      <w:pPr>
        <w:rPr>
          <w:rFonts w:ascii="Times New Roman" w:hAnsi="Times New Roman" w:cs="Times New Roman"/>
          <w:sz w:val="24"/>
          <w:szCs w:val="24"/>
        </w:rPr>
      </w:pPr>
    </w:p>
    <w:sectPr w:rsidR="00A505EC" w:rsidRPr="009421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ft05a2pkfzrfzes2f6vewxlzw0p25r5x20p&quot;&gt;My EndNote Library&lt;record-ids&gt;&lt;item&gt;91&lt;/item&gt;&lt;item&gt;92&lt;/item&gt;&lt;/record-ids&gt;&lt;/item&gt;&lt;/Libraries&gt;"/>
  </w:docVars>
  <w:rsids>
    <w:rsidRoot w:val="00A505EC"/>
    <w:rsid w:val="00000ED8"/>
    <w:rsid w:val="00053F6C"/>
    <w:rsid w:val="000A726A"/>
    <w:rsid w:val="000C1FE8"/>
    <w:rsid w:val="00131631"/>
    <w:rsid w:val="001356EE"/>
    <w:rsid w:val="00135E50"/>
    <w:rsid w:val="00146583"/>
    <w:rsid w:val="00182739"/>
    <w:rsid w:val="001833E5"/>
    <w:rsid w:val="00295CE0"/>
    <w:rsid w:val="002A51A2"/>
    <w:rsid w:val="002A6112"/>
    <w:rsid w:val="002E2951"/>
    <w:rsid w:val="00301293"/>
    <w:rsid w:val="003373F5"/>
    <w:rsid w:val="003405D0"/>
    <w:rsid w:val="00341F12"/>
    <w:rsid w:val="00344AEA"/>
    <w:rsid w:val="003613A2"/>
    <w:rsid w:val="003E19C4"/>
    <w:rsid w:val="004241C9"/>
    <w:rsid w:val="00455864"/>
    <w:rsid w:val="004829A4"/>
    <w:rsid w:val="004D621D"/>
    <w:rsid w:val="00521F5D"/>
    <w:rsid w:val="00537AF7"/>
    <w:rsid w:val="00574AB9"/>
    <w:rsid w:val="00584E1D"/>
    <w:rsid w:val="00593FFB"/>
    <w:rsid w:val="005B1519"/>
    <w:rsid w:val="005D3C4A"/>
    <w:rsid w:val="006C3FE7"/>
    <w:rsid w:val="007307DB"/>
    <w:rsid w:val="007855F2"/>
    <w:rsid w:val="007A3537"/>
    <w:rsid w:val="007C2C71"/>
    <w:rsid w:val="007C53DD"/>
    <w:rsid w:val="00877220"/>
    <w:rsid w:val="00885045"/>
    <w:rsid w:val="008905D6"/>
    <w:rsid w:val="0089398B"/>
    <w:rsid w:val="009056EB"/>
    <w:rsid w:val="009421D9"/>
    <w:rsid w:val="00A05251"/>
    <w:rsid w:val="00A0596A"/>
    <w:rsid w:val="00A1009E"/>
    <w:rsid w:val="00A505EC"/>
    <w:rsid w:val="00A77862"/>
    <w:rsid w:val="00AA04E5"/>
    <w:rsid w:val="00AA2A77"/>
    <w:rsid w:val="00B13804"/>
    <w:rsid w:val="00BB6FD4"/>
    <w:rsid w:val="00BF5054"/>
    <w:rsid w:val="00CB46EA"/>
    <w:rsid w:val="00CB470E"/>
    <w:rsid w:val="00CD10D2"/>
    <w:rsid w:val="00D010BD"/>
    <w:rsid w:val="00D25D63"/>
    <w:rsid w:val="00D61061"/>
    <w:rsid w:val="00DA3B77"/>
    <w:rsid w:val="00DA60E0"/>
    <w:rsid w:val="00E06E7E"/>
    <w:rsid w:val="00E21894"/>
    <w:rsid w:val="00EE5C37"/>
    <w:rsid w:val="00EF2059"/>
    <w:rsid w:val="00EF38B3"/>
    <w:rsid w:val="00F30E21"/>
    <w:rsid w:val="00F73322"/>
    <w:rsid w:val="00F861FA"/>
    <w:rsid w:val="00FF3733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10F7"/>
  <w15:docId w15:val="{D8DC850F-39AE-4519-A3DC-78A779DB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1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6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E7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7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7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2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0E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Dahan Cunha Nascimento</dc:creator>
  <cp:lastModifiedBy>Mel Phimester</cp:lastModifiedBy>
  <cp:revision>2</cp:revision>
  <cp:lastPrinted>2020-06-06T15:07:00Z</cp:lastPrinted>
  <dcterms:created xsi:type="dcterms:W3CDTF">2020-10-06T05:15:00Z</dcterms:created>
  <dcterms:modified xsi:type="dcterms:W3CDTF">2020-10-06T05:15:00Z</dcterms:modified>
</cp:coreProperties>
</file>