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6265F3" w14:textId="77777777" w:rsidR="00190F39" w:rsidRPr="00317B70" w:rsidRDefault="00DC51D0">
      <w:pPr>
        <w:rPr>
          <w:b/>
          <w:sz w:val="28"/>
          <w:szCs w:val="28"/>
        </w:rPr>
      </w:pPr>
      <w:r w:rsidRPr="00317B70">
        <w:rPr>
          <w:b/>
          <w:sz w:val="28"/>
          <w:szCs w:val="28"/>
        </w:rPr>
        <w:t>Supporting Information</w:t>
      </w:r>
    </w:p>
    <w:p w14:paraId="69EDFE68" w14:textId="77777777" w:rsidR="00DC51D0" w:rsidRPr="00317B70" w:rsidRDefault="00DC51D0">
      <w:pPr>
        <w:rPr>
          <w:b/>
          <w:sz w:val="28"/>
          <w:szCs w:val="28"/>
        </w:rPr>
      </w:pPr>
    </w:p>
    <w:p w14:paraId="6A45C188" w14:textId="77777777" w:rsidR="00DC51D0" w:rsidRPr="00962476" w:rsidRDefault="00DC51D0" w:rsidP="00DC51D0">
      <w:pPr>
        <w:rPr>
          <w:b/>
          <w:sz w:val="22"/>
        </w:rPr>
      </w:pPr>
      <w:r w:rsidRPr="00962476">
        <w:rPr>
          <w:b/>
          <w:sz w:val="22"/>
        </w:rPr>
        <w:t>Host immun</w:t>
      </w:r>
      <w:r w:rsidR="009C15CA" w:rsidRPr="00962476">
        <w:rPr>
          <w:b/>
          <w:sz w:val="22"/>
        </w:rPr>
        <w:t>e</w:t>
      </w:r>
      <w:r w:rsidRPr="00962476">
        <w:rPr>
          <w:b/>
          <w:sz w:val="22"/>
        </w:rPr>
        <w:t xml:space="preserve"> respon</w:t>
      </w:r>
      <w:r w:rsidR="009C15CA" w:rsidRPr="00962476">
        <w:rPr>
          <w:b/>
          <w:sz w:val="22"/>
        </w:rPr>
        <w:t>se</w:t>
      </w:r>
      <w:r w:rsidRPr="00962476">
        <w:rPr>
          <w:b/>
          <w:sz w:val="22"/>
        </w:rPr>
        <w:t xml:space="preserve"> triggered by </w:t>
      </w:r>
      <w:r w:rsidRPr="00962476">
        <w:rPr>
          <w:rFonts w:hint="eastAsia"/>
          <w:b/>
          <w:sz w:val="22"/>
        </w:rPr>
        <w:t>Graphene</w:t>
      </w:r>
      <w:r w:rsidRPr="00962476">
        <w:rPr>
          <w:b/>
          <w:sz w:val="22"/>
        </w:rPr>
        <w:t xml:space="preserve"> </w:t>
      </w:r>
      <w:r w:rsidRPr="00962476">
        <w:rPr>
          <w:rFonts w:hint="eastAsia"/>
          <w:b/>
          <w:sz w:val="22"/>
        </w:rPr>
        <w:t>quantum</w:t>
      </w:r>
      <w:r w:rsidR="009C15CA" w:rsidRPr="00962476">
        <w:rPr>
          <w:b/>
          <w:sz w:val="22"/>
        </w:rPr>
        <w:t>-</w:t>
      </w:r>
      <w:r w:rsidRPr="00962476">
        <w:rPr>
          <w:rFonts w:hint="eastAsia"/>
          <w:b/>
          <w:sz w:val="22"/>
        </w:rPr>
        <w:t>dot-</w:t>
      </w:r>
      <w:r w:rsidRPr="00962476">
        <w:rPr>
          <w:b/>
          <w:sz w:val="22"/>
        </w:rPr>
        <w:t xml:space="preserve">mediated </w:t>
      </w:r>
      <w:r w:rsidRPr="00962476">
        <w:rPr>
          <w:rFonts w:hint="eastAsia"/>
          <w:b/>
          <w:sz w:val="22"/>
        </w:rPr>
        <w:t>photo</w:t>
      </w:r>
      <w:r w:rsidRPr="00962476">
        <w:rPr>
          <w:b/>
          <w:sz w:val="22"/>
        </w:rPr>
        <w:t xml:space="preserve">dynamic therapy </w:t>
      </w:r>
      <w:r w:rsidRPr="00962476">
        <w:rPr>
          <w:rFonts w:hint="eastAsia"/>
          <w:b/>
          <w:sz w:val="22"/>
        </w:rPr>
        <w:t>for</w:t>
      </w:r>
      <w:r w:rsidRPr="00962476">
        <w:rPr>
          <w:b/>
          <w:sz w:val="22"/>
        </w:rPr>
        <w:t xml:space="preserve"> oral squamous cell carcinoma</w:t>
      </w:r>
    </w:p>
    <w:p w14:paraId="0BEC3088" w14:textId="77777777" w:rsidR="00962476" w:rsidRDefault="00962476" w:rsidP="00881390">
      <w:pPr>
        <w:rPr>
          <w:rFonts w:ascii="Times New Roman" w:hAnsi="Times New Roman" w:cs="Times New Roman"/>
          <w:szCs w:val="21"/>
        </w:rPr>
      </w:pPr>
    </w:p>
    <w:p w14:paraId="58034E54" w14:textId="225E04D5" w:rsidR="009C15CA" w:rsidRPr="00317B70" w:rsidRDefault="00881390" w:rsidP="00881390">
      <w:pPr>
        <w:rPr>
          <w:rFonts w:ascii="Times New Roman" w:hAnsi="Times New Roman" w:cs="Times New Roman"/>
          <w:szCs w:val="21"/>
          <w:vertAlign w:val="superscript"/>
        </w:rPr>
      </w:pPr>
      <w:proofErr w:type="spellStart"/>
      <w:r w:rsidRPr="00317B70">
        <w:rPr>
          <w:rFonts w:ascii="Times New Roman" w:hAnsi="Times New Roman" w:cs="Times New Roman"/>
          <w:szCs w:val="21"/>
        </w:rPr>
        <w:t>Xiliu</w:t>
      </w:r>
      <w:proofErr w:type="spellEnd"/>
      <w:r w:rsidRPr="00317B70">
        <w:rPr>
          <w:rFonts w:ascii="Times New Roman" w:hAnsi="Times New Roman" w:cs="Times New Roman"/>
          <w:szCs w:val="21"/>
        </w:rPr>
        <w:t xml:space="preserve"> Zhang</w:t>
      </w:r>
      <w:r w:rsidRPr="00317B70">
        <w:rPr>
          <w:rFonts w:ascii="Times New Roman" w:hAnsi="Times New Roman" w:cs="Times New Roman"/>
          <w:szCs w:val="21"/>
          <w:vertAlign w:val="superscript"/>
        </w:rPr>
        <w:t>1</w:t>
      </w:r>
    </w:p>
    <w:p w14:paraId="11E0CFF3" w14:textId="77777777" w:rsidR="009C15CA" w:rsidRPr="00317B70" w:rsidRDefault="00881390" w:rsidP="00881390">
      <w:pPr>
        <w:rPr>
          <w:rFonts w:ascii="Times New Roman" w:hAnsi="Times New Roman" w:cs="Times New Roman"/>
          <w:szCs w:val="21"/>
        </w:rPr>
      </w:pPr>
      <w:proofErr w:type="spellStart"/>
      <w:r w:rsidRPr="00317B70">
        <w:rPr>
          <w:rFonts w:ascii="Times New Roman" w:hAnsi="Times New Roman" w:cs="Times New Roman"/>
          <w:szCs w:val="21"/>
        </w:rPr>
        <w:t>Hongyu</w:t>
      </w:r>
      <w:proofErr w:type="spellEnd"/>
      <w:r w:rsidRPr="00317B70">
        <w:rPr>
          <w:rFonts w:ascii="Times New Roman" w:hAnsi="Times New Roman" w:cs="Times New Roman"/>
          <w:szCs w:val="21"/>
        </w:rPr>
        <w:t xml:space="preserve"> Li</w:t>
      </w:r>
      <w:proofErr w:type="gramStart"/>
      <w:r w:rsidRPr="00317B70">
        <w:rPr>
          <w:rFonts w:ascii="Times New Roman" w:hAnsi="Times New Roman" w:cs="Times New Roman"/>
          <w:szCs w:val="21"/>
          <w:vertAlign w:val="superscript"/>
        </w:rPr>
        <w:t>1,</w:t>
      </w:r>
      <w:r w:rsidRPr="00317B70">
        <w:rPr>
          <w:rFonts w:ascii="Times New Roman" w:hAnsi="Times New Roman" w:cs="Times New Roman"/>
          <w:szCs w:val="21"/>
        </w:rPr>
        <w:t>*</w:t>
      </w:r>
      <w:proofErr w:type="gramEnd"/>
    </w:p>
    <w:p w14:paraId="7896522C" w14:textId="77777777" w:rsidR="009C15CA" w:rsidRPr="00317B70" w:rsidRDefault="00881390" w:rsidP="00881390">
      <w:pPr>
        <w:rPr>
          <w:rFonts w:ascii="Times New Roman" w:hAnsi="Times New Roman" w:cs="Times New Roman"/>
          <w:szCs w:val="21"/>
        </w:rPr>
      </w:pPr>
      <w:r w:rsidRPr="00317B70">
        <w:rPr>
          <w:rFonts w:ascii="Times New Roman" w:hAnsi="Times New Roman" w:cs="Times New Roman"/>
          <w:szCs w:val="21"/>
        </w:rPr>
        <w:t>Chen Yi</w:t>
      </w:r>
      <w:proofErr w:type="gramStart"/>
      <w:r w:rsidRPr="00317B70">
        <w:rPr>
          <w:rFonts w:ascii="Times New Roman" w:hAnsi="Times New Roman" w:cs="Times New Roman"/>
          <w:szCs w:val="21"/>
          <w:vertAlign w:val="superscript"/>
        </w:rPr>
        <w:t>1,</w:t>
      </w:r>
      <w:r w:rsidRPr="00317B70">
        <w:rPr>
          <w:rFonts w:ascii="Times New Roman" w:hAnsi="Times New Roman" w:cs="Times New Roman"/>
          <w:szCs w:val="21"/>
        </w:rPr>
        <w:t>*</w:t>
      </w:r>
      <w:proofErr w:type="gramEnd"/>
    </w:p>
    <w:p w14:paraId="39DB6B54" w14:textId="77777777" w:rsidR="009C15CA" w:rsidRPr="00317B70" w:rsidRDefault="00881390" w:rsidP="00881390">
      <w:pPr>
        <w:rPr>
          <w:rFonts w:ascii="Times New Roman" w:hAnsi="Times New Roman" w:cs="Times New Roman"/>
          <w:szCs w:val="21"/>
          <w:vertAlign w:val="superscript"/>
        </w:rPr>
      </w:pPr>
      <w:proofErr w:type="spellStart"/>
      <w:r w:rsidRPr="00317B70">
        <w:rPr>
          <w:rFonts w:ascii="Times New Roman" w:hAnsi="Times New Roman" w:cs="Times New Roman"/>
          <w:szCs w:val="21"/>
        </w:rPr>
        <w:t>Guosheng</w:t>
      </w:r>
      <w:proofErr w:type="spellEnd"/>
      <w:r w:rsidRPr="00317B70">
        <w:rPr>
          <w:rFonts w:ascii="Times New Roman" w:hAnsi="Times New Roman" w:cs="Times New Roman"/>
          <w:szCs w:val="21"/>
        </w:rPr>
        <w:t xml:space="preserve"> Chen</w:t>
      </w:r>
      <w:r w:rsidRPr="00317B70">
        <w:rPr>
          <w:rFonts w:ascii="Times New Roman" w:hAnsi="Times New Roman" w:cs="Times New Roman"/>
          <w:szCs w:val="21"/>
          <w:vertAlign w:val="superscript"/>
        </w:rPr>
        <w:t>2</w:t>
      </w:r>
    </w:p>
    <w:p w14:paraId="31B14D68" w14:textId="77777777" w:rsidR="009C15CA" w:rsidRPr="00317B70" w:rsidRDefault="00881390" w:rsidP="00881390">
      <w:pPr>
        <w:rPr>
          <w:rFonts w:ascii="Times New Roman" w:hAnsi="Times New Roman" w:cs="Times New Roman"/>
          <w:szCs w:val="21"/>
          <w:vertAlign w:val="superscript"/>
        </w:rPr>
      </w:pPr>
      <w:r w:rsidRPr="00317B70">
        <w:rPr>
          <w:rFonts w:ascii="Times New Roman" w:hAnsi="Times New Roman" w:cs="Times New Roman"/>
          <w:szCs w:val="21"/>
        </w:rPr>
        <w:t>Ye Li</w:t>
      </w:r>
      <w:r w:rsidRPr="00317B70">
        <w:rPr>
          <w:rFonts w:ascii="Times New Roman" w:hAnsi="Times New Roman" w:cs="Times New Roman"/>
          <w:szCs w:val="21"/>
          <w:vertAlign w:val="superscript"/>
        </w:rPr>
        <w:t>1</w:t>
      </w:r>
    </w:p>
    <w:p w14:paraId="79F36B17" w14:textId="77777777" w:rsidR="009C15CA" w:rsidRPr="00317B70" w:rsidRDefault="00881390" w:rsidP="00881390">
      <w:pPr>
        <w:rPr>
          <w:rFonts w:ascii="Times New Roman" w:hAnsi="Times New Roman" w:cs="Times New Roman"/>
          <w:szCs w:val="21"/>
          <w:vertAlign w:val="superscript"/>
        </w:rPr>
      </w:pPr>
      <w:r w:rsidRPr="00317B70">
        <w:rPr>
          <w:rFonts w:ascii="Times New Roman" w:hAnsi="Times New Roman" w:cs="Times New Roman"/>
          <w:szCs w:val="21"/>
        </w:rPr>
        <w:t>Ying Zhou</w:t>
      </w:r>
      <w:r w:rsidRPr="00317B70">
        <w:rPr>
          <w:rFonts w:ascii="Times New Roman" w:hAnsi="Times New Roman" w:cs="Times New Roman"/>
          <w:szCs w:val="21"/>
          <w:vertAlign w:val="superscript"/>
        </w:rPr>
        <w:t>1</w:t>
      </w:r>
    </w:p>
    <w:p w14:paraId="0A60492B" w14:textId="77777777" w:rsidR="009C15CA" w:rsidRPr="00317B70" w:rsidRDefault="00881390" w:rsidP="00881390">
      <w:pPr>
        <w:rPr>
          <w:rFonts w:ascii="Times New Roman" w:hAnsi="Times New Roman" w:cs="Times New Roman"/>
          <w:szCs w:val="21"/>
          <w:vertAlign w:val="superscript"/>
        </w:rPr>
      </w:pPr>
      <w:proofErr w:type="spellStart"/>
      <w:r w:rsidRPr="00317B70">
        <w:rPr>
          <w:rFonts w:ascii="Times New Roman" w:hAnsi="Times New Roman" w:cs="Times New Roman"/>
          <w:szCs w:val="21"/>
        </w:rPr>
        <w:t>Guanhui</w:t>
      </w:r>
      <w:proofErr w:type="spellEnd"/>
      <w:r w:rsidRPr="00317B70">
        <w:rPr>
          <w:rFonts w:ascii="Times New Roman" w:hAnsi="Times New Roman" w:cs="Times New Roman"/>
          <w:szCs w:val="21"/>
        </w:rPr>
        <w:t xml:space="preserve"> Chen</w:t>
      </w:r>
      <w:r w:rsidRPr="00317B70">
        <w:rPr>
          <w:rFonts w:ascii="Times New Roman" w:hAnsi="Times New Roman" w:cs="Times New Roman"/>
          <w:szCs w:val="21"/>
          <w:vertAlign w:val="superscript"/>
        </w:rPr>
        <w:t>1</w:t>
      </w:r>
    </w:p>
    <w:p w14:paraId="2AE3BB2F" w14:textId="77777777" w:rsidR="009C15CA" w:rsidRPr="00317B70" w:rsidRDefault="00881390" w:rsidP="00881390">
      <w:pPr>
        <w:rPr>
          <w:rFonts w:ascii="Times New Roman" w:hAnsi="Times New Roman" w:cs="Times New Roman"/>
          <w:szCs w:val="21"/>
          <w:vertAlign w:val="superscript"/>
        </w:rPr>
      </w:pPr>
      <w:proofErr w:type="spellStart"/>
      <w:r w:rsidRPr="00317B70">
        <w:rPr>
          <w:rFonts w:ascii="Times New Roman" w:hAnsi="Times New Roman" w:cs="Times New Roman"/>
          <w:szCs w:val="21"/>
        </w:rPr>
        <w:t>Yiming</w:t>
      </w:r>
      <w:proofErr w:type="spellEnd"/>
      <w:r w:rsidRPr="00317B70">
        <w:rPr>
          <w:rFonts w:ascii="Times New Roman" w:hAnsi="Times New Roman" w:cs="Times New Roman"/>
          <w:szCs w:val="21"/>
        </w:rPr>
        <w:t xml:space="preserve"> Li</w:t>
      </w:r>
      <w:r w:rsidRPr="00317B70">
        <w:rPr>
          <w:rFonts w:ascii="Times New Roman" w:hAnsi="Times New Roman" w:cs="Times New Roman"/>
          <w:szCs w:val="21"/>
          <w:vertAlign w:val="superscript"/>
        </w:rPr>
        <w:t>1</w:t>
      </w:r>
    </w:p>
    <w:p w14:paraId="7D90B544" w14:textId="77777777" w:rsidR="009C15CA" w:rsidRPr="00317B70" w:rsidRDefault="00881390" w:rsidP="00881390">
      <w:pPr>
        <w:rPr>
          <w:rFonts w:ascii="Times New Roman" w:hAnsi="Times New Roman" w:cs="Times New Roman"/>
          <w:szCs w:val="21"/>
          <w:vertAlign w:val="superscript"/>
        </w:rPr>
      </w:pPr>
      <w:r w:rsidRPr="00317B70">
        <w:rPr>
          <w:rFonts w:ascii="Times New Roman" w:hAnsi="Times New Roman" w:cs="Times New Roman"/>
          <w:szCs w:val="21"/>
        </w:rPr>
        <w:t>Yi He</w:t>
      </w:r>
      <w:r w:rsidRPr="00317B70">
        <w:rPr>
          <w:rFonts w:ascii="Times New Roman" w:hAnsi="Times New Roman" w:cs="Times New Roman"/>
          <w:szCs w:val="21"/>
          <w:vertAlign w:val="superscript"/>
        </w:rPr>
        <w:t>1</w:t>
      </w:r>
    </w:p>
    <w:p w14:paraId="3386DE93" w14:textId="77777777" w:rsidR="00881390" w:rsidRPr="00317B70" w:rsidRDefault="00881390" w:rsidP="00881390">
      <w:pPr>
        <w:rPr>
          <w:rFonts w:ascii="Times New Roman" w:hAnsi="Times New Roman" w:cs="Times New Roman"/>
          <w:szCs w:val="21"/>
          <w:vertAlign w:val="superscript"/>
        </w:rPr>
      </w:pPr>
      <w:r w:rsidRPr="00317B70">
        <w:rPr>
          <w:rFonts w:ascii="Times New Roman" w:hAnsi="Times New Roman" w:cs="Times New Roman"/>
          <w:szCs w:val="21"/>
        </w:rPr>
        <w:t xml:space="preserve">Dongsheng Yu </w:t>
      </w:r>
      <w:r w:rsidRPr="00317B70">
        <w:rPr>
          <w:rFonts w:ascii="Times New Roman" w:hAnsi="Times New Roman" w:cs="Times New Roman"/>
          <w:szCs w:val="21"/>
          <w:vertAlign w:val="superscript"/>
        </w:rPr>
        <w:t>1</w:t>
      </w:r>
    </w:p>
    <w:p w14:paraId="58158465" w14:textId="77777777" w:rsidR="00DC51D0" w:rsidRPr="00317B70" w:rsidRDefault="00DC51D0" w:rsidP="00DC51D0">
      <w:pPr>
        <w:rPr>
          <w:rFonts w:ascii="Times New Roman" w:hAnsi="Times New Roman" w:cs="Times New Roman"/>
          <w:szCs w:val="21"/>
          <w:vertAlign w:val="superscript"/>
        </w:rPr>
      </w:pPr>
    </w:p>
    <w:p w14:paraId="4C84EC1C" w14:textId="77777777" w:rsidR="00B461B2" w:rsidRPr="00317B70" w:rsidRDefault="00B461B2" w:rsidP="00DC51D0">
      <w:pPr>
        <w:rPr>
          <w:rFonts w:ascii="Times New Roman" w:hAnsi="Times New Roman" w:cs="Times New Roman"/>
          <w:szCs w:val="21"/>
          <w:vertAlign w:val="superscript"/>
        </w:rPr>
      </w:pPr>
    </w:p>
    <w:p w14:paraId="62CDC1DA" w14:textId="0A92ABE4" w:rsidR="00962476" w:rsidRDefault="00962476" w:rsidP="003A6292">
      <w:pPr>
        <w:rPr>
          <w:rFonts w:eastAsiaTheme="minorHAnsi" w:cs="Times New Roman"/>
          <w:b/>
          <w:szCs w:val="21"/>
          <w:u w:val="single"/>
        </w:rPr>
      </w:pPr>
      <w:r w:rsidRPr="00962476">
        <w:rPr>
          <w:rFonts w:eastAsiaTheme="minorHAnsi" w:cs="Times New Roman"/>
          <w:b/>
          <w:szCs w:val="21"/>
          <w:u w:val="single"/>
        </w:rPr>
        <w:t>Supplementary text S1</w:t>
      </w:r>
    </w:p>
    <w:p w14:paraId="37D903F9" w14:textId="77777777" w:rsidR="00962476" w:rsidRPr="00962476" w:rsidRDefault="00962476" w:rsidP="003A6292">
      <w:pPr>
        <w:rPr>
          <w:rFonts w:eastAsiaTheme="minorHAnsi" w:cs="Times New Roman"/>
          <w:b/>
          <w:szCs w:val="21"/>
          <w:u w:val="single"/>
        </w:rPr>
      </w:pPr>
    </w:p>
    <w:p w14:paraId="2262CAB6" w14:textId="20727A62" w:rsidR="00DC51D0" w:rsidRPr="00317B70" w:rsidRDefault="00DC51D0" w:rsidP="003A6292">
      <w:pPr>
        <w:rPr>
          <w:rFonts w:eastAsiaTheme="minorHAnsi" w:cs="Times New Roman"/>
          <w:b/>
          <w:szCs w:val="21"/>
        </w:rPr>
      </w:pPr>
      <w:r w:rsidRPr="00317B70">
        <w:rPr>
          <w:rFonts w:eastAsiaTheme="minorHAnsi" w:cs="Times New Roman"/>
          <w:b/>
          <w:szCs w:val="21"/>
        </w:rPr>
        <w:t xml:space="preserve">Characterization </w:t>
      </w:r>
      <w:r w:rsidR="009D72A1" w:rsidRPr="00317B70">
        <w:rPr>
          <w:rFonts w:eastAsiaTheme="minorHAnsi" w:cs="Times New Roman"/>
          <w:b/>
          <w:szCs w:val="21"/>
        </w:rPr>
        <w:t>M</w:t>
      </w:r>
      <w:r w:rsidRPr="00317B70">
        <w:rPr>
          <w:rFonts w:eastAsiaTheme="minorHAnsi" w:cs="Times New Roman"/>
          <w:b/>
          <w:szCs w:val="21"/>
        </w:rPr>
        <w:t>ethods</w:t>
      </w:r>
    </w:p>
    <w:p w14:paraId="4307681B" w14:textId="77777777" w:rsidR="00095665" w:rsidRPr="00317B70" w:rsidRDefault="00095665" w:rsidP="00741EC4">
      <w:r w:rsidRPr="00317B70">
        <w:rPr>
          <w:rFonts w:hint="eastAsia"/>
        </w:rPr>
        <w:t>T</w:t>
      </w:r>
      <w:r w:rsidRPr="00317B70">
        <w:t xml:space="preserve">he morphologies of GQD-PEG were visualized by transmission electron microscopy (TEM; JEM 1400, Tokyo, Japan). </w:t>
      </w:r>
      <w:r w:rsidR="00FC33AD" w:rsidRPr="00317B70">
        <w:t>E</w:t>
      </w:r>
      <w:r w:rsidRPr="00317B70">
        <w:t>nergy</w:t>
      </w:r>
      <w:r w:rsidR="00FC33AD" w:rsidRPr="00317B70">
        <w:t>-</w:t>
      </w:r>
      <w:r w:rsidRPr="00317B70">
        <w:t xml:space="preserve">dispersive spectroscopy (EDS) </w:t>
      </w:r>
      <w:r w:rsidR="00FC33AD" w:rsidRPr="00317B70">
        <w:t xml:space="preserve">was used </w:t>
      </w:r>
      <w:r w:rsidRPr="00317B70">
        <w:t>to analyze</w:t>
      </w:r>
      <w:r w:rsidR="00FC33AD" w:rsidRPr="00317B70">
        <w:t xml:space="preserve"> elemental composition</w:t>
      </w:r>
      <w:r w:rsidRPr="00317B70">
        <w:t xml:space="preserve">. Fourier transform infrared spectroscopy (FTIR; </w:t>
      </w:r>
      <w:r w:rsidR="00773FB5" w:rsidRPr="00317B70">
        <w:t>Thermo Fisher Scientific, Inc., Waltham, MA, USA</w:t>
      </w:r>
      <w:r w:rsidRPr="00317B70">
        <w:t>) was used to examin</w:t>
      </w:r>
      <w:r w:rsidR="00FC33AD" w:rsidRPr="00317B70">
        <w:t>e</w:t>
      </w:r>
      <w:r w:rsidRPr="00317B70">
        <w:t xml:space="preserve"> the surface functional groups of GQD-PEG. UV-vis absorption and fluorescence intensity were measured</w:t>
      </w:r>
      <w:r w:rsidRPr="00317B70">
        <w:rPr>
          <w:rFonts w:hint="eastAsia"/>
        </w:rPr>
        <w:t xml:space="preserve"> </w:t>
      </w:r>
      <w:r w:rsidR="00FC33AD" w:rsidRPr="00317B70">
        <w:t>by</w:t>
      </w:r>
      <w:r w:rsidRPr="00317B70">
        <w:t xml:space="preserve"> UV-vis spectrophotometr</w:t>
      </w:r>
      <w:r w:rsidR="00FC33AD" w:rsidRPr="00317B70">
        <w:t>y</w:t>
      </w:r>
      <w:r w:rsidRPr="00317B70">
        <w:t xml:space="preserve"> (Lambda 950, </w:t>
      </w:r>
      <w:r w:rsidR="00FC33AD" w:rsidRPr="00317B70">
        <w:t xml:space="preserve">PerkinElmer, </w:t>
      </w:r>
      <w:r w:rsidR="00DD0EA3" w:rsidRPr="00317B70">
        <w:t>Shelton, CT, USA</w:t>
      </w:r>
      <w:r w:rsidRPr="00317B70">
        <w:t xml:space="preserve">). The stability of </w:t>
      </w:r>
      <w:r w:rsidR="007820AF" w:rsidRPr="00317B70">
        <w:t xml:space="preserve">GQD-PEG in different solutions (saline solution, PBS, </w:t>
      </w:r>
      <w:r w:rsidR="007820AF" w:rsidRPr="00317B70">
        <w:rPr>
          <w:rFonts w:hint="eastAsia"/>
        </w:rPr>
        <w:t>serum</w:t>
      </w:r>
      <w:r w:rsidR="00FC33AD" w:rsidRPr="00317B70">
        <w:t>,</w:t>
      </w:r>
      <w:r w:rsidR="007820AF" w:rsidRPr="00317B70">
        <w:t xml:space="preserve"> </w:t>
      </w:r>
      <w:r w:rsidR="007820AF" w:rsidRPr="00317B70">
        <w:rPr>
          <w:rFonts w:hint="eastAsia"/>
        </w:rPr>
        <w:t>and</w:t>
      </w:r>
      <w:r w:rsidR="007820AF" w:rsidRPr="00317B70">
        <w:t xml:space="preserve"> DMEM) w</w:t>
      </w:r>
      <w:r w:rsidR="00FC33AD" w:rsidRPr="00317B70">
        <w:t>as</w:t>
      </w:r>
      <w:r w:rsidR="007820AF" w:rsidRPr="00317B70">
        <w:t xml:space="preserve"> observed </w:t>
      </w:r>
      <w:r w:rsidR="00FC33AD" w:rsidRPr="00317B70">
        <w:t xml:space="preserve">after </w:t>
      </w:r>
      <w:r w:rsidR="007820AF" w:rsidRPr="00317B70">
        <w:t>72</w:t>
      </w:r>
      <w:r w:rsidR="00FC33AD" w:rsidRPr="00317B70">
        <w:t xml:space="preserve"> </w:t>
      </w:r>
      <w:r w:rsidR="007820AF" w:rsidRPr="00317B70">
        <w:t>h.</w:t>
      </w:r>
    </w:p>
    <w:p w14:paraId="0E31B24C" w14:textId="77777777" w:rsidR="00D235C0" w:rsidRPr="00317B70" w:rsidRDefault="00D235C0" w:rsidP="00D235C0"/>
    <w:p w14:paraId="2391C2F6" w14:textId="77777777" w:rsidR="00AD7F30" w:rsidRPr="00317B70" w:rsidRDefault="00AD7F30" w:rsidP="003A6292">
      <w:pPr>
        <w:rPr>
          <w:b/>
        </w:rPr>
      </w:pPr>
      <w:r w:rsidRPr="00317B70">
        <w:rPr>
          <w:b/>
        </w:rPr>
        <w:t xml:space="preserve">Cell </w:t>
      </w:r>
      <w:r w:rsidR="00327574" w:rsidRPr="00317B70">
        <w:rPr>
          <w:b/>
        </w:rPr>
        <w:t>V</w:t>
      </w:r>
      <w:r w:rsidRPr="00317B70">
        <w:rPr>
          <w:b/>
        </w:rPr>
        <w:t xml:space="preserve">iability </w:t>
      </w:r>
    </w:p>
    <w:p w14:paraId="29F1176F" w14:textId="77777777" w:rsidR="00D235C0" w:rsidRPr="00317B70" w:rsidRDefault="00AD7F30" w:rsidP="00620566">
      <w:r w:rsidRPr="00317B70">
        <w:t xml:space="preserve">For cell viability, cells were seeded in 96-well plates at </w:t>
      </w:r>
      <w:r w:rsidR="007C0140" w:rsidRPr="00317B70">
        <w:t>a</w:t>
      </w:r>
      <w:r w:rsidRPr="00317B70">
        <w:t xml:space="preserve"> density of 10</w:t>
      </w:r>
      <w:r w:rsidRPr="00317B70">
        <w:rPr>
          <w:vertAlign w:val="superscript"/>
        </w:rPr>
        <w:t>4</w:t>
      </w:r>
      <w:r w:rsidRPr="00317B70">
        <w:t xml:space="preserve"> cells/m</w:t>
      </w:r>
      <w:r w:rsidR="007C0140" w:rsidRPr="00317B70">
        <w:t>L</w:t>
      </w:r>
      <w:r w:rsidRPr="00317B70">
        <w:t xml:space="preserve"> and cultured for 24 h. Then the culture medium w</w:t>
      </w:r>
      <w:r w:rsidR="00C3199B" w:rsidRPr="00317B70">
        <w:t>as</w:t>
      </w:r>
      <w:r w:rsidRPr="00317B70">
        <w:t xml:space="preserve"> replaced with fresh medium containing seri</w:t>
      </w:r>
      <w:r w:rsidR="007C0140" w:rsidRPr="00317B70">
        <w:t>al</w:t>
      </w:r>
      <w:r w:rsidRPr="00317B70">
        <w:t xml:space="preserve"> concentrations (0, 10, 25, 50, 100, 150, 200 μg/mL) of GQD-PEG for another 12 h. A portion of viable cells was estimated </w:t>
      </w:r>
      <w:r w:rsidR="007C0140" w:rsidRPr="00317B70">
        <w:t>by means of the</w:t>
      </w:r>
      <w:r w:rsidRPr="00317B70">
        <w:t xml:space="preserve"> Cell Counting Kit</w:t>
      </w:r>
      <w:r w:rsidRPr="00317B70">
        <w:rPr>
          <w:rFonts w:ascii="MS Gothic" w:eastAsia="MS Gothic" w:hAnsi="MS Gothic" w:cs="MS Gothic" w:hint="eastAsia"/>
        </w:rPr>
        <w:t>‑</w:t>
      </w:r>
      <w:r w:rsidRPr="00317B70">
        <w:t xml:space="preserve">8 assay (CCK-8; </w:t>
      </w:r>
      <w:proofErr w:type="spellStart"/>
      <w:r w:rsidRPr="00317B70">
        <w:t>Dojindo</w:t>
      </w:r>
      <w:proofErr w:type="spellEnd"/>
      <w:r w:rsidRPr="00317B70">
        <w:t>, Tokyo, Japan).</w:t>
      </w:r>
    </w:p>
    <w:p w14:paraId="211CBC6B" w14:textId="77777777" w:rsidR="00AD7F30" w:rsidRPr="00317B70" w:rsidRDefault="00AD7F30" w:rsidP="00AD7F30"/>
    <w:p w14:paraId="66750619" w14:textId="77777777" w:rsidR="00AD7F30" w:rsidRPr="00317B70" w:rsidRDefault="00AD7F30" w:rsidP="003A6292">
      <w:pPr>
        <w:rPr>
          <w:b/>
        </w:rPr>
      </w:pPr>
      <w:r w:rsidRPr="00317B70">
        <w:rPr>
          <w:b/>
        </w:rPr>
        <w:t>Bio-</w:t>
      </w:r>
      <w:r w:rsidR="007C0140" w:rsidRPr="00317B70">
        <w:rPr>
          <w:b/>
        </w:rPr>
        <w:t>S</w:t>
      </w:r>
      <w:r w:rsidRPr="00317B70">
        <w:rPr>
          <w:b/>
        </w:rPr>
        <w:t xml:space="preserve">afety </w:t>
      </w:r>
      <w:r w:rsidR="007C0140" w:rsidRPr="00317B70">
        <w:rPr>
          <w:b/>
        </w:rPr>
        <w:t>E</w:t>
      </w:r>
      <w:r w:rsidRPr="00317B70">
        <w:rPr>
          <w:b/>
        </w:rPr>
        <w:t>valuation</w:t>
      </w:r>
    </w:p>
    <w:p w14:paraId="3277D3E3" w14:textId="77777777" w:rsidR="00AD7F30" w:rsidRPr="00317B70" w:rsidRDefault="008E38C3" w:rsidP="00E23DD0">
      <w:r w:rsidRPr="00317B70">
        <w:t xml:space="preserve">Throughout the </w:t>
      </w:r>
      <w:r w:rsidR="00AD7F30" w:rsidRPr="00317B70">
        <w:t xml:space="preserve">experimental </w:t>
      </w:r>
      <w:r w:rsidR="008506BE" w:rsidRPr="00317B70">
        <w:t xml:space="preserve">animal </w:t>
      </w:r>
      <w:r w:rsidR="00AD7F30" w:rsidRPr="00317B70">
        <w:t xml:space="preserve">procedure, the body weights of C3H mice were measured every 2 days. At the </w:t>
      </w:r>
      <w:r w:rsidRPr="00317B70">
        <w:t>conclusion</w:t>
      </w:r>
      <w:r w:rsidR="00AD7F30" w:rsidRPr="00317B70">
        <w:t xml:space="preserve"> of </w:t>
      </w:r>
      <w:r w:rsidRPr="00317B70">
        <w:t xml:space="preserve">the </w:t>
      </w:r>
      <w:r w:rsidR="00AD7F30" w:rsidRPr="00317B70">
        <w:t>animal experiments, the major organs of each group</w:t>
      </w:r>
      <w:r w:rsidRPr="00317B70">
        <w:t>,</w:t>
      </w:r>
      <w:r w:rsidR="00AD7F30" w:rsidRPr="00317B70">
        <w:t xml:space="preserve"> including lung, kidney, spleen</w:t>
      </w:r>
      <w:r w:rsidRPr="00317B70">
        <w:t>,</w:t>
      </w:r>
      <w:r w:rsidR="00AD7F30" w:rsidRPr="00317B70">
        <w:t xml:space="preserve"> and liver</w:t>
      </w:r>
      <w:r w:rsidRPr="00317B70">
        <w:t>,</w:t>
      </w:r>
      <w:r w:rsidR="00AD7F30" w:rsidRPr="00317B70">
        <w:t xml:space="preserve"> were harvested, collected with 4% paraformaldehyde</w:t>
      </w:r>
      <w:r w:rsidRPr="00317B70">
        <w:t>,</w:t>
      </w:r>
      <w:r w:rsidR="00AD7F30" w:rsidRPr="00317B70">
        <w:t xml:space="preserve"> and sectioned into slices for histopathological evaluation </w:t>
      </w:r>
      <w:r w:rsidRPr="00317B70">
        <w:t>by</w:t>
      </w:r>
      <w:r w:rsidR="00AD7F30" w:rsidRPr="00317B70">
        <w:t xml:space="preserve"> H&amp;E staining.</w:t>
      </w:r>
    </w:p>
    <w:p w14:paraId="3A086709" w14:textId="77777777" w:rsidR="00AD7F30" w:rsidRPr="00317B70" w:rsidRDefault="00AD7F30" w:rsidP="00AD7F30"/>
    <w:p w14:paraId="6F658741" w14:textId="77777777" w:rsidR="00D57554" w:rsidRPr="00317B70" w:rsidRDefault="000A0412" w:rsidP="00D57554">
      <w:pPr>
        <w:jc w:val="center"/>
      </w:pPr>
      <w:r w:rsidRPr="00317B70">
        <w:rPr>
          <w:noProof/>
        </w:rPr>
        <w:lastRenderedPageBreak/>
        <w:drawing>
          <wp:inline distT="0" distB="0" distL="0" distR="0" wp14:anchorId="6FCFE8BC" wp14:editId="162055C8">
            <wp:extent cx="3603172" cy="3560796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698" cy="356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B14A" w14:textId="77777777" w:rsidR="00D57554" w:rsidRPr="00317B70" w:rsidRDefault="00D57554" w:rsidP="000A0412">
      <w:pPr>
        <w:jc w:val="center"/>
      </w:pPr>
      <w:r w:rsidRPr="00317B70">
        <w:rPr>
          <w:rFonts w:hint="eastAsia"/>
          <w:b/>
        </w:rPr>
        <w:t>F</w:t>
      </w:r>
      <w:r w:rsidRPr="00317B70">
        <w:rPr>
          <w:b/>
        </w:rPr>
        <w:t>igure S</w:t>
      </w:r>
      <w:proofErr w:type="gramStart"/>
      <w:r w:rsidRPr="00317B70">
        <w:rPr>
          <w:b/>
        </w:rPr>
        <w:t>1</w:t>
      </w:r>
      <w:r w:rsidR="001B08FE" w:rsidRPr="00317B70">
        <w:t xml:space="preserve"> </w:t>
      </w:r>
      <w:r w:rsidR="00EE2641" w:rsidRPr="00317B70">
        <w:t xml:space="preserve"> </w:t>
      </w:r>
      <w:r w:rsidR="001B08FE" w:rsidRPr="00317B70">
        <w:t>Energy</w:t>
      </w:r>
      <w:proofErr w:type="gramEnd"/>
      <w:r w:rsidR="00EE2641" w:rsidRPr="00317B70">
        <w:t>-</w:t>
      </w:r>
      <w:r w:rsidR="001B08FE" w:rsidRPr="00317B70">
        <w:t>dispersive spectroscopy of GQD-PEG.</w:t>
      </w:r>
    </w:p>
    <w:p w14:paraId="73583447" w14:textId="77777777" w:rsidR="000A0412" w:rsidRPr="00317B70" w:rsidRDefault="000A0412" w:rsidP="00782181"/>
    <w:p w14:paraId="19DA842D" w14:textId="77777777" w:rsidR="000A0412" w:rsidRPr="00317B70" w:rsidRDefault="000A0412" w:rsidP="00782181"/>
    <w:p w14:paraId="6F0D79E7" w14:textId="77777777" w:rsidR="00FE3646" w:rsidRPr="00317B70" w:rsidRDefault="000A0412" w:rsidP="00D57554">
      <w:pPr>
        <w:jc w:val="center"/>
      </w:pPr>
      <w:r w:rsidRPr="00317B70">
        <w:rPr>
          <w:noProof/>
        </w:rPr>
        <w:drawing>
          <wp:inline distT="0" distB="0" distL="0" distR="0" wp14:anchorId="71879945" wp14:editId="7A0FCE12">
            <wp:extent cx="3362972" cy="3037115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81" cy="30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A7EA9" w14:textId="77777777" w:rsidR="000A0412" w:rsidRPr="00317B70" w:rsidRDefault="000A0412" w:rsidP="00D57554">
      <w:pPr>
        <w:jc w:val="center"/>
      </w:pPr>
    </w:p>
    <w:p w14:paraId="74AA2163" w14:textId="77777777" w:rsidR="00D57554" w:rsidRPr="00317B70" w:rsidRDefault="00D57554" w:rsidP="000A0412">
      <w:pPr>
        <w:jc w:val="center"/>
      </w:pPr>
      <w:r w:rsidRPr="00317B70">
        <w:rPr>
          <w:rFonts w:hint="eastAsia"/>
          <w:b/>
        </w:rPr>
        <w:t>F</w:t>
      </w:r>
      <w:r w:rsidRPr="00317B70">
        <w:rPr>
          <w:b/>
        </w:rPr>
        <w:t>igure S</w:t>
      </w:r>
      <w:proofErr w:type="gramStart"/>
      <w:r w:rsidRPr="00317B70">
        <w:rPr>
          <w:b/>
        </w:rPr>
        <w:t>2</w:t>
      </w:r>
      <w:r w:rsidR="001B08FE" w:rsidRPr="00317B70">
        <w:t xml:space="preserve"> </w:t>
      </w:r>
      <w:r w:rsidR="00EE2641" w:rsidRPr="00317B70">
        <w:t xml:space="preserve"> Images</w:t>
      </w:r>
      <w:proofErr w:type="gramEnd"/>
      <w:r w:rsidR="001B08FE" w:rsidRPr="00317B70">
        <w:t xml:space="preserve"> of the GQD-PEG in different medi</w:t>
      </w:r>
      <w:r w:rsidR="00EE2641" w:rsidRPr="00317B70">
        <w:t>a</w:t>
      </w:r>
      <w:r w:rsidR="001B08FE" w:rsidRPr="00317B70">
        <w:t xml:space="preserve"> (water, PBS, FBS, and F12)</w:t>
      </w:r>
      <w:r w:rsidR="00E642D8" w:rsidRPr="00317B70">
        <w:t>,</w:t>
      </w:r>
      <w:r w:rsidR="001B08FE" w:rsidRPr="00317B70">
        <w:t xml:space="preserve"> taken under visible light.</w:t>
      </w:r>
    </w:p>
    <w:p w14:paraId="3DCFC6E1" w14:textId="77777777" w:rsidR="001B08FE" w:rsidRPr="00317B70" w:rsidRDefault="000A0412" w:rsidP="00D57554">
      <w:pPr>
        <w:jc w:val="center"/>
      </w:pPr>
      <w:r w:rsidRPr="00317B70">
        <w:rPr>
          <w:noProof/>
        </w:rPr>
        <w:drawing>
          <wp:inline distT="0" distB="0" distL="0" distR="0" wp14:anchorId="4B6178DB" wp14:editId="75664E2F">
            <wp:extent cx="3581598" cy="339634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477" cy="3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7F93" w14:textId="77777777" w:rsidR="001B08FE" w:rsidRPr="00317B70" w:rsidRDefault="001B08FE" w:rsidP="000A0412">
      <w:pPr>
        <w:jc w:val="center"/>
      </w:pPr>
      <w:r w:rsidRPr="00317B70">
        <w:rPr>
          <w:rFonts w:hint="eastAsia"/>
          <w:b/>
        </w:rPr>
        <w:t>F</w:t>
      </w:r>
      <w:r w:rsidRPr="00317B70">
        <w:rPr>
          <w:b/>
        </w:rPr>
        <w:t>igure S</w:t>
      </w:r>
      <w:proofErr w:type="gramStart"/>
      <w:r w:rsidRPr="00317B70">
        <w:rPr>
          <w:b/>
        </w:rPr>
        <w:t>3</w:t>
      </w:r>
      <w:r w:rsidRPr="00317B70">
        <w:t xml:space="preserve"> </w:t>
      </w:r>
      <w:r w:rsidR="004B17BD" w:rsidRPr="00317B70">
        <w:t xml:space="preserve"> </w:t>
      </w:r>
      <w:r w:rsidRPr="00317B70">
        <w:t>UV</w:t>
      </w:r>
      <w:proofErr w:type="gramEnd"/>
      <w:r w:rsidRPr="00317B70">
        <w:t>-vis absorption of GQD-PEG ranging from 450nm to 800nm.</w:t>
      </w:r>
    </w:p>
    <w:p w14:paraId="0BE42271" w14:textId="77777777" w:rsidR="000A0412" w:rsidRPr="00317B70" w:rsidRDefault="000A0412" w:rsidP="00782181">
      <w:pPr>
        <w:jc w:val="left"/>
      </w:pPr>
    </w:p>
    <w:p w14:paraId="4A09FC14" w14:textId="77777777" w:rsidR="000A0412" w:rsidRPr="00317B70" w:rsidRDefault="000A0412" w:rsidP="00782181">
      <w:pPr>
        <w:jc w:val="left"/>
      </w:pPr>
    </w:p>
    <w:p w14:paraId="7C18597D" w14:textId="77777777" w:rsidR="000A0412" w:rsidRPr="00317B70" w:rsidRDefault="000A0412" w:rsidP="00782181">
      <w:pPr>
        <w:jc w:val="left"/>
      </w:pPr>
    </w:p>
    <w:p w14:paraId="4D2E0287" w14:textId="77777777" w:rsidR="000A0412" w:rsidRPr="00317B70" w:rsidRDefault="000A0412" w:rsidP="00782181">
      <w:pPr>
        <w:jc w:val="left"/>
      </w:pPr>
    </w:p>
    <w:p w14:paraId="7923C118" w14:textId="77777777" w:rsidR="00FE3646" w:rsidRPr="00317B70" w:rsidRDefault="000A0412" w:rsidP="001B08FE">
      <w:pPr>
        <w:ind w:leftChars="150" w:left="315" w:firstLineChars="100" w:firstLine="210"/>
        <w:jc w:val="left"/>
      </w:pPr>
      <w:r w:rsidRPr="00317B70">
        <w:rPr>
          <w:noProof/>
        </w:rPr>
        <w:drawing>
          <wp:inline distT="0" distB="0" distL="0" distR="0" wp14:anchorId="70D25F1A" wp14:editId="5197565D">
            <wp:extent cx="4952191" cy="2574471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578" cy="257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9D91" w14:textId="77777777" w:rsidR="000A0412" w:rsidRPr="00317B70" w:rsidRDefault="000A0412" w:rsidP="001B08FE">
      <w:pPr>
        <w:ind w:leftChars="150" w:left="315" w:firstLineChars="100" w:firstLine="210"/>
        <w:jc w:val="left"/>
      </w:pPr>
    </w:p>
    <w:p w14:paraId="64B0BA96" w14:textId="77777777" w:rsidR="00D57554" w:rsidRPr="00317B70" w:rsidRDefault="00D57554" w:rsidP="000A0412">
      <w:pPr>
        <w:jc w:val="center"/>
      </w:pPr>
      <w:r w:rsidRPr="00317B70">
        <w:rPr>
          <w:b/>
        </w:rPr>
        <w:t>Figure S</w:t>
      </w:r>
      <w:proofErr w:type="gramStart"/>
      <w:r w:rsidRPr="00317B70">
        <w:rPr>
          <w:b/>
        </w:rPr>
        <w:t>4</w:t>
      </w:r>
      <w:r w:rsidR="001B08FE" w:rsidRPr="00317B70">
        <w:t xml:space="preserve"> </w:t>
      </w:r>
      <w:r w:rsidR="009E709B" w:rsidRPr="00317B70">
        <w:t xml:space="preserve"> </w:t>
      </w:r>
      <w:r w:rsidR="001B08FE" w:rsidRPr="00317B70">
        <w:t>C</w:t>
      </w:r>
      <w:r w:rsidR="00E95134" w:rsidRPr="00317B70">
        <w:t>ytotoxicity</w:t>
      </w:r>
      <w:proofErr w:type="gramEnd"/>
      <w:r w:rsidR="00E95134" w:rsidRPr="00317B70">
        <w:t xml:space="preserve"> of GQD-PEG </w:t>
      </w:r>
      <w:r w:rsidR="009E709B" w:rsidRPr="00317B70">
        <w:t>at</w:t>
      </w:r>
      <w:r w:rsidR="00E95134" w:rsidRPr="00317B70">
        <w:t xml:space="preserve"> different </w:t>
      </w:r>
      <w:r w:rsidR="001B08FE" w:rsidRPr="00317B70">
        <w:t>concentration</w:t>
      </w:r>
      <w:r w:rsidR="00E95134" w:rsidRPr="00317B70">
        <w:t>s</w:t>
      </w:r>
      <w:r w:rsidR="001B08FE" w:rsidRPr="00317B70">
        <w:t xml:space="preserve"> (</w:t>
      </w:r>
      <w:r w:rsidR="00E95134" w:rsidRPr="00317B70">
        <w:t xml:space="preserve">0, </w:t>
      </w:r>
      <w:r w:rsidR="001B08FE" w:rsidRPr="00317B70">
        <w:t>10, 25, 50, 100</w:t>
      </w:r>
      <w:r w:rsidR="009E709B" w:rsidRPr="00317B70">
        <w:t>,</w:t>
      </w:r>
      <w:r w:rsidR="001B08FE" w:rsidRPr="00317B70">
        <w:t xml:space="preserve"> </w:t>
      </w:r>
      <w:r w:rsidR="00E95134" w:rsidRPr="00317B70">
        <w:t>150</w:t>
      </w:r>
      <w:r w:rsidR="009E709B" w:rsidRPr="00317B70">
        <w:t>,</w:t>
      </w:r>
      <w:r w:rsidR="00E95134" w:rsidRPr="00317B70">
        <w:t xml:space="preserve"> </w:t>
      </w:r>
      <w:r w:rsidR="009E709B" w:rsidRPr="00317B70">
        <w:t>a</w:t>
      </w:r>
      <w:r w:rsidR="001B08FE" w:rsidRPr="00317B70">
        <w:t>nd 200 µg/mL)</w:t>
      </w:r>
      <w:r w:rsidR="00E95134" w:rsidRPr="00317B70">
        <w:t xml:space="preserve"> for </w:t>
      </w:r>
      <w:r w:rsidR="009E709B" w:rsidRPr="00317B70">
        <w:t xml:space="preserve">(A) </w:t>
      </w:r>
      <w:r w:rsidR="00E95134" w:rsidRPr="00317B70">
        <w:t xml:space="preserve">SCC 9 and </w:t>
      </w:r>
      <w:r w:rsidR="009E709B" w:rsidRPr="00317B70">
        <w:t xml:space="preserve">(B) </w:t>
      </w:r>
      <w:r w:rsidR="00E95134" w:rsidRPr="00317B70">
        <w:t>SCC25 cells</w:t>
      </w:r>
      <w:r w:rsidR="0067184C" w:rsidRPr="00317B70">
        <w:t>. **</w:t>
      </w:r>
      <w:r w:rsidR="0067184C" w:rsidRPr="00317B70">
        <w:rPr>
          <w:i/>
        </w:rPr>
        <w:t>P</w:t>
      </w:r>
      <w:r w:rsidR="0067184C" w:rsidRPr="00317B70">
        <w:rPr>
          <w:rFonts w:hint="eastAsia"/>
        </w:rPr>
        <w:t>&lt;</w:t>
      </w:r>
      <w:r w:rsidR="0067184C" w:rsidRPr="00317B70">
        <w:t>0.01</w:t>
      </w:r>
      <w:r w:rsidR="009E709B" w:rsidRPr="00317B70">
        <w:t>.</w:t>
      </w:r>
    </w:p>
    <w:p w14:paraId="6AF2F085" w14:textId="77777777" w:rsidR="00D57554" w:rsidRPr="00317B70" w:rsidRDefault="000A0412" w:rsidP="00D57554">
      <w:pPr>
        <w:jc w:val="center"/>
      </w:pPr>
      <w:r w:rsidRPr="00317B70">
        <w:rPr>
          <w:noProof/>
        </w:rPr>
        <w:drawing>
          <wp:inline distT="0" distB="0" distL="0" distR="0" wp14:anchorId="35D9199C" wp14:editId="64B837C2">
            <wp:extent cx="3870216" cy="3771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000" cy="377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0AF7" w14:textId="77777777" w:rsidR="00BA718B" w:rsidRPr="00317B70" w:rsidRDefault="00BA718B" w:rsidP="000A0412">
      <w:pPr>
        <w:jc w:val="center"/>
      </w:pPr>
      <w:r w:rsidRPr="00317B70">
        <w:rPr>
          <w:rFonts w:hint="eastAsia"/>
          <w:b/>
        </w:rPr>
        <w:t>F</w:t>
      </w:r>
      <w:r w:rsidRPr="00317B70">
        <w:rPr>
          <w:b/>
        </w:rPr>
        <w:t>igure S</w:t>
      </w:r>
      <w:proofErr w:type="gramStart"/>
      <w:r w:rsidRPr="00317B70">
        <w:rPr>
          <w:b/>
        </w:rPr>
        <w:t>5</w:t>
      </w:r>
      <w:r w:rsidR="000B09A7" w:rsidRPr="00317B70">
        <w:t xml:space="preserve"> </w:t>
      </w:r>
      <w:r w:rsidR="009E709B" w:rsidRPr="00317B70">
        <w:t xml:space="preserve"> </w:t>
      </w:r>
      <w:r w:rsidR="000B09A7" w:rsidRPr="00317B70">
        <w:t>Apoptosis</w:t>
      </w:r>
      <w:proofErr w:type="gramEnd"/>
      <w:r w:rsidR="000B09A7" w:rsidRPr="00317B70">
        <w:t xml:space="preserve"> in</w:t>
      </w:r>
      <w:r w:rsidR="000B09A7" w:rsidRPr="00317B70">
        <w:rPr>
          <w:rFonts w:hint="eastAsia"/>
        </w:rPr>
        <w:t xml:space="preserve"> </w:t>
      </w:r>
      <w:r w:rsidR="000B09A7" w:rsidRPr="00317B70">
        <w:t>SCC9 cells induced by GQD-PEG via flow cytometry.</w:t>
      </w:r>
      <w:r w:rsidR="00782181" w:rsidRPr="00317B70">
        <w:t xml:space="preserve"> </w:t>
      </w:r>
      <w:r w:rsidR="00782181" w:rsidRPr="00317B70">
        <w:rPr>
          <w:rFonts w:hint="eastAsia"/>
        </w:rPr>
        <w:t>BUV 395 staining was used for early apoptosis and PI</w:t>
      </w:r>
      <w:r w:rsidR="00782181" w:rsidRPr="00317B70">
        <w:t xml:space="preserve"> </w:t>
      </w:r>
      <w:r w:rsidR="00782181" w:rsidRPr="00317B70">
        <w:rPr>
          <w:rFonts w:hint="eastAsia"/>
        </w:rPr>
        <w:t>staining for late apoptosis.</w:t>
      </w:r>
    </w:p>
    <w:p w14:paraId="3A6B67E5" w14:textId="77777777" w:rsidR="000A0412" w:rsidRPr="00317B70" w:rsidRDefault="000A0412" w:rsidP="000B09A7"/>
    <w:p w14:paraId="457D7E94" w14:textId="77777777" w:rsidR="000A0412" w:rsidRPr="00317B70" w:rsidRDefault="000A0412" w:rsidP="000B09A7"/>
    <w:p w14:paraId="7A6DCB0E" w14:textId="77777777" w:rsidR="000A0412" w:rsidRPr="00317B70" w:rsidRDefault="000A0412" w:rsidP="000B09A7"/>
    <w:p w14:paraId="6113C960" w14:textId="77777777" w:rsidR="00D57554" w:rsidRPr="00317B70" w:rsidRDefault="000A0412" w:rsidP="00D57554">
      <w:pPr>
        <w:jc w:val="center"/>
      </w:pPr>
      <w:r w:rsidRPr="00317B70">
        <w:rPr>
          <w:noProof/>
        </w:rPr>
        <w:drawing>
          <wp:inline distT="0" distB="0" distL="0" distR="0" wp14:anchorId="0A3FEF43" wp14:editId="51CA9263">
            <wp:extent cx="5274310" cy="29394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5A4A" w14:textId="77777777" w:rsidR="000A0412" w:rsidRPr="00317B70" w:rsidRDefault="000A0412" w:rsidP="00D57554">
      <w:pPr>
        <w:jc w:val="center"/>
      </w:pPr>
    </w:p>
    <w:p w14:paraId="4D91B0BC" w14:textId="77777777" w:rsidR="00D57554" w:rsidRPr="00317B70" w:rsidRDefault="00D57554" w:rsidP="000A0412">
      <w:pPr>
        <w:jc w:val="center"/>
      </w:pPr>
      <w:r w:rsidRPr="00317B70">
        <w:rPr>
          <w:rFonts w:hint="eastAsia"/>
          <w:b/>
        </w:rPr>
        <w:t>F</w:t>
      </w:r>
      <w:r w:rsidR="00BA718B" w:rsidRPr="00317B70">
        <w:rPr>
          <w:b/>
        </w:rPr>
        <w:t>igure S6</w:t>
      </w:r>
      <w:r w:rsidR="00E95134" w:rsidRPr="00317B70">
        <w:t xml:space="preserve"> </w:t>
      </w:r>
      <w:r w:rsidR="00AE454E" w:rsidRPr="00317B70">
        <w:t xml:space="preserve">  </w:t>
      </w:r>
      <w:r w:rsidR="004C6A8F" w:rsidRPr="00317B70">
        <w:t>GQD-PEG</w:t>
      </w:r>
      <w:r w:rsidR="00AE454E" w:rsidRPr="00317B70">
        <w:t>-</w:t>
      </w:r>
      <w:r w:rsidR="004C6A8F" w:rsidRPr="00317B70">
        <w:t xml:space="preserve">mediated PDT highly enhanced antitumor immunity. </w:t>
      </w:r>
      <w:r w:rsidR="00E95134" w:rsidRPr="00317B70">
        <w:t xml:space="preserve">(A) Production of TNF-α and IFN-γ in serum was determined by ELISA. (B) </w:t>
      </w:r>
      <w:r w:rsidR="004C6A8F" w:rsidRPr="00317B70">
        <w:t>Percentages</w:t>
      </w:r>
      <w:r w:rsidR="00E95134" w:rsidRPr="00317B70">
        <w:t xml:space="preserve"> of CD3</w:t>
      </w:r>
      <w:r w:rsidR="00E95134" w:rsidRPr="00317B70">
        <w:rPr>
          <w:vertAlign w:val="superscript"/>
        </w:rPr>
        <w:t>+</w:t>
      </w:r>
      <w:r w:rsidR="00E95134" w:rsidRPr="00317B70">
        <w:t>CD4</w:t>
      </w:r>
      <w:r w:rsidR="00E95134" w:rsidRPr="00317B70">
        <w:rPr>
          <w:vertAlign w:val="superscript"/>
        </w:rPr>
        <w:t>+</w:t>
      </w:r>
      <w:r w:rsidR="00E95134" w:rsidRPr="00317B70">
        <w:t xml:space="preserve"> T cell</w:t>
      </w:r>
      <w:r w:rsidR="00AE454E" w:rsidRPr="00317B70">
        <w:t>s</w:t>
      </w:r>
      <w:r w:rsidR="00E95134" w:rsidRPr="00317B70">
        <w:t xml:space="preserve"> and CD3</w:t>
      </w:r>
      <w:r w:rsidR="00E95134" w:rsidRPr="00317B70">
        <w:rPr>
          <w:vertAlign w:val="superscript"/>
        </w:rPr>
        <w:t>+</w:t>
      </w:r>
      <w:r w:rsidR="00FE3646" w:rsidRPr="00317B70">
        <w:t>CD8</w:t>
      </w:r>
      <w:r w:rsidR="00E95134" w:rsidRPr="00317B70">
        <w:rPr>
          <w:vertAlign w:val="superscript"/>
        </w:rPr>
        <w:t>+</w:t>
      </w:r>
      <w:r w:rsidR="00E95134" w:rsidRPr="00317B70">
        <w:t xml:space="preserve"> T cell</w:t>
      </w:r>
      <w:r w:rsidR="00AE454E" w:rsidRPr="00317B70">
        <w:t>s</w:t>
      </w:r>
      <w:r w:rsidR="00E95134" w:rsidRPr="00317B70">
        <w:t xml:space="preserve"> in the TDLN. *</w:t>
      </w:r>
      <w:r w:rsidR="00E95134" w:rsidRPr="00317B70">
        <w:rPr>
          <w:i/>
        </w:rPr>
        <w:t>P</w:t>
      </w:r>
      <w:r w:rsidR="00E95134" w:rsidRPr="00317B70">
        <w:rPr>
          <w:rFonts w:hint="eastAsia"/>
        </w:rPr>
        <w:t>&lt;</w:t>
      </w:r>
      <w:r w:rsidR="00E95134" w:rsidRPr="00317B70">
        <w:t>0.05; **</w:t>
      </w:r>
      <w:r w:rsidR="00E95134" w:rsidRPr="00317B70">
        <w:rPr>
          <w:i/>
        </w:rPr>
        <w:t>P</w:t>
      </w:r>
      <w:r w:rsidR="00E95134" w:rsidRPr="00317B70">
        <w:rPr>
          <w:rFonts w:hint="eastAsia"/>
        </w:rPr>
        <w:t>&lt;</w:t>
      </w:r>
      <w:r w:rsidR="00E95134" w:rsidRPr="00317B70">
        <w:t>0.01; ***</w:t>
      </w:r>
      <w:r w:rsidR="00E95134" w:rsidRPr="00317B70">
        <w:rPr>
          <w:i/>
        </w:rPr>
        <w:t>P</w:t>
      </w:r>
      <w:r w:rsidR="00E95134" w:rsidRPr="00317B70">
        <w:rPr>
          <w:rFonts w:hint="eastAsia"/>
        </w:rPr>
        <w:t>&lt;</w:t>
      </w:r>
      <w:r w:rsidR="00E95134" w:rsidRPr="00317B70">
        <w:t>0.0001; ****</w:t>
      </w:r>
      <w:r w:rsidR="00E95134" w:rsidRPr="00317B70">
        <w:rPr>
          <w:i/>
        </w:rPr>
        <w:t>P</w:t>
      </w:r>
      <w:r w:rsidR="00E95134" w:rsidRPr="00317B70">
        <w:rPr>
          <w:rFonts w:hint="eastAsia"/>
        </w:rPr>
        <w:t>&lt;</w:t>
      </w:r>
      <w:r w:rsidR="00E95134" w:rsidRPr="00317B70">
        <w:t>0.0001.</w:t>
      </w:r>
    </w:p>
    <w:p w14:paraId="6935ECB1" w14:textId="77777777" w:rsidR="00FE3646" w:rsidRPr="00317B70" w:rsidRDefault="000A0412" w:rsidP="00E95134">
      <w:pPr>
        <w:ind w:firstLineChars="100" w:firstLine="210"/>
        <w:jc w:val="left"/>
      </w:pPr>
      <w:r w:rsidRPr="00317B70">
        <w:rPr>
          <w:noProof/>
        </w:rPr>
        <w:drawing>
          <wp:inline distT="0" distB="0" distL="0" distR="0" wp14:anchorId="635ED0E1" wp14:editId="47803DAD">
            <wp:extent cx="5274310" cy="47345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3EAE" w14:textId="77777777" w:rsidR="000A0412" w:rsidRPr="00317B70" w:rsidRDefault="000A0412" w:rsidP="00E95134">
      <w:pPr>
        <w:ind w:firstLineChars="100" w:firstLine="210"/>
        <w:jc w:val="left"/>
      </w:pPr>
    </w:p>
    <w:p w14:paraId="545F8721" w14:textId="77777777" w:rsidR="00D57554" w:rsidRPr="00317B70" w:rsidRDefault="00D57554" w:rsidP="000A0412">
      <w:pPr>
        <w:jc w:val="center"/>
      </w:pPr>
      <w:bookmarkStart w:id="0" w:name="OLE_LINK1"/>
      <w:bookmarkStart w:id="1" w:name="OLE_LINK2"/>
      <w:r w:rsidRPr="00317B70">
        <w:rPr>
          <w:rFonts w:hint="eastAsia"/>
          <w:b/>
        </w:rPr>
        <w:t>F</w:t>
      </w:r>
      <w:r w:rsidR="00BA718B" w:rsidRPr="00317B70">
        <w:rPr>
          <w:b/>
        </w:rPr>
        <w:t>igure S</w:t>
      </w:r>
      <w:proofErr w:type="gramStart"/>
      <w:r w:rsidR="00BA718B" w:rsidRPr="00317B70">
        <w:rPr>
          <w:b/>
        </w:rPr>
        <w:t>7</w:t>
      </w:r>
      <w:r w:rsidR="00E95134" w:rsidRPr="00317B70">
        <w:t xml:space="preserve"> </w:t>
      </w:r>
      <w:r w:rsidR="00AE454E" w:rsidRPr="00317B70">
        <w:t xml:space="preserve"> </w:t>
      </w:r>
      <w:r w:rsidR="00E95134" w:rsidRPr="00317B70">
        <w:t>Histological</w:t>
      </w:r>
      <w:proofErr w:type="gramEnd"/>
      <w:r w:rsidR="00E95134" w:rsidRPr="00317B70">
        <w:t xml:space="preserve"> evaluation of the major organs from the mice</w:t>
      </w:r>
      <w:r w:rsidR="00AF4BDE" w:rsidRPr="00317B70">
        <w:t xml:space="preserve"> </w:t>
      </w:r>
      <w:r w:rsidR="00741240" w:rsidRPr="00317B70">
        <w:t xml:space="preserve">in the different </w:t>
      </w:r>
      <w:r w:rsidR="00AF4BDE" w:rsidRPr="00317B70">
        <w:t>treat</w:t>
      </w:r>
      <w:r w:rsidR="00741240" w:rsidRPr="00317B70">
        <w:t>ment</w:t>
      </w:r>
      <w:r w:rsidR="00AF4BDE" w:rsidRPr="00317B70">
        <w:t xml:space="preserve"> groups.</w:t>
      </w:r>
      <w:bookmarkEnd w:id="0"/>
      <w:bookmarkEnd w:id="1"/>
    </w:p>
    <w:sectPr w:rsidR="00D57554" w:rsidRPr="00317B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1CD71" w14:textId="77777777" w:rsidR="00115C5E" w:rsidRDefault="00115C5E" w:rsidP="00817A67">
      <w:r>
        <w:separator/>
      </w:r>
    </w:p>
  </w:endnote>
  <w:endnote w:type="continuationSeparator" w:id="0">
    <w:p w14:paraId="25C8202C" w14:textId="77777777" w:rsidR="00115C5E" w:rsidRDefault="00115C5E" w:rsidP="0081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FA34A" w14:textId="77777777" w:rsidR="00115C5E" w:rsidRDefault="00115C5E" w:rsidP="00817A67">
      <w:r>
        <w:separator/>
      </w:r>
    </w:p>
  </w:footnote>
  <w:footnote w:type="continuationSeparator" w:id="0">
    <w:p w14:paraId="55539E07" w14:textId="77777777" w:rsidR="00115C5E" w:rsidRDefault="00115C5E" w:rsidP="00817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C660F"/>
    <w:multiLevelType w:val="hybridMultilevel"/>
    <w:tmpl w:val="664A967A"/>
    <w:lvl w:ilvl="0" w:tplc="5D5027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7712E7C"/>
    <w:multiLevelType w:val="hybridMultilevel"/>
    <w:tmpl w:val="7A7698A4"/>
    <w:lvl w:ilvl="0" w:tplc="465EF0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1D0"/>
    <w:rsid w:val="00095665"/>
    <w:rsid w:val="000A0412"/>
    <w:rsid w:val="000B09A7"/>
    <w:rsid w:val="00115C5E"/>
    <w:rsid w:val="00181605"/>
    <w:rsid w:val="00190F39"/>
    <w:rsid w:val="001B08FE"/>
    <w:rsid w:val="0022547E"/>
    <w:rsid w:val="00271F06"/>
    <w:rsid w:val="00317B70"/>
    <w:rsid w:val="00327574"/>
    <w:rsid w:val="003A6292"/>
    <w:rsid w:val="003E5D10"/>
    <w:rsid w:val="004831A8"/>
    <w:rsid w:val="004B17BD"/>
    <w:rsid w:val="004C6A8F"/>
    <w:rsid w:val="004E7B10"/>
    <w:rsid w:val="00505799"/>
    <w:rsid w:val="00515676"/>
    <w:rsid w:val="005668D5"/>
    <w:rsid w:val="00595970"/>
    <w:rsid w:val="00620566"/>
    <w:rsid w:val="0067184C"/>
    <w:rsid w:val="00703746"/>
    <w:rsid w:val="007055B1"/>
    <w:rsid w:val="00713955"/>
    <w:rsid w:val="00741240"/>
    <w:rsid w:val="00741EC4"/>
    <w:rsid w:val="00742C16"/>
    <w:rsid w:val="00773FB5"/>
    <w:rsid w:val="007820AF"/>
    <w:rsid w:val="00782181"/>
    <w:rsid w:val="007C0140"/>
    <w:rsid w:val="00817A67"/>
    <w:rsid w:val="008506BE"/>
    <w:rsid w:val="00881390"/>
    <w:rsid w:val="008E38C3"/>
    <w:rsid w:val="00962476"/>
    <w:rsid w:val="00966B36"/>
    <w:rsid w:val="00983992"/>
    <w:rsid w:val="009C15CA"/>
    <w:rsid w:val="009D72A1"/>
    <w:rsid w:val="009E709B"/>
    <w:rsid w:val="009F3E8E"/>
    <w:rsid w:val="00A43148"/>
    <w:rsid w:val="00AD7F30"/>
    <w:rsid w:val="00AE454E"/>
    <w:rsid w:val="00AE65E2"/>
    <w:rsid w:val="00AF4BDE"/>
    <w:rsid w:val="00B461B2"/>
    <w:rsid w:val="00B65987"/>
    <w:rsid w:val="00BA41F6"/>
    <w:rsid w:val="00BA718B"/>
    <w:rsid w:val="00BB3D02"/>
    <w:rsid w:val="00BB5E88"/>
    <w:rsid w:val="00C3199B"/>
    <w:rsid w:val="00CF1844"/>
    <w:rsid w:val="00D235C0"/>
    <w:rsid w:val="00D57554"/>
    <w:rsid w:val="00DC51D0"/>
    <w:rsid w:val="00DD0EA3"/>
    <w:rsid w:val="00E23DD0"/>
    <w:rsid w:val="00E642D8"/>
    <w:rsid w:val="00E95134"/>
    <w:rsid w:val="00EE2641"/>
    <w:rsid w:val="00F70B8C"/>
    <w:rsid w:val="00FC10E1"/>
    <w:rsid w:val="00FC33AD"/>
    <w:rsid w:val="00FE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2897EC"/>
  <w15:docId w15:val="{3EB2FA3A-46CD-4122-9329-69E18D64F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1D0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817A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17A6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17A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17A6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2A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C3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3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3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0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</dc:creator>
  <cp:lastModifiedBy>Mel Phimester</cp:lastModifiedBy>
  <cp:revision>2</cp:revision>
  <dcterms:created xsi:type="dcterms:W3CDTF">2020-11-11T07:00:00Z</dcterms:created>
  <dcterms:modified xsi:type="dcterms:W3CDTF">2020-11-11T07:00:00Z</dcterms:modified>
</cp:coreProperties>
</file>