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6B" w:rsidRPr="00DF4478" w:rsidRDefault="00AF226B" w:rsidP="00236026">
      <w:pPr>
        <w:jc w:val="left"/>
        <w:rPr>
          <w:rFonts w:ascii="Times New Roman" w:hAnsi="Times New Roman" w:cs="Times New Roman"/>
          <w:sz w:val="28"/>
          <w:szCs w:val="24"/>
        </w:rPr>
      </w:pPr>
      <w:r w:rsidRPr="00DF4478">
        <w:rPr>
          <w:rFonts w:ascii="Times New Roman" w:eastAsia="黑体" w:hAnsi="Times New Roman" w:cs="Times New Roman"/>
          <w:sz w:val="24"/>
          <w:szCs w:val="28"/>
        </w:rPr>
        <w:t>Table S</w:t>
      </w:r>
      <w:r w:rsidR="00400CE7">
        <w:rPr>
          <w:rFonts w:ascii="Times New Roman" w:eastAsia="黑体" w:hAnsi="Times New Roman" w:cs="Times New Roman" w:hint="eastAsia"/>
          <w:sz w:val="24"/>
          <w:szCs w:val="28"/>
        </w:rPr>
        <w:t>1</w:t>
      </w:r>
      <w:r w:rsidRPr="00DF4478">
        <w:rPr>
          <w:rFonts w:ascii="Times New Roman" w:eastAsia="黑体" w:hAnsi="Times New Roman" w:cs="Times New Roman"/>
          <w:sz w:val="24"/>
          <w:szCs w:val="28"/>
        </w:rPr>
        <w:t>. Compare the</w:t>
      </w:r>
      <w:r w:rsidRPr="00DF4478">
        <w:rPr>
          <w:rFonts w:ascii="Times New Roman" w:eastAsia="黑体" w:hAnsi="Times New Roman" w:cs="Times New Roman" w:hint="eastAsia"/>
          <w:sz w:val="24"/>
          <w:szCs w:val="28"/>
        </w:rPr>
        <w:t xml:space="preserve"> AUROCs value</w:t>
      </w:r>
      <w:r w:rsidRPr="00DF4478">
        <w:rPr>
          <w:rFonts w:ascii="Times New Roman" w:eastAsia="黑体" w:hAnsi="Times New Roman" w:cs="Times New Roman"/>
          <w:sz w:val="24"/>
          <w:szCs w:val="28"/>
        </w:rPr>
        <w:t xml:space="preserve"> of different models</w:t>
      </w:r>
      <w:r w:rsidRPr="00DF4478">
        <w:rPr>
          <w:rFonts w:ascii="Times New Roman" w:eastAsia="黑体" w:hAnsi="Times New Roman" w:cs="Times New Roman" w:hint="eastAsia"/>
          <w:sz w:val="24"/>
          <w:szCs w:val="28"/>
        </w:rPr>
        <w:t xml:space="preserve"> in</w:t>
      </w:r>
      <w:r w:rsidRPr="00DF4478">
        <w:rPr>
          <w:rFonts w:ascii="Times New Roman" w:hAnsi="Times New Roman" w:cs="Times New Roman"/>
          <w:sz w:val="24"/>
        </w:rPr>
        <w:t xml:space="preserve"> the deriv</w:t>
      </w:r>
      <w:r w:rsidRPr="00DF4478">
        <w:rPr>
          <w:rFonts w:ascii="Times New Roman" w:hAnsi="Times New Roman" w:cs="Times New Roman" w:hint="eastAsia"/>
          <w:sz w:val="24"/>
        </w:rPr>
        <w:t xml:space="preserve">ing </w:t>
      </w:r>
      <w:r w:rsidRPr="00DF4478">
        <w:rPr>
          <w:rFonts w:ascii="Times New Roman" w:hAnsi="Times New Roman" w:cs="Times New Roman"/>
          <w:sz w:val="24"/>
        </w:rPr>
        <w:t>cohort and validation cohort</w:t>
      </w:r>
    </w:p>
    <w:p w:rsidR="00AF226B" w:rsidRPr="000F3731" w:rsidRDefault="00AF226B" w:rsidP="00AF226B">
      <w:pPr>
        <w:tabs>
          <w:tab w:val="left" w:pos="2410"/>
        </w:tabs>
        <w:rPr>
          <w:rFonts w:ascii="Times New Roman" w:eastAsia="黑体" w:hAnsi="Times New Roman" w:cs="Times New Roman"/>
          <w:sz w:val="10"/>
          <w:szCs w:val="28"/>
        </w:rPr>
      </w:pPr>
    </w:p>
    <w:tbl>
      <w:tblPr>
        <w:tblW w:w="9457" w:type="dxa"/>
        <w:tblInd w:w="97" w:type="dxa"/>
        <w:tblLook w:val="04A0"/>
      </w:tblPr>
      <w:tblGrid>
        <w:gridCol w:w="2421"/>
        <w:gridCol w:w="2117"/>
        <w:gridCol w:w="2277"/>
        <w:gridCol w:w="1960"/>
        <w:gridCol w:w="682"/>
      </w:tblGrid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Variable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AUC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226B" w:rsidRPr="005B27AB" w:rsidRDefault="00AF226B" w:rsidP="00B032DE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F226B" w:rsidRPr="005B27AB" w:rsidRDefault="00AF226B" w:rsidP="00B032DE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95% CI 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4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Deriving cohort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0.0163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0.588 - 0.661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BCLC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0.606 - 0.678 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PVTT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0.606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0.569 - 0.643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TSH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0.607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0.570 - 0.643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MELD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0.563 - 0.637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Child-Pugh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0.598 - 0.671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TNM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0.0215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0.572 - 0.646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Okuda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0.631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0.594 - 0.667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CLIP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0.679 - 0.747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Progression model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0.0184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- 0.7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87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Validation cohort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0.602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0.544 - 0.657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BCLC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0.669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0.613 - 0.721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PVTT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0.584 - 0.694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TSH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0.557 - 0.669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MELD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0.0322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0.556 - 0.668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Child-Pugh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0.593 - 0.703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TNM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0.682 - 0.784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Okuda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0.568 - 0.679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CLIP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0.735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0.681 - 0.783</w:t>
            </w:r>
          </w:p>
        </w:tc>
      </w:tr>
      <w:tr w:rsidR="00AF226B" w:rsidRPr="005B27AB" w:rsidTr="00B032DE">
        <w:trPr>
          <w:gridAfter w:val="1"/>
          <w:wAfter w:w="682" w:type="dxa"/>
          <w:trHeight w:val="280"/>
        </w:trPr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C5C43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Progression model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226B" w:rsidRPr="005B27AB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01</w:t>
            </w:r>
            <w:r w:rsidRPr="005B27A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- 0.8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00</w:t>
            </w:r>
          </w:p>
        </w:tc>
      </w:tr>
      <w:tr w:rsidR="00AF226B" w:rsidRPr="00BE42B7" w:rsidTr="00B032DE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9457" w:type="dxa"/>
            <w:gridSpan w:val="5"/>
          </w:tcPr>
          <w:p w:rsidR="00AF226B" w:rsidRDefault="00AF226B" w:rsidP="00B032DE">
            <w:pPr>
              <w:rPr>
                <w:rFonts w:ascii="Times New Roman" w:eastAsia="黑体" w:hAnsi="Times New Roman" w:cs="Times New Roman"/>
                <w:sz w:val="32"/>
                <w:szCs w:val="28"/>
              </w:rPr>
            </w:pPr>
          </w:p>
          <w:p w:rsidR="00DF4478" w:rsidRPr="00BE42B7" w:rsidRDefault="009B4E7F" w:rsidP="009B4E7F">
            <w:pPr>
              <w:tabs>
                <w:tab w:val="left" w:pos="1704"/>
              </w:tabs>
              <w:rPr>
                <w:rFonts w:ascii="Times New Roman" w:eastAsia="黑体" w:hAnsi="Times New Roman" w:cs="Times New Roman"/>
                <w:sz w:val="32"/>
                <w:szCs w:val="28"/>
              </w:rPr>
            </w:pPr>
            <w:r>
              <w:rPr>
                <w:rFonts w:ascii="Times New Roman" w:eastAsia="黑体" w:hAnsi="Times New Roman" w:cs="Times New Roman"/>
                <w:sz w:val="32"/>
                <w:szCs w:val="28"/>
              </w:rPr>
              <w:tab/>
            </w:r>
          </w:p>
        </w:tc>
      </w:tr>
    </w:tbl>
    <w:p w:rsidR="00AF226B" w:rsidRPr="00DF4478" w:rsidRDefault="00AF226B" w:rsidP="00236026">
      <w:pPr>
        <w:jc w:val="left"/>
        <w:rPr>
          <w:rFonts w:ascii="Times New Roman" w:hAnsi="Times New Roman" w:cs="Times New Roman"/>
          <w:sz w:val="24"/>
          <w:szCs w:val="24"/>
        </w:rPr>
      </w:pPr>
      <w:r w:rsidRPr="00DF4478">
        <w:rPr>
          <w:rFonts w:ascii="Times New Roman" w:hAnsi="Times New Roman" w:cs="Times New Roman"/>
          <w:sz w:val="24"/>
          <w:szCs w:val="24"/>
        </w:rPr>
        <w:t>Table S</w:t>
      </w:r>
      <w:r w:rsidR="00ED7859">
        <w:rPr>
          <w:rFonts w:ascii="Times New Roman" w:hAnsi="Times New Roman" w:cs="Times New Roman" w:hint="eastAsia"/>
          <w:sz w:val="24"/>
          <w:szCs w:val="24"/>
        </w:rPr>
        <w:t>2</w:t>
      </w:r>
      <w:r w:rsidRPr="00DF4478">
        <w:rPr>
          <w:rFonts w:ascii="Times New Roman" w:hAnsi="Times New Roman" w:cs="Times New Roman"/>
          <w:sz w:val="24"/>
          <w:szCs w:val="24"/>
        </w:rPr>
        <w:t xml:space="preserve">. Point assignment from </w:t>
      </w:r>
      <w:proofErr w:type="spellStart"/>
      <w:r w:rsidRPr="00DF4478">
        <w:rPr>
          <w:rFonts w:ascii="Times New Roman" w:hAnsi="Times New Roman" w:cs="Times New Roman"/>
          <w:sz w:val="24"/>
          <w:szCs w:val="24"/>
        </w:rPr>
        <w:t>nomogram</w:t>
      </w:r>
      <w:proofErr w:type="spellEnd"/>
      <w:r w:rsidRPr="00DF4478">
        <w:rPr>
          <w:rFonts w:ascii="Times New Roman" w:hAnsi="Times New Roman" w:cs="Times New Roman" w:hint="eastAsia"/>
          <w:sz w:val="24"/>
          <w:szCs w:val="24"/>
        </w:rPr>
        <w:t xml:space="preserve"> for predicting tumor progression</w:t>
      </w:r>
    </w:p>
    <w:p w:rsidR="00AF226B" w:rsidRPr="00E730C1" w:rsidRDefault="00AF226B" w:rsidP="00AF226B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</w:p>
    <w:tbl>
      <w:tblPr>
        <w:tblW w:w="9693" w:type="dxa"/>
        <w:tblInd w:w="97" w:type="dxa"/>
        <w:tblLook w:val="04A0"/>
      </w:tblPr>
      <w:tblGrid>
        <w:gridCol w:w="303"/>
        <w:gridCol w:w="1084"/>
        <w:gridCol w:w="171"/>
        <w:gridCol w:w="1184"/>
        <w:gridCol w:w="131"/>
        <w:gridCol w:w="436"/>
        <w:gridCol w:w="236"/>
        <w:gridCol w:w="446"/>
        <w:gridCol w:w="236"/>
        <w:gridCol w:w="277"/>
        <w:gridCol w:w="383"/>
        <w:gridCol w:w="236"/>
        <w:gridCol w:w="780"/>
        <w:gridCol w:w="182"/>
        <w:gridCol w:w="324"/>
        <w:gridCol w:w="236"/>
        <w:gridCol w:w="962"/>
        <w:gridCol w:w="96"/>
        <w:gridCol w:w="262"/>
        <w:gridCol w:w="567"/>
        <w:gridCol w:w="236"/>
        <w:gridCol w:w="134"/>
        <w:gridCol w:w="550"/>
        <w:gridCol w:w="69"/>
        <w:gridCol w:w="209"/>
      </w:tblGrid>
      <w:tr w:rsidR="00AF226B" w:rsidRPr="00E730C1" w:rsidTr="00B032DE">
        <w:trPr>
          <w:gridAfter w:val="2"/>
          <w:wAfter w:w="278" w:type="dxa"/>
          <w:trHeight w:val="280"/>
        </w:trPr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rightChars="-42" w:right="-88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Hlk18140806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119" w:left="-250" w:rightChars="-42" w:right="-88" w:firstLineChars="113" w:firstLine="249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tumor parameters 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119" w:left="-250" w:firstLineChars="113" w:firstLine="249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points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tabs>
                <w:tab w:val="left" w:pos="0"/>
              </w:tabs>
              <w:ind w:leftChars="-84" w:left="-176" w:firstLineChars="80" w:firstLine="17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</w:t>
            </w:r>
            <w:bookmarkStart w:id="1" w:name="OLE_LINK93"/>
            <w:bookmarkStart w:id="2" w:name="OLE_LINK94"/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hyroid function parameter</w:t>
            </w:r>
            <w:bookmarkEnd w:id="1"/>
            <w:bookmarkEnd w:id="2"/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s 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points</w:t>
            </w:r>
          </w:p>
        </w:tc>
      </w:tr>
      <w:bookmarkEnd w:id="0"/>
      <w:tr w:rsidR="00AF226B" w:rsidRPr="00E730C1" w:rsidTr="00B032DE">
        <w:trPr>
          <w:gridAfter w:val="4"/>
          <w:wAfter w:w="962" w:type="dxa"/>
          <w:trHeight w:val="144"/>
        </w:trPr>
        <w:tc>
          <w:tcPr>
            <w:tcW w:w="1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E730C1" w:rsidTr="00B032DE">
        <w:trPr>
          <w:gridAfter w:val="1"/>
          <w:wAfter w:w="209" w:type="dxa"/>
          <w:trHeight w:val="125"/>
        </w:trPr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AF226B" w:rsidRPr="00E730C1" w:rsidTr="00B032DE">
        <w:trPr>
          <w:gridAfter w:val="3"/>
          <w:wAfter w:w="828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BCLC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0-B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441" w:left="926" w:firstLineChars="105" w:firstLine="23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TSH(</w:t>
            </w:r>
            <w:proofErr w:type="spellStart"/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uIU</w:t>
            </w:r>
            <w:proofErr w:type="spellEnd"/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/ml)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51" w:lef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 5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rightChars="338" w:right="710" w:hangingChars="366" w:hanging="805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AF226B" w:rsidRPr="00E730C1" w:rsidTr="00B032DE">
        <w:trPr>
          <w:gridAfter w:val="3"/>
          <w:wAfter w:w="828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C-D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5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441" w:left="926" w:firstLineChars="55" w:firstLine="12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51" w:left="-107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＞</w:t>
            </w: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rightChars="338" w:right="710" w:hangingChars="366" w:hanging="805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AF226B" w:rsidRPr="00E730C1" w:rsidTr="00B032DE">
        <w:trPr>
          <w:gridAfter w:val="6"/>
          <w:wAfter w:w="1765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5F6792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AFP(</w:t>
            </w:r>
            <w:r w:rsidR="005F6792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n</w:t>
            </w:r>
            <w:r w:rsidR="009D3FB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g/m</w:t>
            </w:r>
            <w:r w:rsidR="009D3FB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L</w:t>
            </w: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≤400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rightChars="86" w:right="18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E730C1" w:rsidTr="00B032DE">
        <w:trPr>
          <w:gridAfter w:val="5"/>
          <w:wAfter w:w="1198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＞</w:t>
            </w: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E730C1" w:rsidTr="00B032DE">
        <w:trPr>
          <w:gridAfter w:val="5"/>
          <w:wAfter w:w="1198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PVTT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No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E730C1" w:rsidTr="00B032DE">
        <w:trPr>
          <w:gridAfter w:val="5"/>
          <w:wAfter w:w="1198" w:type="dxa"/>
          <w:trHeight w:val="280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="1036" w:rightChars="16" w:right="34" w:hangingChars="471" w:hanging="1036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Yes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730C1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E730C1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F226B" w:rsidRPr="008C27B7" w:rsidTr="00B032DE">
        <w:trPr>
          <w:trHeight w:val="155"/>
        </w:trPr>
        <w:tc>
          <w:tcPr>
            <w:tcW w:w="1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F226B" w:rsidRPr="008C27B7" w:rsidTr="00B032DE">
        <w:trPr>
          <w:trHeight w:val="114"/>
        </w:trPr>
        <w:tc>
          <w:tcPr>
            <w:tcW w:w="15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26B" w:rsidRPr="008C27B7" w:rsidRDefault="00AF226B" w:rsidP="00B032DE">
            <w:pPr>
              <w:widowControl/>
              <w:ind w:leftChars="-383" w:left="1" w:hangingChars="366" w:hanging="805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B4E7F" w:rsidRDefault="009B4E7F" w:rsidP="004401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OLE_LINK97"/>
      <w:bookmarkStart w:id="4" w:name="OLE_LINK134"/>
      <w:bookmarkEnd w:id="3"/>
      <w:bookmarkEnd w:id="4"/>
    </w:p>
    <w:p w:rsidR="00400CE7" w:rsidRDefault="00400CE7" w:rsidP="00400CE7">
      <w:pPr>
        <w:rPr>
          <w:rFonts w:ascii="Times New Roman" w:eastAsia="黑体" w:hAnsi="Times New Roman" w:cs="Times New Roman"/>
          <w:sz w:val="24"/>
          <w:szCs w:val="28"/>
        </w:rPr>
      </w:pPr>
      <w:r w:rsidRPr="00DF4478">
        <w:rPr>
          <w:rFonts w:ascii="Times New Roman" w:eastAsia="黑体" w:hAnsi="Times New Roman" w:cs="Times New Roman"/>
          <w:sz w:val="24"/>
          <w:szCs w:val="28"/>
        </w:rPr>
        <w:lastRenderedPageBreak/>
        <w:t>Table</w:t>
      </w:r>
      <w:r w:rsidRPr="00DF4478">
        <w:rPr>
          <w:rFonts w:ascii="Times New Roman" w:eastAsia="黑体" w:hAnsi="Times New Roman" w:cs="Times New Roman" w:hint="eastAsia"/>
          <w:sz w:val="24"/>
          <w:szCs w:val="28"/>
        </w:rPr>
        <w:t xml:space="preserve"> S</w:t>
      </w:r>
      <w:r w:rsidR="00ED7859">
        <w:rPr>
          <w:rFonts w:ascii="Times New Roman" w:eastAsia="黑体" w:hAnsi="Times New Roman" w:cs="Times New Roman" w:hint="eastAsia"/>
          <w:sz w:val="24"/>
          <w:szCs w:val="28"/>
        </w:rPr>
        <w:t>3</w:t>
      </w:r>
      <w:r w:rsidRPr="00DF4478">
        <w:rPr>
          <w:rFonts w:ascii="Times New Roman" w:eastAsia="黑体" w:hAnsi="Times New Roman" w:cs="Times New Roman"/>
          <w:sz w:val="24"/>
          <w:szCs w:val="28"/>
        </w:rPr>
        <w:t>.Characteristics</w:t>
      </w:r>
      <w:r w:rsidRPr="00DF4478">
        <w:rPr>
          <w:rFonts w:ascii="Times New Roman" w:eastAsia="黑体" w:hAnsi="Times New Roman" w:cs="Times New Roman" w:hint="eastAsia"/>
          <w:sz w:val="24"/>
          <w:szCs w:val="28"/>
        </w:rPr>
        <w:t xml:space="preserve"> </w:t>
      </w:r>
      <w:r w:rsidRPr="00DF4478">
        <w:rPr>
          <w:rFonts w:ascii="Times New Roman" w:eastAsia="黑体" w:hAnsi="Times New Roman" w:cs="Times New Roman"/>
          <w:sz w:val="24"/>
          <w:szCs w:val="28"/>
        </w:rPr>
        <w:t xml:space="preserve">of patients with </w:t>
      </w:r>
      <w:proofErr w:type="spellStart"/>
      <w:r w:rsidRPr="00DF4478">
        <w:rPr>
          <w:rFonts w:ascii="Times New Roman" w:eastAsia="黑体" w:hAnsi="Times New Roman" w:cs="Times New Roman"/>
          <w:sz w:val="24"/>
          <w:szCs w:val="28"/>
        </w:rPr>
        <w:t>hepatocellular</w:t>
      </w:r>
      <w:proofErr w:type="spellEnd"/>
      <w:r w:rsidRPr="00DF4478">
        <w:rPr>
          <w:rFonts w:ascii="Times New Roman" w:eastAsia="黑体" w:hAnsi="Times New Roman" w:cs="Times New Roman"/>
          <w:sz w:val="24"/>
          <w:szCs w:val="28"/>
        </w:rPr>
        <w:t xml:space="preserve"> carcinoma according to outcome in prospective cohort</w:t>
      </w:r>
    </w:p>
    <w:p w:rsidR="00400CE7" w:rsidRPr="00DF4478" w:rsidRDefault="00400CE7" w:rsidP="00400CE7">
      <w:pPr>
        <w:rPr>
          <w:rFonts w:ascii="Times New Roman" w:eastAsia="黑体" w:hAnsi="Times New Roman" w:cs="Times New Roman"/>
          <w:sz w:val="24"/>
          <w:szCs w:val="28"/>
        </w:rPr>
      </w:pPr>
    </w:p>
    <w:tbl>
      <w:tblPr>
        <w:tblW w:w="9035" w:type="dxa"/>
        <w:tblInd w:w="97" w:type="dxa"/>
        <w:tblLook w:val="04A0"/>
      </w:tblPr>
      <w:tblGrid>
        <w:gridCol w:w="2279"/>
        <w:gridCol w:w="1096"/>
        <w:gridCol w:w="1400"/>
        <w:gridCol w:w="1440"/>
        <w:gridCol w:w="1860"/>
        <w:gridCol w:w="960"/>
      </w:tblGrid>
      <w:tr w:rsidR="00400CE7" w:rsidRPr="005B27AB" w:rsidTr="005128CF">
        <w:trPr>
          <w:trHeight w:val="280"/>
        </w:trPr>
        <w:tc>
          <w:tcPr>
            <w:tcW w:w="227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All cohort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Progression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No progression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P value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n=77(%)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n=13(%)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n=64(%)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Age(</w:t>
            </w: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50y)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60(77.9)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13(100.0)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47(73.4)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0.03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Gender(male)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71(92.2)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60(93.8)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Smoking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2(2.6)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0(0.0)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2(3.1)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Alcohol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2(2.6)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1(7.7)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1(1.6)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0.21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Cirrhosis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73(94.8)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13(100.0)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60(93.8)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0.36</w:t>
            </w:r>
          </w:p>
        </w:tc>
      </w:tr>
      <w:tr w:rsidR="00400CE7" w:rsidRPr="005B27AB" w:rsidTr="005128CF">
        <w:trPr>
          <w:trHeight w:val="280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PVTT at baseline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26(33.8)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8(61.5)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18(28.1)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0.02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16(20.8)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5(38.5)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11(17.2)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0.09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Diabetes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24(31.2)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1(7.7)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23(35.9)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0.05</w:t>
            </w:r>
          </w:p>
        </w:tc>
      </w:tr>
      <w:tr w:rsidR="00400CE7" w:rsidRPr="005B27AB" w:rsidTr="005128CF">
        <w:trPr>
          <w:trHeight w:val="280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Coronary disease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9(11.7)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1(7.7)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8(12.5)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0.62</w:t>
            </w:r>
          </w:p>
        </w:tc>
      </w:tr>
      <w:tr w:rsidR="00400CE7" w:rsidRPr="005B27AB" w:rsidTr="005128CF">
        <w:trPr>
          <w:trHeight w:val="280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Child‐Pugh(A+B)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71(92.2)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13(100.0)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58(90.6)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0.25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BCLC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 0-B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62(80.5)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7(53.8)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55(85.9)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0.008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   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 xml:space="preserve"> C-D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15(19.5)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6(46.2)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9(14.1)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Tumor multiplicity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Solitary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38(49.4)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7(53.8)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31(48.4)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0.72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multiple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39(50.6)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6(46.2)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33(51.6)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Tumor size(≤5cm)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59(76.6)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48(75.0)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0.46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WBC(10</w:t>
            </w: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9</w:t>
            </w: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33(42.9)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4(30.8)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29(45.3)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0.33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44(57.1)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9(69.2)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35(54.7)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HGB(g/L)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26(33.8)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4(30.8)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22(34.4)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0.8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51(66.2)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9(69.2)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42(65.6)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PLT(10</w:t>
            </w: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  <w:vertAlign w:val="superscript"/>
              </w:rPr>
              <w:t>9</w:t>
            </w:r>
            <w:r w:rsidRPr="005B27AB">
              <w:rPr>
                <w:rFonts w:ascii="Times New Roman" w:eastAsia="黑体" w:hAnsi="Times New Roman" w:cs="Times New Roman"/>
                <w:color w:val="000000" w:themeColor="text1"/>
                <w:kern w:val="0"/>
                <w:sz w:val="22"/>
              </w:rPr>
              <w:t>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≤100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43(55.8)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5(38.5)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38(59.4</w:t>
            </w: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0.17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34(44.2)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8(61.5)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26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(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40.6</w:t>
            </w: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BUN(</w:t>
            </w:r>
            <w:proofErr w:type="spell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≤9.5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71(92.2)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60(93.8)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0.26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6(7.8)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2(15.4)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4(6.2)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CR(</w:t>
            </w:r>
            <w:proofErr w:type="spell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μmol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73(94.8)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62(96.9)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0.06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4(5.2)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2(15.4)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2(3.1)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ALT(IU/L)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69(89.6)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13(100.0)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56(87.5)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0.18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黑体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8(10.4)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0(0.0)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8(12.5)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TBIL(</w:t>
            </w:r>
            <w:proofErr w:type="spell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umol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≤18.8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38(49.4)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9(69.2)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29(45.3)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0.12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18.8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39(50.6)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4(30.8)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35(54.7)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r-GGT(IU/L)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42(54.5)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9(69.2)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33(51.6)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0.24</w:t>
            </w:r>
          </w:p>
        </w:tc>
      </w:tr>
      <w:tr w:rsidR="00400CE7" w:rsidRPr="005B27AB" w:rsidTr="005128CF">
        <w:trPr>
          <w:trHeight w:val="27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35(45.5)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4(30.8)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31(48.4)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PTA(</w:t>
            </w:r>
            <w:proofErr w:type="gram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%)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25(32.5)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2(15.4)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23(35.9)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0.15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52(67.5)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41(64.1)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AFP(</w:t>
            </w:r>
            <w:proofErr w:type="spellStart"/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n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g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m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2"/>
              </w:rPr>
              <w:t>L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60(77.9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11(84.6)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49(76.6)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0.52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17(22.1)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2(15.4)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15(23.4)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highlight w:val="yellow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TSH(</w:t>
            </w:r>
            <w:proofErr w:type="spellStart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uIU</w:t>
            </w:r>
            <w:proofErr w:type="spellEnd"/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/ml)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61(79.2)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6(46.2)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55(85.9)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righ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0.001</w:t>
            </w:r>
          </w:p>
        </w:tc>
      </w:tr>
      <w:tr w:rsidR="00400CE7" w:rsidRPr="005B27AB" w:rsidTr="005128CF">
        <w:trPr>
          <w:trHeight w:val="280"/>
        </w:trPr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＞</w:t>
            </w: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16(20.8)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7(53.8)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  <w:r w:rsidRPr="005B27AB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9(14.1)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0CE7" w:rsidRPr="005B27AB" w:rsidRDefault="00400CE7" w:rsidP="005128CF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B26695" w:rsidRDefault="00B26695" w:rsidP="00440144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B26695" w:rsidRDefault="00B26695" w:rsidP="004401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1757680"/>
            <wp:effectExtent l="19050" t="0" r="2540" b="0"/>
            <wp:docPr id="4" name="图片 3" descr="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823" w:rsidRDefault="00F71D05" w:rsidP="00484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830">
        <w:rPr>
          <w:rFonts w:ascii="Times New Roman" w:hAnsi="Times New Roman" w:cs="Times New Roman"/>
          <w:sz w:val="24"/>
          <w:szCs w:val="24"/>
        </w:rPr>
        <w:t>Fig.</w:t>
      </w:r>
      <w:r>
        <w:rPr>
          <w:rFonts w:ascii="Times New Roman" w:hAnsi="Times New Roman" w:cs="Times New Roman" w:hint="eastAsia"/>
          <w:sz w:val="24"/>
          <w:szCs w:val="24"/>
        </w:rPr>
        <w:t>S1</w:t>
      </w:r>
      <w:r w:rsidRPr="00AA5830">
        <w:rPr>
          <w:rFonts w:ascii="Times New Roman" w:hAnsi="Times New Roman" w:cs="Times New Roman"/>
          <w:sz w:val="24"/>
          <w:szCs w:val="24"/>
        </w:rPr>
        <w:t>. Risk of progress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AA583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hepatocellular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carcinoma</w:t>
      </w:r>
      <w:r w:rsidRPr="00AA5830">
        <w:rPr>
          <w:rFonts w:ascii="Times New Roman" w:hAnsi="Times New Roman" w:cs="Times New Roman"/>
          <w:sz w:val="24"/>
          <w:szCs w:val="24"/>
        </w:rPr>
        <w:t xml:space="preserve"> patients with different cut-off value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5830">
        <w:rPr>
          <w:rFonts w:ascii="Times New Roman" w:hAnsi="Times New Roman" w:cs="Times New Roman"/>
          <w:sz w:val="24"/>
          <w:szCs w:val="24"/>
        </w:rPr>
        <w:t xml:space="preserve"> (high risk, cut-off &gt; 0.4266; low risk, cut-off ≤ 0.4266) in the deriving and validation cohorts. (A) 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AA5830">
        <w:rPr>
          <w:rFonts w:ascii="Times New Roman" w:hAnsi="Times New Roman" w:cs="Times New Roman"/>
          <w:sz w:val="24"/>
          <w:szCs w:val="24"/>
        </w:rPr>
        <w:t xml:space="preserve">-year </w:t>
      </w:r>
      <w:r>
        <w:rPr>
          <w:rFonts w:ascii="Times New Roman" w:hAnsi="Times New Roman" w:cs="Times New Roman"/>
          <w:sz w:val="24"/>
          <w:szCs w:val="24"/>
        </w:rPr>
        <w:t>progression-free survival (PFS)</w:t>
      </w:r>
      <w:r w:rsidRPr="00AA5830">
        <w:rPr>
          <w:rFonts w:ascii="Times New Roman" w:hAnsi="Times New Roman" w:cs="Times New Roman"/>
          <w:sz w:val="24"/>
          <w:szCs w:val="24"/>
        </w:rPr>
        <w:t xml:space="preserve"> rates of the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5830">
        <w:rPr>
          <w:rFonts w:ascii="Times New Roman" w:hAnsi="Times New Roman" w:cs="Times New Roman"/>
          <w:sz w:val="24"/>
          <w:szCs w:val="24"/>
        </w:rPr>
        <w:t xml:space="preserve"> and 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5830">
        <w:rPr>
          <w:rFonts w:ascii="Times New Roman" w:hAnsi="Times New Roman" w:cs="Times New Roman"/>
          <w:sz w:val="24"/>
          <w:szCs w:val="24"/>
        </w:rPr>
        <w:t>risk group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5830">
        <w:rPr>
          <w:rFonts w:ascii="Times New Roman" w:hAnsi="Times New Roman" w:cs="Times New Roman"/>
          <w:sz w:val="24"/>
          <w:szCs w:val="24"/>
        </w:rPr>
        <w:t xml:space="preserve"> in the deriving cohort. (B) 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AA5830">
        <w:rPr>
          <w:rFonts w:ascii="Times New Roman" w:hAnsi="Times New Roman" w:cs="Times New Roman"/>
          <w:sz w:val="24"/>
          <w:szCs w:val="24"/>
        </w:rPr>
        <w:t xml:space="preserve">-year </w:t>
      </w:r>
      <w:r>
        <w:rPr>
          <w:rFonts w:ascii="Times New Roman" w:hAnsi="Times New Roman" w:cs="Times New Roman"/>
          <w:sz w:val="24"/>
          <w:szCs w:val="24"/>
        </w:rPr>
        <w:t>PFS</w:t>
      </w:r>
      <w:r w:rsidRPr="00AA5830" w:rsidDel="000E6D37">
        <w:rPr>
          <w:rFonts w:ascii="Times New Roman" w:hAnsi="Times New Roman" w:cs="Times New Roman"/>
          <w:sz w:val="24"/>
          <w:szCs w:val="24"/>
        </w:rPr>
        <w:t xml:space="preserve"> </w:t>
      </w:r>
      <w:r w:rsidRPr="00AA5830">
        <w:rPr>
          <w:rFonts w:ascii="Times New Roman" w:hAnsi="Times New Roman" w:cs="Times New Roman"/>
          <w:sz w:val="24"/>
          <w:szCs w:val="24"/>
        </w:rPr>
        <w:t>rates of the high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5830">
        <w:rPr>
          <w:rFonts w:ascii="Times New Roman" w:hAnsi="Times New Roman" w:cs="Times New Roman"/>
          <w:sz w:val="24"/>
          <w:szCs w:val="24"/>
        </w:rPr>
        <w:t xml:space="preserve"> and low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5830">
        <w:rPr>
          <w:rFonts w:ascii="Times New Roman" w:hAnsi="Times New Roman" w:cs="Times New Roman"/>
          <w:sz w:val="24"/>
          <w:szCs w:val="24"/>
        </w:rPr>
        <w:t>risk group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A5830">
        <w:rPr>
          <w:rFonts w:ascii="Times New Roman" w:hAnsi="Times New Roman" w:cs="Times New Roman"/>
          <w:sz w:val="24"/>
          <w:szCs w:val="24"/>
        </w:rPr>
        <w:t xml:space="preserve"> in the validation </w:t>
      </w:r>
      <w:r>
        <w:rPr>
          <w:rFonts w:ascii="Times New Roman" w:hAnsi="Times New Roman" w:cs="Times New Roman"/>
          <w:sz w:val="24"/>
          <w:szCs w:val="24"/>
        </w:rPr>
        <w:t>cohort</w:t>
      </w:r>
      <w:r w:rsidRPr="00AA5830">
        <w:rPr>
          <w:rFonts w:ascii="Times New Roman" w:hAnsi="Times New Roman" w:cs="Times New Roman"/>
          <w:sz w:val="24"/>
          <w:szCs w:val="24"/>
        </w:rPr>
        <w:t>. The Kaplan–Meier curve shows</w:t>
      </w:r>
      <w:r w:rsidRPr="00AA58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 </w:t>
      </w:r>
      <w:r w:rsidRPr="00AA5830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AA58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value </w:t>
      </w:r>
      <w:r w:rsidRPr="00AA5830">
        <w:rPr>
          <w:rFonts w:ascii="Times New Roman" w:hAnsi="Times New Roman" w:cs="Times New Roman"/>
          <w:kern w:val="0"/>
          <w:sz w:val="24"/>
          <w:szCs w:val="24"/>
        </w:rPr>
        <w:t xml:space="preserve">&lt; 0.0001 </w:t>
      </w:r>
      <w:r>
        <w:rPr>
          <w:rFonts w:ascii="Times New Roman" w:hAnsi="Times New Roman" w:cs="Times New Roman"/>
          <w:sz w:val="24"/>
          <w:szCs w:val="24"/>
        </w:rPr>
        <w:t>via the log-rank test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D21ECB" w:rsidRDefault="00EA3823" w:rsidP="00484D6A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648445" cy="1718840"/>
            <wp:effectExtent l="0" t="0" r="0" b="0"/>
            <wp:docPr id="3" name="图片 2" descr="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634" cy="171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D6A" w:rsidRDefault="00484D6A" w:rsidP="00484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830">
        <w:rPr>
          <w:rFonts w:ascii="Times New Roman" w:hAnsi="Times New Roman" w:cs="Times New Roman"/>
          <w:sz w:val="24"/>
          <w:szCs w:val="24"/>
        </w:rPr>
        <w:t>Fig.</w:t>
      </w:r>
      <w:r>
        <w:rPr>
          <w:rFonts w:ascii="Times New Roman" w:hAnsi="Times New Roman" w:cs="Times New Roman" w:hint="eastAsia"/>
          <w:sz w:val="24"/>
          <w:szCs w:val="24"/>
        </w:rPr>
        <w:t>S2</w:t>
      </w:r>
      <w:r w:rsidRPr="00AA5830">
        <w:rPr>
          <w:rFonts w:ascii="Times New Roman" w:hAnsi="Times New Roman" w:cs="Times New Roman"/>
          <w:sz w:val="24"/>
          <w:szCs w:val="24"/>
        </w:rPr>
        <w:t>. Risk of progress</w:t>
      </w:r>
      <w:r>
        <w:rPr>
          <w:rFonts w:ascii="Times New Roman" w:hAnsi="Times New Roman" w:cs="Times New Roman"/>
          <w:sz w:val="24"/>
          <w:szCs w:val="24"/>
        </w:rPr>
        <w:t>ion</w:t>
      </w:r>
      <w:r w:rsidRPr="00AA583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hepatocellular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carcinoma</w:t>
      </w:r>
      <w:r w:rsidRPr="00AA5830">
        <w:rPr>
          <w:rFonts w:ascii="Times New Roman" w:hAnsi="Times New Roman" w:cs="Times New Roman"/>
          <w:sz w:val="24"/>
          <w:szCs w:val="24"/>
        </w:rPr>
        <w:t xml:space="preserve"> patients </w:t>
      </w:r>
      <w:r w:rsidRPr="005F4FAF">
        <w:rPr>
          <w:rFonts w:ascii="Times New Roman" w:hAnsi="Times New Roman" w:cs="Times New Roman"/>
          <w:sz w:val="24"/>
          <w:szCs w:val="24"/>
        </w:rPr>
        <w:t xml:space="preserve">in groups with high and low levels of </w:t>
      </w:r>
      <w:r>
        <w:rPr>
          <w:rFonts w:ascii="Times New Roman" w:hAnsi="Times New Roman" w:cs="Times New Roman" w:hint="eastAsia"/>
          <w:sz w:val="24"/>
          <w:szCs w:val="24"/>
        </w:rPr>
        <w:t>TSH</w:t>
      </w:r>
      <w:r w:rsidRPr="005F4FAF">
        <w:rPr>
          <w:rFonts w:ascii="Times New Roman" w:hAnsi="Times New Roman" w:cs="Times New Roman"/>
          <w:sz w:val="24"/>
          <w:szCs w:val="24"/>
        </w:rPr>
        <w:t xml:space="preserve"> </w:t>
      </w:r>
      <w:r w:rsidRPr="00AA5830">
        <w:rPr>
          <w:rFonts w:ascii="Times New Roman" w:hAnsi="Times New Roman" w:cs="Times New Roman"/>
          <w:sz w:val="24"/>
          <w:szCs w:val="24"/>
        </w:rPr>
        <w:t>in the deriving cohorts</w:t>
      </w:r>
      <w:r>
        <w:rPr>
          <w:rFonts w:ascii="Times New Roman" w:hAnsi="Times New Roman" w:cs="Times New Roman" w:hint="eastAsia"/>
          <w:sz w:val="24"/>
          <w:szCs w:val="24"/>
        </w:rPr>
        <w:t xml:space="preserve"> under </w:t>
      </w:r>
      <w:r w:rsidRPr="005F4FAF">
        <w:rPr>
          <w:rFonts w:ascii="Times New Roman" w:hAnsi="Times New Roman" w:cs="Times New Roman"/>
          <w:sz w:val="24"/>
          <w:szCs w:val="24"/>
        </w:rPr>
        <w:t>different treatment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AA5830">
        <w:rPr>
          <w:rFonts w:ascii="Times New Roman" w:hAnsi="Times New Roman" w:cs="Times New Roman"/>
          <w:sz w:val="24"/>
          <w:szCs w:val="24"/>
        </w:rPr>
        <w:t xml:space="preserve">. (A) </w:t>
      </w:r>
      <w:r w:rsidRPr="004B2E73">
        <w:rPr>
          <w:rFonts w:ascii="Times New Roman" w:hAnsi="Times New Roman" w:cs="Times New Roman"/>
          <w:sz w:val="24"/>
          <w:szCs w:val="24"/>
        </w:rPr>
        <w:t>One-year PFS rates with high and low levels of TSH under conservative treatment.</w:t>
      </w:r>
      <w:r w:rsidRPr="00AA5830">
        <w:rPr>
          <w:rFonts w:ascii="Times New Roman" w:hAnsi="Times New Roman" w:cs="Times New Roman"/>
          <w:sz w:val="24"/>
          <w:szCs w:val="24"/>
        </w:rPr>
        <w:t xml:space="preserve"> (B) 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AA5830">
        <w:rPr>
          <w:rFonts w:ascii="Times New Roman" w:hAnsi="Times New Roman" w:cs="Times New Roman"/>
          <w:sz w:val="24"/>
          <w:szCs w:val="24"/>
        </w:rPr>
        <w:t xml:space="preserve">-year </w:t>
      </w:r>
      <w:r>
        <w:rPr>
          <w:rFonts w:ascii="Times New Roman" w:hAnsi="Times New Roman" w:cs="Times New Roman"/>
          <w:sz w:val="24"/>
          <w:szCs w:val="24"/>
        </w:rPr>
        <w:t>PFS</w:t>
      </w:r>
      <w:r w:rsidRPr="00AA5830" w:rsidDel="000E6D37">
        <w:rPr>
          <w:rFonts w:ascii="Times New Roman" w:hAnsi="Times New Roman" w:cs="Times New Roman"/>
          <w:sz w:val="24"/>
          <w:szCs w:val="24"/>
        </w:rPr>
        <w:t xml:space="preserve"> </w:t>
      </w:r>
      <w:r w:rsidRPr="00AA5830">
        <w:rPr>
          <w:rFonts w:ascii="Times New Roman" w:hAnsi="Times New Roman" w:cs="Times New Roman"/>
          <w:sz w:val="24"/>
          <w:szCs w:val="24"/>
        </w:rPr>
        <w:t>rates</w:t>
      </w:r>
      <w:r w:rsidRPr="004B2E73">
        <w:rPr>
          <w:rFonts w:ascii="Times New Roman" w:hAnsi="Times New Roman" w:cs="Times New Roman"/>
          <w:sz w:val="24"/>
          <w:szCs w:val="24"/>
        </w:rPr>
        <w:t xml:space="preserve"> </w:t>
      </w:r>
      <w:r w:rsidRPr="005D7D83">
        <w:rPr>
          <w:rFonts w:ascii="Times New Roman" w:hAnsi="Times New Roman" w:cs="Times New Roman"/>
          <w:sz w:val="24"/>
          <w:szCs w:val="24"/>
        </w:rPr>
        <w:t xml:space="preserve">with high and low levels of </w:t>
      </w:r>
      <w:r>
        <w:rPr>
          <w:rFonts w:ascii="Times New Roman" w:hAnsi="Times New Roman" w:cs="Times New Roman" w:hint="eastAsia"/>
          <w:sz w:val="24"/>
          <w:szCs w:val="24"/>
        </w:rPr>
        <w:t>TSH</w:t>
      </w:r>
      <w:r w:rsidRPr="005D7D83">
        <w:rPr>
          <w:rFonts w:ascii="Times New Roman" w:hAnsi="Times New Roman" w:cs="Times New Roman"/>
          <w:sz w:val="24"/>
          <w:szCs w:val="24"/>
        </w:rPr>
        <w:t xml:space="preserve"> under </w:t>
      </w:r>
      <w:r w:rsidRPr="004B2E73">
        <w:rPr>
          <w:rFonts w:ascii="Times New Roman" w:hAnsi="Times New Roman" w:cs="Times New Roman" w:hint="eastAsia"/>
          <w:sz w:val="24"/>
          <w:szCs w:val="24"/>
        </w:rPr>
        <w:t>m</w:t>
      </w:r>
      <w:r w:rsidRPr="004B2E73">
        <w:rPr>
          <w:rFonts w:ascii="Times New Roman" w:hAnsi="Times New Roman" w:cs="Times New Roman"/>
          <w:sz w:val="24"/>
          <w:szCs w:val="24"/>
        </w:rPr>
        <w:t>inimally invasive</w:t>
      </w:r>
      <w:r w:rsidRPr="005D7D83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AA5830">
        <w:rPr>
          <w:rFonts w:ascii="Times New Roman" w:hAnsi="Times New Roman" w:cs="Times New Roman"/>
          <w:sz w:val="24"/>
          <w:szCs w:val="24"/>
        </w:rPr>
        <w:t>.</w:t>
      </w:r>
      <w:r w:rsidRPr="005D7D83">
        <w:rPr>
          <w:rFonts w:ascii="Times New Roman" w:hAnsi="Times New Roman" w:cs="Times New Roman"/>
          <w:sz w:val="24"/>
          <w:szCs w:val="24"/>
        </w:rPr>
        <w:t xml:space="preserve"> </w:t>
      </w:r>
      <w:r w:rsidRPr="00AA58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AA58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AA5830">
        <w:rPr>
          <w:rFonts w:ascii="Times New Roman" w:hAnsi="Times New Roman" w:cs="Times New Roman"/>
          <w:sz w:val="24"/>
          <w:szCs w:val="24"/>
        </w:rPr>
        <w:t xml:space="preserve">-year </w:t>
      </w:r>
      <w:r>
        <w:rPr>
          <w:rFonts w:ascii="Times New Roman" w:hAnsi="Times New Roman" w:cs="Times New Roman"/>
          <w:sz w:val="24"/>
          <w:szCs w:val="24"/>
        </w:rPr>
        <w:t>PFS</w:t>
      </w:r>
      <w:r w:rsidRPr="00AA5830" w:rsidDel="000E6D37">
        <w:rPr>
          <w:rFonts w:ascii="Times New Roman" w:hAnsi="Times New Roman" w:cs="Times New Roman"/>
          <w:sz w:val="24"/>
          <w:szCs w:val="24"/>
        </w:rPr>
        <w:t xml:space="preserve"> </w:t>
      </w:r>
      <w:r w:rsidRPr="00AA5830">
        <w:rPr>
          <w:rFonts w:ascii="Times New Roman" w:hAnsi="Times New Roman" w:cs="Times New Roman"/>
          <w:sz w:val="24"/>
          <w:szCs w:val="24"/>
        </w:rPr>
        <w:t>rates</w:t>
      </w:r>
      <w:r w:rsidRPr="004B2E73">
        <w:rPr>
          <w:rFonts w:ascii="Times New Roman" w:hAnsi="Times New Roman" w:cs="Times New Roman"/>
          <w:sz w:val="24"/>
          <w:szCs w:val="24"/>
        </w:rPr>
        <w:t xml:space="preserve"> </w:t>
      </w:r>
      <w:r w:rsidRPr="005D7D83">
        <w:rPr>
          <w:rFonts w:ascii="Times New Roman" w:hAnsi="Times New Roman" w:cs="Times New Roman"/>
          <w:sz w:val="24"/>
          <w:szCs w:val="24"/>
        </w:rPr>
        <w:t xml:space="preserve">with high and low levels of </w:t>
      </w:r>
      <w:r>
        <w:rPr>
          <w:rFonts w:ascii="Times New Roman" w:hAnsi="Times New Roman" w:cs="Times New Roman" w:hint="eastAsia"/>
          <w:sz w:val="24"/>
          <w:szCs w:val="24"/>
        </w:rPr>
        <w:t>TSH</w:t>
      </w:r>
      <w:r w:rsidRPr="005D7D83">
        <w:rPr>
          <w:rFonts w:ascii="Times New Roman" w:hAnsi="Times New Roman" w:cs="Times New Roman"/>
          <w:sz w:val="24"/>
          <w:szCs w:val="24"/>
        </w:rPr>
        <w:t xml:space="preserve"> under </w:t>
      </w:r>
      <w:r w:rsidRPr="004B2E73">
        <w:rPr>
          <w:rFonts w:ascii="Times New Roman" w:hAnsi="Times New Roman" w:cs="Times New Roman" w:hint="eastAsia"/>
          <w:sz w:val="24"/>
          <w:szCs w:val="24"/>
        </w:rPr>
        <w:t>r</w:t>
      </w:r>
      <w:r w:rsidRPr="004B2E73">
        <w:rPr>
          <w:rFonts w:ascii="Times New Roman" w:hAnsi="Times New Roman" w:cs="Times New Roman"/>
          <w:sz w:val="24"/>
          <w:szCs w:val="24"/>
        </w:rPr>
        <w:t>esection</w:t>
      </w:r>
      <w:r w:rsidRPr="005D7D83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AA5830">
        <w:rPr>
          <w:rFonts w:ascii="Times New Roman" w:hAnsi="Times New Roman" w:cs="Times New Roman"/>
          <w:sz w:val="24"/>
          <w:szCs w:val="24"/>
        </w:rPr>
        <w:t>. The Kaplan–Meier curve shows</w:t>
      </w:r>
      <w:r w:rsidRPr="004B2E73">
        <w:rPr>
          <w:rFonts w:ascii="Times New Roman" w:hAnsi="Times New Roman" w:cs="Times New Roman"/>
          <w:sz w:val="24"/>
          <w:szCs w:val="24"/>
        </w:rPr>
        <w:t xml:space="preserve"> a P value &lt; 0.0001 </w:t>
      </w:r>
      <w:r>
        <w:rPr>
          <w:rFonts w:ascii="Times New Roman" w:hAnsi="Times New Roman" w:cs="Times New Roman"/>
          <w:sz w:val="24"/>
          <w:szCs w:val="24"/>
        </w:rPr>
        <w:t>via the log-rank test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BF4EA7" w:rsidRDefault="00BF4EA7" w:rsidP="00484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4EA7" w:rsidRDefault="00BF4EA7" w:rsidP="00484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4EA7" w:rsidRPr="009B4E7F" w:rsidRDefault="00BF4EA7" w:rsidP="00484D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84D6A" w:rsidRPr="00AF51A6" w:rsidRDefault="00484D6A" w:rsidP="004401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84D6A" w:rsidRPr="00AF51A6" w:rsidSect="0003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407" w:rsidRDefault="00EE5407" w:rsidP="00AF226B">
      <w:r>
        <w:separator/>
      </w:r>
    </w:p>
  </w:endnote>
  <w:endnote w:type="continuationSeparator" w:id="0">
    <w:p w:rsidR="00EE5407" w:rsidRDefault="00EE5407" w:rsidP="00AF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407" w:rsidRDefault="00EE5407" w:rsidP="00AF226B">
      <w:r>
        <w:separator/>
      </w:r>
    </w:p>
  </w:footnote>
  <w:footnote w:type="continuationSeparator" w:id="0">
    <w:p w:rsidR="00EE5407" w:rsidRDefault="00EE5407" w:rsidP="00AF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26B"/>
    <w:rsid w:val="00000BA4"/>
    <w:rsid w:val="00037905"/>
    <w:rsid w:val="000D122D"/>
    <w:rsid w:val="000E57B0"/>
    <w:rsid w:val="000F0E9A"/>
    <w:rsid w:val="00117013"/>
    <w:rsid w:val="001C6222"/>
    <w:rsid w:val="001E78AA"/>
    <w:rsid w:val="00217CC0"/>
    <w:rsid w:val="00236026"/>
    <w:rsid w:val="002809B2"/>
    <w:rsid w:val="002B6B79"/>
    <w:rsid w:val="002D6D8D"/>
    <w:rsid w:val="002D7390"/>
    <w:rsid w:val="00310CF9"/>
    <w:rsid w:val="00334066"/>
    <w:rsid w:val="00381B0F"/>
    <w:rsid w:val="003A55AE"/>
    <w:rsid w:val="00400CE7"/>
    <w:rsid w:val="00440144"/>
    <w:rsid w:val="0045647F"/>
    <w:rsid w:val="00484D6A"/>
    <w:rsid w:val="004B2E73"/>
    <w:rsid w:val="004B3E1E"/>
    <w:rsid w:val="004C07ED"/>
    <w:rsid w:val="00500AC7"/>
    <w:rsid w:val="00540B32"/>
    <w:rsid w:val="005A0372"/>
    <w:rsid w:val="005D7D83"/>
    <w:rsid w:val="005F4FAF"/>
    <w:rsid w:val="005F6792"/>
    <w:rsid w:val="006D4E14"/>
    <w:rsid w:val="00705617"/>
    <w:rsid w:val="00797FCA"/>
    <w:rsid w:val="00804E6E"/>
    <w:rsid w:val="008C470B"/>
    <w:rsid w:val="009B4E7F"/>
    <w:rsid w:val="009D3FB5"/>
    <w:rsid w:val="009E6083"/>
    <w:rsid w:val="00A5627B"/>
    <w:rsid w:val="00AB4348"/>
    <w:rsid w:val="00AF226B"/>
    <w:rsid w:val="00AF51A6"/>
    <w:rsid w:val="00B26695"/>
    <w:rsid w:val="00BE3418"/>
    <w:rsid w:val="00BF4EA7"/>
    <w:rsid w:val="00D21ECB"/>
    <w:rsid w:val="00D76777"/>
    <w:rsid w:val="00D84DEF"/>
    <w:rsid w:val="00DF4478"/>
    <w:rsid w:val="00E620FA"/>
    <w:rsid w:val="00E97229"/>
    <w:rsid w:val="00EA200B"/>
    <w:rsid w:val="00EA3823"/>
    <w:rsid w:val="00ED7859"/>
    <w:rsid w:val="00EE5407"/>
    <w:rsid w:val="00F01309"/>
    <w:rsid w:val="00F7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2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2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D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1D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49</cp:revision>
  <dcterms:created xsi:type="dcterms:W3CDTF">2019-10-01T01:18:00Z</dcterms:created>
  <dcterms:modified xsi:type="dcterms:W3CDTF">2020-10-01T11:25:00Z</dcterms:modified>
</cp:coreProperties>
</file>