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D4C63" w14:textId="77777777" w:rsidR="00E972F5" w:rsidRDefault="00E972F5" w:rsidP="00E972F5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Supplement</w:t>
      </w:r>
    </w:p>
    <w:p w14:paraId="42882345" w14:textId="77777777" w:rsidR="00E972F5" w:rsidRDefault="00E972F5" w:rsidP="00E972F5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Supplement Fig. 1 LINC00963 affected proliferation, apoptosis, </w:t>
      </w:r>
      <w:proofErr w:type="gramStart"/>
      <w:r>
        <w:rPr>
          <w:rFonts w:ascii="Times New Roman" w:hAnsi="Times New Roman" w:cs="Times New Roman" w:hint="eastAsia"/>
          <w:sz w:val="24"/>
        </w:rPr>
        <w:t>migration</w:t>
      </w:r>
      <w:proofErr w:type="gramEnd"/>
      <w:r>
        <w:rPr>
          <w:rFonts w:ascii="Times New Roman" w:hAnsi="Times New Roman" w:cs="Times New Roman" w:hint="eastAsia"/>
          <w:sz w:val="24"/>
        </w:rPr>
        <w:t xml:space="preserve"> and invasion of GC cells. a, b </w:t>
      </w:r>
      <w:proofErr w:type="gramStart"/>
      <w:r>
        <w:rPr>
          <w:rFonts w:ascii="Times New Roman" w:hAnsi="Times New Roman" w:cs="Times New Roman" w:hint="eastAsia"/>
          <w:sz w:val="24"/>
        </w:rPr>
        <w:t>The</w:t>
      </w:r>
      <w:proofErr w:type="gramEnd"/>
      <w:r>
        <w:rPr>
          <w:rFonts w:ascii="Times New Roman" w:hAnsi="Times New Roman" w:cs="Times New Roman" w:hint="eastAsia"/>
          <w:sz w:val="24"/>
        </w:rPr>
        <w:t xml:space="preserve"> knockdown of LINC00963 suppressed the proliferation ability of AGS and BGC-823 cells. c, d Migration and invasion capacities of AGS and BGC-823 cells were evaluated by </w:t>
      </w:r>
      <w:proofErr w:type="spellStart"/>
      <w:r>
        <w:rPr>
          <w:rFonts w:ascii="Times New Roman" w:hAnsi="Times New Roman" w:cs="Times New Roman" w:hint="eastAsia"/>
          <w:sz w:val="24"/>
        </w:rPr>
        <w:t>transwell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assay. e Flow cytometry was used to detect the apoptosis rate of </w:t>
      </w:r>
      <w:proofErr w:type="gramStart"/>
      <w:r>
        <w:rPr>
          <w:rFonts w:ascii="Times New Roman" w:hAnsi="Times New Roman" w:cs="Times New Roman" w:hint="eastAsia"/>
          <w:sz w:val="24"/>
        </w:rPr>
        <w:t>AGS</w:t>
      </w:r>
      <w:proofErr w:type="gramEnd"/>
      <w:r>
        <w:rPr>
          <w:rFonts w:ascii="Times New Roman" w:hAnsi="Times New Roman" w:cs="Times New Roman" w:hint="eastAsia"/>
          <w:sz w:val="24"/>
        </w:rPr>
        <w:t xml:space="preserve"> and BGC-823 cells transfected with sh-LINC00963-1. </w:t>
      </w:r>
      <w:proofErr w:type="spellStart"/>
      <w:r>
        <w:rPr>
          <w:rFonts w:ascii="Times New Roman" w:hAnsi="Times New Roman" w:cs="Times New Roman" w:hint="eastAsia"/>
          <w:sz w:val="24"/>
        </w:rPr>
        <w:t>f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4"/>
        </w:rPr>
        <w:t>The</w:t>
      </w:r>
      <w:proofErr w:type="gramEnd"/>
      <w:r>
        <w:rPr>
          <w:rFonts w:ascii="Times New Roman" w:hAnsi="Times New Roman" w:cs="Times New Roman" w:hint="eastAsia"/>
          <w:sz w:val="24"/>
        </w:rPr>
        <w:t xml:space="preserve"> expression of EMT-related (Vimentin and E-cadherin) and apoptosis-related (</w:t>
      </w:r>
      <w:proofErr w:type="spellStart"/>
      <w:r>
        <w:rPr>
          <w:rFonts w:ascii="Times New Roman" w:hAnsi="Times New Roman" w:cs="Times New Roman" w:hint="eastAsia"/>
          <w:sz w:val="24"/>
        </w:rPr>
        <w:t>Bim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, </w:t>
      </w:r>
      <w:proofErr w:type="spellStart"/>
      <w:r>
        <w:rPr>
          <w:rFonts w:ascii="Times New Roman" w:hAnsi="Times New Roman" w:cs="Times New Roman" w:hint="eastAsia"/>
          <w:sz w:val="24"/>
        </w:rPr>
        <w:t>Bax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and Bcl2) proteins were analyzed by western blot assay in AGS and BGC-823 cells. g Overall survival of GC patients with higher expression of CDC5L compared to the GC patients with low expression of CDC5L. * P &lt; 0.05 and ** P &lt; 0.01.</w:t>
      </w:r>
    </w:p>
    <w:p w14:paraId="6A061F4A" w14:textId="77777777" w:rsidR="00B9047D" w:rsidRDefault="00B34730"/>
    <w:sectPr w:rsidR="00B90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D9651" w14:textId="77777777" w:rsidR="00B34730" w:rsidRDefault="00B34730" w:rsidP="00E972F5">
      <w:pPr>
        <w:spacing w:after="0" w:line="240" w:lineRule="auto"/>
      </w:pPr>
      <w:r>
        <w:separator/>
      </w:r>
    </w:p>
  </w:endnote>
  <w:endnote w:type="continuationSeparator" w:id="0">
    <w:p w14:paraId="70B87EAD" w14:textId="77777777" w:rsidR="00B34730" w:rsidRDefault="00B34730" w:rsidP="00E97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40EA8" w14:textId="77777777" w:rsidR="00E972F5" w:rsidRDefault="00E972F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17FF96C" wp14:editId="45906D4A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17D14" w14:textId="77777777" w:rsidR="00E972F5" w:rsidRPr="00E972F5" w:rsidRDefault="00E972F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E972F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7FF9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7AC17D14" w14:textId="77777777" w:rsidR="00E972F5" w:rsidRPr="00E972F5" w:rsidRDefault="00E972F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E972F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1BDBF" w14:textId="77777777" w:rsidR="00E972F5" w:rsidRDefault="00E972F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BD8D8B" wp14:editId="12EBE949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618D4" w14:textId="77777777" w:rsidR="00E972F5" w:rsidRPr="00E972F5" w:rsidRDefault="00E972F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E972F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BD8D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4AE618D4" w14:textId="77777777" w:rsidR="00E972F5" w:rsidRPr="00E972F5" w:rsidRDefault="00E972F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E972F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23864" w14:textId="77777777" w:rsidR="00E972F5" w:rsidRDefault="00E972F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615C8C" wp14:editId="55286E8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2615A1" w14:textId="77777777" w:rsidR="00E972F5" w:rsidRPr="00E972F5" w:rsidRDefault="00E972F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E972F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615C8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0B2615A1" w14:textId="77777777" w:rsidR="00E972F5" w:rsidRPr="00E972F5" w:rsidRDefault="00E972F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E972F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D6E95" w14:textId="77777777" w:rsidR="00B34730" w:rsidRDefault="00B34730" w:rsidP="00E972F5">
      <w:pPr>
        <w:spacing w:after="0" w:line="240" w:lineRule="auto"/>
      </w:pPr>
      <w:r>
        <w:separator/>
      </w:r>
    </w:p>
  </w:footnote>
  <w:footnote w:type="continuationSeparator" w:id="0">
    <w:p w14:paraId="2AA75896" w14:textId="77777777" w:rsidR="00B34730" w:rsidRDefault="00B34730" w:rsidP="00E97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51C61" w14:textId="77777777" w:rsidR="00E972F5" w:rsidRDefault="00E972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AD375" w14:textId="77777777" w:rsidR="00E972F5" w:rsidRDefault="00E97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00746" w14:textId="77777777" w:rsidR="00E972F5" w:rsidRDefault="00E972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2F5"/>
    <w:rsid w:val="00181BEA"/>
    <w:rsid w:val="0018405E"/>
    <w:rsid w:val="00362753"/>
    <w:rsid w:val="007053D8"/>
    <w:rsid w:val="008134B6"/>
    <w:rsid w:val="008B1518"/>
    <w:rsid w:val="009C128D"/>
    <w:rsid w:val="00B34730"/>
    <w:rsid w:val="00C652D2"/>
    <w:rsid w:val="00E9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4FCC6"/>
  <w15:chartTrackingRefBased/>
  <w15:docId w15:val="{AA860FE6-01F0-4083-94D4-5C8DAF7F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2F5"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72F5"/>
    <w:pPr>
      <w:widowControl/>
      <w:tabs>
        <w:tab w:val="center" w:pos="4513"/>
        <w:tab w:val="right" w:pos="9026"/>
      </w:tabs>
      <w:spacing w:after="0" w:line="240" w:lineRule="auto"/>
      <w:jc w:val="left"/>
    </w:pPr>
    <w:rPr>
      <w:rFonts w:eastAsiaTheme="minorHAnsi"/>
      <w:kern w:val="0"/>
      <w:sz w:val="22"/>
      <w:szCs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72F5"/>
  </w:style>
  <w:style w:type="paragraph" w:styleId="Footer">
    <w:name w:val="footer"/>
    <w:basedOn w:val="Normal"/>
    <w:link w:val="FooterChar"/>
    <w:uiPriority w:val="99"/>
    <w:unhideWhenUsed/>
    <w:rsid w:val="00E972F5"/>
    <w:pPr>
      <w:widowControl/>
      <w:tabs>
        <w:tab w:val="center" w:pos="4513"/>
        <w:tab w:val="right" w:pos="9026"/>
      </w:tabs>
      <w:spacing w:after="0" w:line="240" w:lineRule="auto"/>
      <w:jc w:val="left"/>
    </w:pPr>
    <w:rPr>
      <w:rFonts w:eastAsiaTheme="minorHAnsi"/>
      <w:kern w:val="0"/>
      <w:sz w:val="22"/>
      <w:szCs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97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2020-11-23T01:45:00Z</dcterms:created>
  <dcterms:modified xsi:type="dcterms:W3CDTF">2020-11-23T01:45:00Z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2020-11-23T01:45:06Z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98fd0975-faf7-40fd-88db-c9cc15f2f124</vt:lpwstr>
  </property>
  <property fmtid="{D5CDD505-2E9C-101B-9397-08002B2CF9AE}" pid="11" name="MSIP_Label_2bbab825-a111-45e4-86a1-18cee0005896_ContentBits">
    <vt:lpwstr>2</vt:lpwstr>
  </property>
</Properties>
</file>