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AFEB3B" w14:textId="6F0074AD" w:rsidR="00552809" w:rsidRPr="00B50B9E" w:rsidRDefault="00552809" w:rsidP="00C622AE">
      <w:pPr>
        <w:jc w:val="both"/>
        <w:rPr>
          <w:color w:val="000000"/>
        </w:rPr>
      </w:pPr>
      <w:r w:rsidRPr="00B50B9E">
        <w:rPr>
          <w:rFonts w:hint="eastAsia"/>
          <w:color w:val="000000"/>
        </w:rPr>
        <w:t>S</w:t>
      </w:r>
      <w:r w:rsidRPr="00B50B9E">
        <w:rPr>
          <w:color w:val="000000"/>
        </w:rPr>
        <w:t>upporting Information</w:t>
      </w:r>
    </w:p>
    <w:p w14:paraId="2BCEBFC0" w14:textId="77777777" w:rsidR="00552809" w:rsidRPr="00B50B9E" w:rsidRDefault="00552809" w:rsidP="00C622AE">
      <w:pPr>
        <w:jc w:val="both"/>
        <w:rPr>
          <w:color w:val="000000"/>
        </w:rPr>
      </w:pPr>
    </w:p>
    <w:p w14:paraId="59C8FB47" w14:textId="77777777" w:rsidR="00D6142C" w:rsidRPr="00B50B9E" w:rsidRDefault="00D6142C" w:rsidP="00C622AE">
      <w:pPr>
        <w:jc w:val="both"/>
        <w:rPr>
          <w:rStyle w:val="highlight"/>
          <w:color w:val="000000"/>
        </w:rPr>
      </w:pPr>
      <w:r w:rsidRPr="00B50B9E">
        <w:rPr>
          <w:rStyle w:val="highlight"/>
          <w:color w:val="000000"/>
        </w:rPr>
        <w:t>Polymeric Nanoparticles-Based Brain Delivery with Improved Therapeutic Efficacy of Ginkgolide B in Parkinson’s Disease</w:t>
      </w:r>
    </w:p>
    <w:p w14:paraId="582FEC1A" w14:textId="77777777" w:rsidR="00F75D06" w:rsidRPr="00B50B9E" w:rsidRDefault="00F75D06" w:rsidP="00F75D06">
      <w:pPr>
        <w:pStyle w:val="BBAuthorName"/>
        <w:jc w:val="left"/>
        <w:rPr>
          <w:rFonts w:cs="Arial"/>
          <w:i w:val="0"/>
          <w:color w:val="000000"/>
        </w:rPr>
      </w:pPr>
      <w:r w:rsidRPr="00B50B9E">
        <w:rPr>
          <w:rFonts w:cs="Arial"/>
          <w:i w:val="0"/>
          <w:color w:val="000000"/>
        </w:rPr>
        <w:t>Yuying Zhao</w:t>
      </w:r>
      <w:r w:rsidRPr="00B50B9E">
        <w:rPr>
          <w:rFonts w:cs="Arial"/>
          <w:i w:val="0"/>
          <w:color w:val="000000"/>
          <w:vertAlign w:val="superscript"/>
        </w:rPr>
        <w:t>1</w:t>
      </w:r>
      <w:r w:rsidRPr="00B50B9E">
        <w:rPr>
          <w:rFonts w:cs="Arial"/>
          <w:i w:val="0"/>
          <w:color w:val="000000"/>
        </w:rPr>
        <w:t>, Sha Xiong</w:t>
      </w:r>
      <w:r w:rsidRPr="00B50B9E">
        <w:rPr>
          <w:rFonts w:cs="Arial"/>
          <w:i w:val="0"/>
          <w:color w:val="000000"/>
          <w:vertAlign w:val="superscript"/>
        </w:rPr>
        <w:t>1</w:t>
      </w:r>
      <w:r w:rsidRPr="00B50B9E">
        <w:rPr>
          <w:rFonts w:cs="Arial"/>
          <w:i w:val="0"/>
          <w:color w:val="000000"/>
        </w:rPr>
        <w:t>, Piaoxue Liu</w:t>
      </w:r>
      <w:r w:rsidRPr="00B50B9E">
        <w:rPr>
          <w:rFonts w:cs="Arial"/>
          <w:i w:val="0"/>
          <w:color w:val="000000"/>
          <w:vertAlign w:val="superscript"/>
        </w:rPr>
        <w:t>1</w:t>
      </w:r>
      <w:r w:rsidRPr="00B50B9E">
        <w:rPr>
          <w:rFonts w:cs="Arial"/>
          <w:i w:val="0"/>
          <w:color w:val="000000"/>
        </w:rPr>
        <w:t>, Wei Liu</w:t>
      </w:r>
      <w:r w:rsidRPr="00B50B9E">
        <w:rPr>
          <w:rFonts w:cs="Arial"/>
          <w:i w:val="0"/>
          <w:color w:val="000000"/>
          <w:vertAlign w:val="superscript"/>
        </w:rPr>
        <w:t>1</w:t>
      </w:r>
      <w:r w:rsidRPr="00B50B9E">
        <w:rPr>
          <w:rFonts w:cs="Arial"/>
          <w:i w:val="0"/>
          <w:color w:val="000000"/>
        </w:rPr>
        <w:t>, Qun Wang</w:t>
      </w:r>
      <w:r w:rsidRPr="00B50B9E">
        <w:rPr>
          <w:rFonts w:cs="Arial"/>
          <w:i w:val="0"/>
          <w:color w:val="000000"/>
          <w:vertAlign w:val="superscript"/>
        </w:rPr>
        <w:t>1</w:t>
      </w:r>
      <w:r w:rsidRPr="00B50B9E">
        <w:rPr>
          <w:rFonts w:cs="Arial"/>
          <w:i w:val="0"/>
          <w:color w:val="000000"/>
        </w:rPr>
        <w:t>, Yao Liu</w:t>
      </w:r>
      <w:r w:rsidRPr="00B50B9E">
        <w:rPr>
          <w:rFonts w:cs="Arial"/>
          <w:i w:val="0"/>
          <w:color w:val="000000"/>
          <w:vertAlign w:val="superscript"/>
        </w:rPr>
        <w:t>1</w:t>
      </w:r>
      <w:r w:rsidRPr="00B50B9E">
        <w:rPr>
          <w:rFonts w:cs="Arial"/>
          <w:i w:val="0"/>
          <w:color w:val="000000"/>
        </w:rPr>
        <w:t>, Hanxu Tan</w:t>
      </w:r>
      <w:r w:rsidRPr="00B50B9E">
        <w:rPr>
          <w:rFonts w:cs="Arial"/>
          <w:i w:val="0"/>
          <w:color w:val="000000"/>
          <w:vertAlign w:val="superscript"/>
        </w:rPr>
        <w:t>4</w:t>
      </w:r>
      <w:r w:rsidRPr="00B50B9E">
        <w:rPr>
          <w:rFonts w:cs="Arial"/>
          <w:i w:val="0"/>
          <w:color w:val="000000"/>
        </w:rPr>
        <w:t>, Xiaojia Chen</w:t>
      </w:r>
      <w:r w:rsidRPr="00B50B9E">
        <w:rPr>
          <w:rFonts w:cs="Arial"/>
          <w:i w:val="0"/>
          <w:color w:val="000000"/>
          <w:vertAlign w:val="superscript"/>
        </w:rPr>
        <w:t>2</w:t>
      </w:r>
      <w:r w:rsidRPr="00B50B9E">
        <w:rPr>
          <w:rFonts w:cs="Arial"/>
          <w:i w:val="0"/>
          <w:color w:val="000000"/>
        </w:rPr>
        <w:t>, Xuguang Shi</w:t>
      </w:r>
      <w:r w:rsidRPr="00B50B9E">
        <w:rPr>
          <w:rFonts w:cs="Arial"/>
          <w:i w:val="0"/>
          <w:color w:val="000000"/>
          <w:vertAlign w:val="superscript"/>
        </w:rPr>
        <w:t>3</w:t>
      </w:r>
      <w:r w:rsidRPr="00B50B9E">
        <w:rPr>
          <w:rFonts w:cs="Arial"/>
          <w:i w:val="0"/>
          <w:color w:val="000000"/>
        </w:rPr>
        <w:t>, Qi Wang</w:t>
      </w:r>
      <w:r w:rsidRPr="00B50B9E">
        <w:rPr>
          <w:rFonts w:cs="Arial"/>
          <w:i w:val="0"/>
          <w:color w:val="000000"/>
          <w:vertAlign w:val="superscript"/>
        </w:rPr>
        <w:t>1</w:t>
      </w:r>
      <w:r w:rsidRPr="00B50B9E">
        <w:rPr>
          <w:rFonts w:cs="Arial"/>
          <w:i w:val="0"/>
          <w:color w:val="000000"/>
        </w:rPr>
        <w:t>*, Tongkai Chen</w:t>
      </w:r>
      <w:r w:rsidRPr="00B50B9E">
        <w:rPr>
          <w:rFonts w:cs="Arial"/>
          <w:i w:val="0"/>
          <w:color w:val="000000"/>
          <w:vertAlign w:val="superscript"/>
        </w:rPr>
        <w:t>1</w:t>
      </w:r>
      <w:r w:rsidRPr="00B50B9E">
        <w:rPr>
          <w:rFonts w:cs="Arial"/>
          <w:i w:val="0"/>
          <w:color w:val="000000"/>
        </w:rPr>
        <w:t>*</w:t>
      </w:r>
    </w:p>
    <w:p w14:paraId="41819609" w14:textId="77777777" w:rsidR="00F75D06" w:rsidRPr="00B50B9E" w:rsidRDefault="00F75D06" w:rsidP="00F75D06">
      <w:pPr>
        <w:rPr>
          <w:color w:val="000000"/>
        </w:rPr>
      </w:pPr>
      <w:r w:rsidRPr="00B50B9E">
        <w:rPr>
          <w:color w:val="000000"/>
          <w:vertAlign w:val="superscript"/>
        </w:rPr>
        <w:t>1</w:t>
      </w:r>
      <w:r w:rsidRPr="00B50B9E">
        <w:rPr>
          <w:color w:val="000000"/>
        </w:rPr>
        <w:t xml:space="preserve"> Science and Technology Innovation Center, Guangzhou University of Chinese Medicine, Guangzhou 510405, China</w:t>
      </w:r>
    </w:p>
    <w:p w14:paraId="2365A306" w14:textId="77777777" w:rsidR="00F75D06" w:rsidRPr="00B50B9E" w:rsidRDefault="00F75D06" w:rsidP="00F75D06">
      <w:pPr>
        <w:rPr>
          <w:color w:val="000000"/>
        </w:rPr>
      </w:pPr>
      <w:r w:rsidRPr="00B50B9E">
        <w:rPr>
          <w:color w:val="000000"/>
          <w:vertAlign w:val="superscript"/>
        </w:rPr>
        <w:t>2</w:t>
      </w:r>
      <w:r w:rsidRPr="00B50B9E">
        <w:rPr>
          <w:color w:val="000000"/>
        </w:rPr>
        <w:t xml:space="preserve"> State Key Laboratory of Quality Research in Chinese Medicine, Institute of Chinese Medical Sciences, University of Macau, Macau </w:t>
      </w:r>
      <w:r w:rsidRPr="00B50B9E">
        <w:rPr>
          <w:rFonts w:hint="eastAsia"/>
          <w:color w:val="000000"/>
        </w:rPr>
        <w:t>999078</w:t>
      </w:r>
      <w:r w:rsidRPr="00B50B9E">
        <w:rPr>
          <w:color w:val="000000"/>
        </w:rPr>
        <w:t>, China</w:t>
      </w:r>
    </w:p>
    <w:p w14:paraId="0D2BE929" w14:textId="77777777" w:rsidR="00F75D06" w:rsidRPr="00B50B9E" w:rsidRDefault="00F75D06" w:rsidP="00F75D06">
      <w:pPr>
        <w:rPr>
          <w:color w:val="000000"/>
        </w:rPr>
      </w:pPr>
      <w:r w:rsidRPr="00B50B9E">
        <w:rPr>
          <w:rFonts w:hint="eastAsia"/>
          <w:color w:val="000000"/>
          <w:vertAlign w:val="superscript"/>
        </w:rPr>
        <w:t>3</w:t>
      </w:r>
      <w:r w:rsidRPr="00B50B9E">
        <w:rPr>
          <w:color w:val="000000"/>
        </w:rPr>
        <w:t xml:space="preserve"> School of Pharmaceutical Sciences, Guangzhou University of Chinese Medicine, Guangzhou 510006, China</w:t>
      </w:r>
    </w:p>
    <w:p w14:paraId="689C8469" w14:textId="77777777" w:rsidR="00F75D06" w:rsidRPr="00B50B9E" w:rsidRDefault="00F75D06" w:rsidP="00F75D06">
      <w:pPr>
        <w:rPr>
          <w:color w:val="000000"/>
        </w:rPr>
      </w:pPr>
      <w:r w:rsidRPr="00B50B9E">
        <w:rPr>
          <w:color w:val="000000"/>
          <w:vertAlign w:val="superscript"/>
        </w:rPr>
        <w:t>4</w:t>
      </w:r>
      <w:r w:rsidRPr="00B50B9E">
        <w:rPr>
          <w:color w:val="000000"/>
        </w:rPr>
        <w:t xml:space="preserve"> Dongzhimen Hospital, Beijing University of Chinese Medicine, Beijing 100700, China</w:t>
      </w:r>
    </w:p>
    <w:p w14:paraId="2FFD31A7" w14:textId="77777777" w:rsidR="00C622AE" w:rsidRPr="00B50B9E" w:rsidRDefault="00C622AE" w:rsidP="00C622AE">
      <w:pPr>
        <w:jc w:val="both"/>
        <w:rPr>
          <w:color w:val="000000"/>
        </w:rPr>
      </w:pPr>
    </w:p>
    <w:p w14:paraId="733A1426" w14:textId="1F669F59" w:rsidR="00166566" w:rsidRPr="00B50B9E" w:rsidRDefault="00C622AE" w:rsidP="00C622AE">
      <w:pPr>
        <w:jc w:val="both"/>
        <w:rPr>
          <w:color w:val="000000"/>
          <w:lang w:eastAsia="zh-CN"/>
        </w:rPr>
      </w:pPr>
      <w:r w:rsidRPr="00B50B9E">
        <w:rPr>
          <w:color w:val="000000"/>
          <w:lang w:eastAsia="zh-CN"/>
        </w:rPr>
        <w:t>S</w:t>
      </w:r>
      <w:r w:rsidR="00166566" w:rsidRPr="00B50B9E">
        <w:rPr>
          <w:rFonts w:hint="eastAsia"/>
          <w:color w:val="000000"/>
          <w:lang w:eastAsia="zh-CN"/>
        </w:rPr>
        <w:t>1</w:t>
      </w:r>
      <w:r w:rsidR="00166566" w:rsidRPr="00B50B9E">
        <w:rPr>
          <w:color w:val="000000"/>
          <w:lang w:eastAsia="zh-CN"/>
        </w:rPr>
        <w:t>.</w:t>
      </w:r>
      <w:r w:rsidR="004A5CE4" w:rsidRPr="00B50B9E">
        <w:rPr>
          <w:color w:val="000000"/>
        </w:rPr>
        <w:t xml:space="preserve"> </w:t>
      </w:r>
      <w:r w:rsidRPr="00B50B9E">
        <w:rPr>
          <w:color w:val="000000"/>
          <w:lang w:eastAsia="zh-CN"/>
        </w:rPr>
        <w:t>M</w:t>
      </w:r>
      <w:r w:rsidR="00EE53CA" w:rsidRPr="00B50B9E">
        <w:rPr>
          <w:rFonts w:hint="eastAsia"/>
          <w:color w:val="000000"/>
          <w:lang w:eastAsia="zh-CN"/>
        </w:rPr>
        <w:t>ethods</w:t>
      </w:r>
    </w:p>
    <w:p w14:paraId="4ABB87B6" w14:textId="4F784317" w:rsidR="009A65EE" w:rsidRPr="00B50B9E" w:rsidRDefault="004A5CE4" w:rsidP="00C622AE">
      <w:pPr>
        <w:jc w:val="both"/>
        <w:rPr>
          <w:color w:val="000000"/>
          <w:lang w:eastAsia="zh-CN"/>
        </w:rPr>
      </w:pPr>
      <w:r w:rsidRPr="00B50B9E">
        <w:rPr>
          <w:color w:val="000000"/>
          <w:lang w:eastAsia="zh-CN"/>
        </w:rPr>
        <w:t xml:space="preserve">1.1 </w:t>
      </w:r>
      <w:r w:rsidR="009A65EE" w:rsidRPr="00B50B9E">
        <w:rPr>
          <w:color w:val="000000"/>
          <w:lang w:eastAsia="zh-CN"/>
        </w:rPr>
        <w:t>Fourier-transform infrared (</w:t>
      </w:r>
      <w:r w:rsidRPr="00B50B9E">
        <w:rPr>
          <w:color w:val="000000"/>
          <w:lang w:eastAsia="zh-CN"/>
        </w:rPr>
        <w:t>FITC</w:t>
      </w:r>
      <w:r w:rsidR="009A65EE" w:rsidRPr="00B50B9E">
        <w:rPr>
          <w:rFonts w:hint="eastAsia"/>
          <w:color w:val="000000"/>
          <w:lang w:eastAsia="zh-CN"/>
        </w:rPr>
        <w:t>)</w:t>
      </w:r>
    </w:p>
    <w:p w14:paraId="5B8B3492" w14:textId="7A58FC64" w:rsidR="004A5CE4" w:rsidRPr="00B50B9E" w:rsidRDefault="004A5CE4" w:rsidP="00C622AE">
      <w:pPr>
        <w:ind w:firstLine="420"/>
        <w:jc w:val="both"/>
        <w:rPr>
          <w:color w:val="000000"/>
          <w:lang w:eastAsia="zh-CN"/>
        </w:rPr>
      </w:pPr>
      <w:r w:rsidRPr="00B50B9E">
        <w:rPr>
          <w:color w:val="000000"/>
          <w:lang w:eastAsia="zh-CN"/>
        </w:rPr>
        <w:lastRenderedPageBreak/>
        <w:t>Add 1mg PEG-PCL (Mw 2000) and 200 mg KBr to mold. The sample was pressed into a transparent sheet and put into the infrared spectrum (Thermofisher, Nicolet, iS10) for a test. The wave number range is 4000-400/cm, the scanning number is 32, and the resolution is 4/cm.</w:t>
      </w:r>
    </w:p>
    <w:p w14:paraId="2923FA97" w14:textId="558AF8D1" w:rsidR="004A5CE4" w:rsidRPr="00B50B9E" w:rsidRDefault="004A5CE4" w:rsidP="00C622AE">
      <w:pPr>
        <w:jc w:val="both"/>
        <w:rPr>
          <w:color w:val="000000"/>
          <w:lang w:eastAsia="zh-CN"/>
        </w:rPr>
      </w:pPr>
      <w:r w:rsidRPr="00B50B9E">
        <w:rPr>
          <w:rFonts w:hint="eastAsia"/>
          <w:color w:val="000000"/>
          <w:lang w:eastAsia="zh-CN"/>
        </w:rPr>
        <w:t>1</w:t>
      </w:r>
      <w:r w:rsidRPr="00B50B9E">
        <w:rPr>
          <w:color w:val="000000"/>
          <w:lang w:eastAsia="zh-CN"/>
        </w:rPr>
        <w:t xml:space="preserve">.2 </w:t>
      </w:r>
      <w:r w:rsidR="009A65EE" w:rsidRPr="00B50B9E">
        <w:rPr>
          <w:color w:val="000000"/>
          <w:vertAlign w:val="superscript"/>
        </w:rPr>
        <w:t>1</w:t>
      </w:r>
      <w:r w:rsidR="009A65EE" w:rsidRPr="00B50B9E">
        <w:rPr>
          <w:color w:val="000000"/>
        </w:rPr>
        <w:t>H-nuclear magnetic resonance (</w:t>
      </w:r>
      <w:r w:rsidR="009A65EE" w:rsidRPr="00B50B9E">
        <w:rPr>
          <w:color w:val="000000"/>
          <w:vertAlign w:val="superscript"/>
        </w:rPr>
        <w:t>1</w:t>
      </w:r>
      <w:r w:rsidR="009A65EE" w:rsidRPr="00B50B9E">
        <w:rPr>
          <w:color w:val="000000"/>
        </w:rPr>
        <w:t>H-NMR)</w:t>
      </w:r>
    </w:p>
    <w:p w14:paraId="584F0584" w14:textId="3F4755B6" w:rsidR="00166566" w:rsidRPr="00B50B9E" w:rsidRDefault="004A5CE4" w:rsidP="00C622AE">
      <w:pPr>
        <w:ind w:firstLine="420"/>
        <w:jc w:val="both"/>
        <w:rPr>
          <w:color w:val="000000"/>
          <w:lang w:eastAsia="zh-CN"/>
        </w:rPr>
      </w:pPr>
      <w:r w:rsidRPr="00B50B9E">
        <w:rPr>
          <w:color w:val="000000"/>
          <w:lang w:eastAsia="zh-CN"/>
        </w:rPr>
        <w:t>0.25 mg PEG-PCL was dissolved in 0.5 mL methanol and measured by NMR (JEOL 400MHZ). The samples were collected for a total of 8 times with a sampling interval of 5s.</w:t>
      </w:r>
    </w:p>
    <w:p w14:paraId="1F033947" w14:textId="2FE10DA6" w:rsidR="009A65EE" w:rsidRPr="00B50B9E" w:rsidRDefault="00AB2BE2" w:rsidP="00C622AE">
      <w:pPr>
        <w:jc w:val="both"/>
        <w:rPr>
          <w:color w:val="000000"/>
          <w:lang w:eastAsia="zh-CN"/>
        </w:rPr>
      </w:pPr>
      <w:r w:rsidRPr="00B50B9E">
        <w:rPr>
          <w:rFonts w:hint="eastAsia"/>
          <w:color w:val="000000"/>
          <w:lang w:eastAsia="zh-CN"/>
        </w:rPr>
        <w:t>1</w:t>
      </w:r>
      <w:r w:rsidRPr="00B50B9E">
        <w:rPr>
          <w:color w:val="000000"/>
          <w:lang w:eastAsia="zh-CN"/>
        </w:rPr>
        <w:t xml:space="preserve">.3 </w:t>
      </w:r>
      <w:r w:rsidR="009A65EE" w:rsidRPr="00B50B9E">
        <w:rPr>
          <w:color w:val="000000"/>
          <w:lang w:eastAsia="zh-CN"/>
        </w:rPr>
        <w:t>Particle Size, PDI and Zeta Potential</w:t>
      </w:r>
    </w:p>
    <w:p w14:paraId="743AF7E5" w14:textId="10EDA7D6" w:rsidR="009A65EE" w:rsidRPr="00B50B9E" w:rsidRDefault="009A65EE" w:rsidP="00C622AE">
      <w:pPr>
        <w:ind w:firstLine="420"/>
        <w:jc w:val="both"/>
        <w:rPr>
          <w:color w:val="000000"/>
          <w:lang w:eastAsia="zh-CN"/>
        </w:rPr>
      </w:pPr>
      <w:r w:rsidRPr="00B50B9E">
        <w:rPr>
          <w:color w:val="000000"/>
          <w:lang w:eastAsia="zh-CN"/>
        </w:rPr>
        <w:t>The particle size and polydispersity index (PDI) of GB-NPs were measured by using a Zetasizer Nano ZS90 (Malvern Instruments Ltd., Worcestershire, UK) at 25 °C and 90° scattering angle after dilution. Zeta potential of GB-NPs was measured with disposable Zeta cells, while Zeta potential was measured by electrophoretic mobility technique.</w:t>
      </w:r>
    </w:p>
    <w:p w14:paraId="5C366D16" w14:textId="77777777" w:rsidR="009A65EE" w:rsidRPr="00B50B9E" w:rsidRDefault="00AB2BE2" w:rsidP="00C622AE">
      <w:pPr>
        <w:jc w:val="both"/>
        <w:rPr>
          <w:color w:val="000000"/>
          <w:lang w:eastAsia="zh-CN"/>
        </w:rPr>
      </w:pPr>
      <w:r w:rsidRPr="00B50B9E">
        <w:rPr>
          <w:rFonts w:hint="eastAsia"/>
          <w:color w:val="000000"/>
          <w:lang w:eastAsia="zh-CN"/>
        </w:rPr>
        <w:t>1</w:t>
      </w:r>
      <w:r w:rsidRPr="00B50B9E">
        <w:rPr>
          <w:color w:val="000000"/>
          <w:lang w:eastAsia="zh-CN"/>
        </w:rPr>
        <w:t xml:space="preserve">.4 </w:t>
      </w:r>
      <w:r w:rsidR="009A65EE" w:rsidRPr="00B50B9E">
        <w:rPr>
          <w:color w:val="000000"/>
          <w:lang w:eastAsia="zh-CN"/>
        </w:rPr>
        <w:t>Transmission Electron Microscope (TEM)</w:t>
      </w:r>
    </w:p>
    <w:p w14:paraId="790CF0B5" w14:textId="08F2E953" w:rsidR="00AB2BE2" w:rsidRPr="00B50B9E" w:rsidRDefault="009A65EE" w:rsidP="00C622AE">
      <w:pPr>
        <w:ind w:firstLine="420"/>
        <w:jc w:val="both"/>
        <w:rPr>
          <w:color w:val="000000"/>
          <w:lang w:eastAsia="zh-CN"/>
        </w:rPr>
      </w:pPr>
      <w:r w:rsidRPr="00B50B9E">
        <w:rPr>
          <w:color w:val="000000"/>
          <w:lang w:eastAsia="zh-CN"/>
        </w:rPr>
        <w:t>The morphology of GB-NPs was observed using TEM with a camera system (H-7650, Hitachi Ltd., Tokyo, Japan). Briefly, a droplet of GB-NPs was carefully placed on a membrane-coated grid surface with a filter paper. The samples were negatively stained with phosphotungstic acid (2%, w/v) for 30 s. Excess fluid was removed from the carbon-coated grid after staining. The grid surface was air dried at room temperature before being loaded on the microscope.</w:t>
      </w:r>
    </w:p>
    <w:p w14:paraId="5996D3CB" w14:textId="77777777" w:rsidR="009A65EE" w:rsidRPr="00B50B9E" w:rsidRDefault="004A26C7" w:rsidP="00C622AE">
      <w:pPr>
        <w:jc w:val="both"/>
        <w:rPr>
          <w:color w:val="000000"/>
          <w:lang w:eastAsia="zh-CN"/>
        </w:rPr>
      </w:pPr>
      <w:r w:rsidRPr="00B50B9E">
        <w:rPr>
          <w:rFonts w:hint="eastAsia"/>
          <w:color w:val="000000"/>
          <w:lang w:eastAsia="zh-CN"/>
        </w:rPr>
        <w:t>1</w:t>
      </w:r>
      <w:r w:rsidRPr="00B50B9E">
        <w:rPr>
          <w:color w:val="000000"/>
          <w:lang w:eastAsia="zh-CN"/>
        </w:rPr>
        <w:t xml:space="preserve">.5 </w:t>
      </w:r>
      <w:r w:rsidR="009A65EE" w:rsidRPr="00B50B9E">
        <w:rPr>
          <w:color w:val="000000"/>
          <w:lang w:eastAsia="zh-CN"/>
        </w:rPr>
        <w:t>Differential Scanning Calorimetry (DSC)</w:t>
      </w:r>
    </w:p>
    <w:p w14:paraId="7BA241DC" w14:textId="16390D9F" w:rsidR="009A65EE" w:rsidRPr="00B50B9E" w:rsidRDefault="009A65EE" w:rsidP="00C622AE">
      <w:pPr>
        <w:ind w:firstLine="420"/>
        <w:jc w:val="both"/>
        <w:rPr>
          <w:color w:val="000000"/>
          <w:lang w:eastAsia="zh-CN"/>
        </w:rPr>
      </w:pPr>
      <w:r w:rsidRPr="00B50B9E">
        <w:rPr>
          <w:color w:val="000000"/>
          <w:lang w:eastAsia="zh-CN"/>
        </w:rPr>
        <w:lastRenderedPageBreak/>
        <w:t>The thermal properties of GB, PEG-PCL, F68, GB-NPs, and a physical mixture of F68 and GB (GB-PM) were determined using DSC. Approximately 2.5 mg of each sample was sealed in an aluminum pan and heated from 50 to 250 °C at a rate of 10 °C/min by a nitrogen purge of 35 mL/min.</w:t>
      </w:r>
    </w:p>
    <w:p w14:paraId="0F18DD92" w14:textId="0790FBC2" w:rsidR="00B67B96" w:rsidRPr="00B50B9E" w:rsidRDefault="00B67B96" w:rsidP="00B67B96">
      <w:pPr>
        <w:pStyle w:val="NormalWeb"/>
        <w:spacing w:line="48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B50B9E">
        <w:rPr>
          <w:rFonts w:ascii="Arial" w:hAnsi="Arial" w:cs="Arial"/>
          <w:color w:val="000000"/>
          <w:sz w:val="20"/>
          <w:szCs w:val="20"/>
          <w:lang w:eastAsia="zh-CN"/>
        </w:rPr>
        <w:t>1.</w:t>
      </w:r>
      <w:r w:rsidRPr="00B50B9E">
        <w:rPr>
          <w:rFonts w:ascii="Arial" w:eastAsiaTheme="minorEastAsia" w:hAnsi="Arial" w:cs="Arial"/>
          <w:color w:val="000000"/>
          <w:sz w:val="20"/>
          <w:szCs w:val="20"/>
          <w:lang w:eastAsia="zh-CN"/>
        </w:rPr>
        <w:t>6</w:t>
      </w:r>
      <w:r w:rsidRPr="00B50B9E">
        <w:rPr>
          <w:rFonts w:ascii="Arial" w:hAnsi="Arial" w:cs="Arial"/>
          <w:color w:val="000000"/>
          <w:sz w:val="20"/>
          <w:szCs w:val="20"/>
          <w:lang w:eastAsia="zh-CN"/>
        </w:rPr>
        <w:t xml:space="preserve"> </w:t>
      </w:r>
      <w:r w:rsidRPr="00B50B9E">
        <w:rPr>
          <w:rFonts w:ascii="Arial" w:hAnsi="Arial" w:cs="Arial"/>
          <w:color w:val="000000"/>
          <w:sz w:val="20"/>
          <w:szCs w:val="20"/>
        </w:rPr>
        <w:t>Encapsulation Efficiency (EE) and Drug Loading (DL) Measurements</w:t>
      </w:r>
    </w:p>
    <w:p w14:paraId="47F8DAD1" w14:textId="2175850B" w:rsidR="00B67B96" w:rsidRPr="00B50B9E" w:rsidRDefault="00B67B96" w:rsidP="00B67B96">
      <w:pPr>
        <w:pStyle w:val="NormalWeb"/>
        <w:spacing w:line="480" w:lineRule="auto"/>
        <w:ind w:firstLine="480"/>
        <w:jc w:val="both"/>
        <w:rPr>
          <w:rFonts w:ascii="Arial" w:hAnsi="Arial" w:cs="Arial"/>
          <w:color w:val="000000"/>
          <w:sz w:val="20"/>
          <w:szCs w:val="20"/>
        </w:rPr>
      </w:pPr>
      <w:r w:rsidRPr="00B50B9E">
        <w:rPr>
          <w:rFonts w:ascii="Arial" w:hAnsi="Arial" w:cs="Arial"/>
          <w:color w:val="000000"/>
          <w:sz w:val="20"/>
          <w:szCs w:val="20"/>
        </w:rPr>
        <w:t xml:space="preserve">EE and DL were determined based on free drug amounts via an ultrafiltration approach. Briefly, 1 mL of </w:t>
      </w:r>
      <w:r w:rsidR="00354426" w:rsidRPr="00B50B9E">
        <w:rPr>
          <w:rFonts w:ascii="Arial" w:hAnsi="Arial" w:cs="Arial"/>
          <w:color w:val="000000"/>
          <w:sz w:val="20"/>
          <w:szCs w:val="20"/>
        </w:rPr>
        <w:t>GB</w:t>
      </w:r>
      <w:r w:rsidRPr="00B50B9E">
        <w:rPr>
          <w:rFonts w:ascii="Arial" w:hAnsi="Arial" w:cs="Arial"/>
          <w:color w:val="000000"/>
          <w:sz w:val="20"/>
          <w:szCs w:val="20"/>
        </w:rPr>
        <w:t>-NPs was added to the upper portion of a tube fitted with an Amicon ultrafilter (MWCO 10 kDa; Millipore), after which samples were spun at 1000 ×</w:t>
      </w:r>
      <w:r w:rsidRPr="00B50B9E">
        <w:rPr>
          <w:rFonts w:ascii="Arial" w:hAnsi="Arial" w:cs="Arial"/>
          <w:i/>
          <w:color w:val="000000"/>
          <w:sz w:val="20"/>
          <w:szCs w:val="20"/>
        </w:rPr>
        <w:t>g</w:t>
      </w:r>
      <w:r w:rsidRPr="00B50B9E">
        <w:rPr>
          <w:rFonts w:ascii="Arial" w:hAnsi="Arial" w:cs="Arial"/>
          <w:color w:val="000000"/>
          <w:sz w:val="20"/>
          <w:szCs w:val="20"/>
        </w:rPr>
        <w:t xml:space="preserve"> at 4 °C for 20 min. HPLC </w:t>
      </w:r>
      <w:r w:rsidRPr="00B50B9E">
        <w:rPr>
          <w:rFonts w:ascii="Arial" w:hAnsi="Arial" w:cs="Arial"/>
          <w:color w:val="000000"/>
          <w:sz w:val="20"/>
          <w:szCs w:val="20"/>
        </w:rPr>
        <w:lastRenderedPageBreak/>
        <w:t xml:space="preserve">was then used to assess free drug levels in the resultant ultra-filtered solution. To measure the total amount of drug within </w:t>
      </w:r>
      <w:r w:rsidR="00354426" w:rsidRPr="00B50B9E">
        <w:rPr>
          <w:rFonts w:ascii="Arial" w:hAnsi="Arial" w:cs="Arial"/>
          <w:color w:val="000000"/>
          <w:sz w:val="20"/>
          <w:szCs w:val="20"/>
        </w:rPr>
        <w:t>GB</w:t>
      </w:r>
      <w:r w:rsidRPr="00B50B9E">
        <w:rPr>
          <w:rFonts w:ascii="Arial" w:hAnsi="Arial" w:cs="Arial"/>
          <w:color w:val="000000"/>
          <w:sz w:val="20"/>
          <w:szCs w:val="20"/>
        </w:rPr>
        <w:t>-NPs, 1</w:t>
      </w:r>
      <w:r w:rsidR="00354426" w:rsidRPr="00B50B9E">
        <w:rPr>
          <w:rFonts w:ascii="Arial" w:hAnsi="Arial" w:cs="Arial"/>
          <w:color w:val="000000"/>
          <w:sz w:val="20"/>
          <w:szCs w:val="20"/>
        </w:rPr>
        <w:t xml:space="preserve"> </w:t>
      </w:r>
      <w:r w:rsidRPr="00B50B9E">
        <w:rPr>
          <w:rFonts w:ascii="Arial" w:hAnsi="Arial" w:cs="Arial"/>
          <w:color w:val="000000"/>
          <w:sz w:val="20"/>
          <w:szCs w:val="20"/>
        </w:rPr>
        <w:t>mL of these particles was dissolved using methanol, and the resultant suspension was passed through a 0.45 μm filter. HPLC was then used to analyze this solution as previously described in this manuscript. EE and DL were calculated as follows:</w:t>
      </w:r>
    </w:p>
    <w:p w14:paraId="30EF6748" w14:textId="77777777" w:rsidR="00B67B96" w:rsidRPr="00B50B9E" w:rsidRDefault="00B67B96" w:rsidP="00B67B96">
      <w:pPr>
        <w:rPr>
          <w:rFonts w:cs="Arial"/>
          <w:color w:val="000000"/>
        </w:rPr>
      </w:pPr>
      <w:r w:rsidRPr="00B50B9E">
        <w:rPr>
          <w:rFonts w:cs="Arial"/>
          <w:color w:val="000000"/>
        </w:rPr>
        <w:t xml:space="preserve">           </w:t>
      </w:r>
      <w:r w:rsidRPr="00B50B9E">
        <w:rPr>
          <w:rFonts w:cs="Arial"/>
          <w:color w:val="000000"/>
          <w:position w:val="-30"/>
        </w:rPr>
        <w:object w:dxaOrig="3105" w:dyaOrig="720" w14:anchorId="2AEE119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5pt;height:36pt" o:ole="">
            <v:imagedata r:id="rId7" o:title=""/>
          </v:shape>
          <o:OLEObject Type="Embed" ProgID="Equation.DSMT4" ShapeID="_x0000_i1025" DrawAspect="Content" ObjectID="_1663665354" r:id="rId8"/>
        </w:object>
      </w:r>
      <w:r w:rsidRPr="00B50B9E">
        <w:rPr>
          <w:rFonts w:cs="Arial"/>
          <w:color w:val="000000"/>
        </w:rPr>
        <w:t xml:space="preserve">                    1</w:t>
      </w:r>
    </w:p>
    <w:p w14:paraId="25CC5538" w14:textId="3A1DF54C" w:rsidR="00B67B96" w:rsidRPr="00B50B9E" w:rsidRDefault="00B67B96" w:rsidP="00B67B96">
      <w:pPr>
        <w:rPr>
          <w:rFonts w:cs="Arial"/>
          <w:color w:val="000000"/>
        </w:rPr>
      </w:pPr>
      <w:r w:rsidRPr="00B50B9E">
        <w:rPr>
          <w:rFonts w:cs="Arial"/>
          <w:color w:val="000000"/>
        </w:rPr>
        <w:t xml:space="preserve">           </w:t>
      </w:r>
      <w:r w:rsidRPr="00B50B9E">
        <w:rPr>
          <w:rFonts w:cs="Arial"/>
          <w:color w:val="000000"/>
          <w:position w:val="-26"/>
        </w:rPr>
        <w:object w:dxaOrig="3225" w:dyaOrig="645" w14:anchorId="0A26D728">
          <v:shape id="_x0000_i1026" type="#_x0000_t75" style="width:161pt;height:32pt" o:ole="">
            <v:imagedata r:id="rId9" o:title=""/>
          </v:shape>
          <o:OLEObject Type="Embed" ProgID="Equation.DSMT4" ShapeID="_x0000_i1026" DrawAspect="Content" ObjectID="_1663665355" r:id="rId10"/>
        </w:object>
      </w:r>
      <w:r w:rsidRPr="00B50B9E">
        <w:rPr>
          <w:rFonts w:cs="Arial"/>
          <w:color w:val="000000"/>
        </w:rPr>
        <w:t xml:space="preserve">                   2</w:t>
      </w:r>
    </w:p>
    <w:p w14:paraId="7465AAE2" w14:textId="5FEA49CC" w:rsidR="004A5CE4" w:rsidRPr="00B50B9E" w:rsidRDefault="004A26C7" w:rsidP="00C622AE">
      <w:pPr>
        <w:jc w:val="both"/>
        <w:rPr>
          <w:color w:val="000000"/>
          <w:lang w:eastAsia="zh-CN"/>
        </w:rPr>
      </w:pPr>
      <w:r w:rsidRPr="00B50B9E">
        <w:rPr>
          <w:rFonts w:hint="eastAsia"/>
          <w:color w:val="000000"/>
          <w:lang w:eastAsia="zh-CN"/>
        </w:rPr>
        <w:t>1</w:t>
      </w:r>
      <w:r w:rsidRPr="00B50B9E">
        <w:rPr>
          <w:color w:val="000000"/>
          <w:lang w:eastAsia="zh-CN"/>
        </w:rPr>
        <w:t>.</w:t>
      </w:r>
      <w:r w:rsidR="00B67B96" w:rsidRPr="00B50B9E">
        <w:rPr>
          <w:rFonts w:hint="eastAsia"/>
          <w:color w:val="000000"/>
          <w:lang w:eastAsia="zh-CN"/>
        </w:rPr>
        <w:t>7</w:t>
      </w:r>
      <w:r w:rsidRPr="00B50B9E">
        <w:rPr>
          <w:color w:val="000000"/>
          <w:lang w:eastAsia="zh-CN"/>
        </w:rPr>
        <w:t xml:space="preserve"> </w:t>
      </w:r>
      <w:r w:rsidR="00AB2BE2" w:rsidRPr="00B50B9E">
        <w:rPr>
          <w:color w:val="000000"/>
          <w:lang w:eastAsia="zh-CN"/>
        </w:rPr>
        <w:t>D</w:t>
      </w:r>
      <w:r w:rsidR="004A5CE4" w:rsidRPr="00B50B9E">
        <w:rPr>
          <w:color w:val="000000"/>
          <w:lang w:eastAsia="zh-CN"/>
        </w:rPr>
        <w:t xml:space="preserve">rug </w:t>
      </w:r>
      <w:r w:rsidR="00AB2BE2" w:rsidRPr="00B50B9E">
        <w:rPr>
          <w:color w:val="000000"/>
          <w:lang w:eastAsia="zh-CN"/>
        </w:rPr>
        <w:t>R</w:t>
      </w:r>
      <w:r w:rsidR="004A5CE4" w:rsidRPr="00B50B9E">
        <w:rPr>
          <w:color w:val="000000"/>
          <w:lang w:eastAsia="zh-CN"/>
        </w:rPr>
        <w:t>elease</w:t>
      </w:r>
    </w:p>
    <w:p w14:paraId="39B2C4D4" w14:textId="5D18BB87" w:rsidR="004A5CE4" w:rsidRPr="00B50B9E" w:rsidRDefault="004A5CE4" w:rsidP="00C622AE">
      <w:pPr>
        <w:ind w:firstLine="420"/>
        <w:jc w:val="both"/>
        <w:rPr>
          <w:color w:val="000000"/>
          <w:lang w:eastAsia="zh-CN"/>
        </w:rPr>
      </w:pPr>
      <w:r w:rsidRPr="00B50B9E">
        <w:rPr>
          <w:color w:val="000000"/>
          <w:lang w:eastAsia="zh-CN"/>
        </w:rPr>
        <w:t>We used dialysis to assess drug release of GB-NCs. GB and GB-NCs (1 mL) were passed through 3.5 kDa cut-off dialysis to simulated gastric media and phosphate buffer saline (PBS, pH = 7.4) was added. The media was replaced and collected at different timepoints. GB content was measured via HPLC</w:t>
      </w:r>
      <w:r w:rsidR="00847390" w:rsidRPr="00B50B9E">
        <w:rPr>
          <w:color w:val="000000"/>
          <w:lang w:eastAsia="zh-CN"/>
        </w:rPr>
        <w:t xml:space="preserve">. An Agilent 1100 series HPLC (Santa Clara, USA) workstation was used with a DAD detector, an auto-sampler, and an Ecosil C18 (4.6 mm × 150 mm, 5μm) analytical column. Samples (20 ml) were injected into the HPLC system with mobile phase methanol/water (50:50) at 1.0 ml/min and detected at 220 nm. </w:t>
      </w:r>
      <w:r w:rsidR="00847390" w:rsidRPr="00B50B9E">
        <w:rPr>
          <w:rFonts w:eastAsiaTheme="majorHAnsi" w:cs="Arial"/>
          <w:color w:val="000000"/>
        </w:rPr>
        <w:t xml:space="preserve">A reliable HPLC method was developed with a linear range of 0.05-2.00 μg/ml for GB (r=0.9997). The intra- and inter-day precision was lower than 2% in relation to relative standard deviation, while accuracy was within ± 1.6% in terms of relative error. The limit of detection (LOD) and limit of quantification (LOQ) of GB were determined to be 0.01 </w:t>
      </w:r>
      <w:bookmarkStart w:id="0" w:name="_Hlk52055456"/>
      <w:r w:rsidR="00847390" w:rsidRPr="00B50B9E">
        <w:rPr>
          <w:rFonts w:eastAsiaTheme="majorHAnsi" w:cs="Arial"/>
          <w:color w:val="000000"/>
        </w:rPr>
        <w:t>μg/ml</w:t>
      </w:r>
      <w:bookmarkEnd w:id="0"/>
      <w:r w:rsidR="00847390" w:rsidRPr="00B50B9E">
        <w:rPr>
          <w:rFonts w:eastAsiaTheme="majorHAnsi" w:cs="Arial"/>
          <w:color w:val="000000"/>
        </w:rPr>
        <w:t xml:space="preserve"> and 0.03 μg/ml, respectively.</w:t>
      </w:r>
    </w:p>
    <w:p w14:paraId="2EC73DA1" w14:textId="5A154B83" w:rsidR="00FB585F" w:rsidRPr="00B50B9E" w:rsidRDefault="00FB585F" w:rsidP="00C622AE">
      <w:pPr>
        <w:jc w:val="both"/>
        <w:rPr>
          <w:color w:val="000000"/>
          <w:lang w:eastAsia="zh-CN"/>
        </w:rPr>
      </w:pPr>
      <w:r w:rsidRPr="00B50B9E">
        <w:rPr>
          <w:rFonts w:hint="eastAsia"/>
          <w:color w:val="000000"/>
          <w:lang w:eastAsia="zh-CN"/>
        </w:rPr>
        <w:t>1</w:t>
      </w:r>
      <w:r w:rsidRPr="00B50B9E">
        <w:rPr>
          <w:color w:val="000000"/>
          <w:lang w:eastAsia="zh-CN"/>
        </w:rPr>
        <w:t>.8 Solubility of GB in D</w:t>
      </w:r>
      <w:r w:rsidRPr="00B50B9E">
        <w:rPr>
          <w:rFonts w:hint="eastAsia"/>
          <w:color w:val="000000"/>
          <w:lang w:eastAsia="zh-CN"/>
        </w:rPr>
        <w:t>ifferent</w:t>
      </w:r>
      <w:r w:rsidRPr="00B50B9E">
        <w:rPr>
          <w:color w:val="000000"/>
          <w:lang w:eastAsia="zh-CN"/>
        </w:rPr>
        <w:t xml:space="preserve"> Buffer</w:t>
      </w:r>
      <w:r w:rsidR="00B67B96" w:rsidRPr="00B50B9E">
        <w:rPr>
          <w:rFonts w:hint="eastAsia"/>
          <w:color w:val="000000"/>
          <w:lang w:eastAsia="zh-CN"/>
        </w:rPr>
        <w:t>s</w:t>
      </w:r>
      <w:r w:rsidRPr="00B50B9E">
        <w:rPr>
          <w:color w:val="000000"/>
          <w:lang w:eastAsia="zh-CN"/>
        </w:rPr>
        <w:t xml:space="preserve"> </w:t>
      </w:r>
    </w:p>
    <w:p w14:paraId="45FD2EA6" w14:textId="5E769E3E" w:rsidR="00FB585F" w:rsidRPr="00B50B9E" w:rsidRDefault="00FB585F" w:rsidP="00C622AE">
      <w:pPr>
        <w:ind w:firstLine="420"/>
        <w:jc w:val="both"/>
        <w:rPr>
          <w:color w:val="000000"/>
          <w:lang w:eastAsia="zh-CN"/>
        </w:rPr>
      </w:pPr>
      <w:r w:rsidRPr="00B50B9E">
        <w:rPr>
          <w:color w:val="000000"/>
          <w:lang w:eastAsia="zh-CN"/>
        </w:rPr>
        <w:lastRenderedPageBreak/>
        <w:t>Excess GB powder was dispersed in different buffers with continuous shaking for 36 h in a water bath at 37 °C. After reaching a balanced state, the saturated solution was filtered with a 0.2 μm membrane. The solution was evaporated to dryness at 50 °C under a gentle steam of nitrogen. The residue was re-dissolved in methanol. The content of GB was qualified by HPLC.</w:t>
      </w:r>
    </w:p>
    <w:p w14:paraId="07A19455" w14:textId="676A4C41" w:rsidR="00EE53CA" w:rsidRPr="00B50B9E" w:rsidRDefault="00847390" w:rsidP="00C622AE">
      <w:pPr>
        <w:jc w:val="both"/>
        <w:rPr>
          <w:color w:val="000000"/>
          <w:lang w:eastAsia="zh-CN"/>
        </w:rPr>
      </w:pPr>
      <w:r w:rsidRPr="00B50B9E">
        <w:rPr>
          <w:color w:val="000000"/>
          <w:lang w:eastAsia="zh-CN"/>
        </w:rPr>
        <w:t>S</w:t>
      </w:r>
      <w:r w:rsidR="00EE53CA" w:rsidRPr="00B50B9E">
        <w:rPr>
          <w:rFonts w:hint="eastAsia"/>
          <w:color w:val="000000"/>
          <w:lang w:eastAsia="zh-CN"/>
        </w:rPr>
        <w:t>2</w:t>
      </w:r>
      <w:r w:rsidR="00EE53CA" w:rsidRPr="00B50B9E">
        <w:rPr>
          <w:color w:val="000000"/>
          <w:lang w:eastAsia="zh-CN"/>
        </w:rPr>
        <w:t>. R</w:t>
      </w:r>
      <w:r w:rsidR="00EE53CA" w:rsidRPr="00B50B9E">
        <w:rPr>
          <w:rFonts w:hint="eastAsia"/>
          <w:color w:val="000000"/>
          <w:lang w:eastAsia="zh-CN"/>
        </w:rPr>
        <w:t>esults</w:t>
      </w:r>
    </w:p>
    <w:p w14:paraId="1CF37FF5" w14:textId="5F2F66FE" w:rsidR="00FB585F" w:rsidRPr="00B50B9E" w:rsidRDefault="00FB585F" w:rsidP="00C622AE">
      <w:pPr>
        <w:jc w:val="both"/>
        <w:rPr>
          <w:color w:val="000000"/>
          <w:lang w:eastAsia="zh-CN"/>
        </w:rPr>
      </w:pPr>
      <w:r w:rsidRPr="00B50B9E">
        <w:rPr>
          <w:color w:val="000000"/>
          <w:lang w:eastAsia="zh-CN"/>
        </w:rPr>
        <w:t>Table S1</w:t>
      </w:r>
      <w:r w:rsidRPr="00B50B9E">
        <w:rPr>
          <w:rFonts w:hint="eastAsia"/>
          <w:color w:val="000000"/>
          <w:lang w:eastAsia="zh-CN"/>
        </w:rPr>
        <w:t>.</w:t>
      </w:r>
      <w:r w:rsidRPr="00B50B9E">
        <w:rPr>
          <w:color w:val="000000"/>
          <w:lang w:eastAsia="zh-CN"/>
        </w:rPr>
        <w:t xml:space="preserve"> GB solubility in different buffers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397"/>
        <w:gridCol w:w="3544"/>
      </w:tblGrid>
      <w:tr w:rsidR="00B67B96" w:rsidRPr="00B50B9E" w14:paraId="3EC142DB" w14:textId="77777777" w:rsidTr="00E4703F">
        <w:tc>
          <w:tcPr>
            <w:tcW w:w="3397" w:type="dxa"/>
          </w:tcPr>
          <w:p w14:paraId="64BED621" w14:textId="77777777" w:rsidR="00FB585F" w:rsidRPr="00B50B9E" w:rsidRDefault="00FB585F" w:rsidP="00E4703F">
            <w:pPr>
              <w:spacing w:line="360" w:lineRule="auto"/>
              <w:jc w:val="center"/>
              <w:rPr>
                <w:rFonts w:eastAsiaTheme="majorHAnsi" w:cs="Arial"/>
                <w:color w:val="000000"/>
              </w:rPr>
            </w:pPr>
            <w:r w:rsidRPr="00B50B9E">
              <w:rPr>
                <w:rFonts w:eastAsiaTheme="majorHAnsi" w:cs="Arial"/>
                <w:color w:val="000000"/>
              </w:rPr>
              <w:t>Buffer</w:t>
            </w:r>
          </w:p>
        </w:tc>
        <w:tc>
          <w:tcPr>
            <w:tcW w:w="3544" w:type="dxa"/>
          </w:tcPr>
          <w:p w14:paraId="08299838" w14:textId="6044BD61" w:rsidR="00FB585F" w:rsidRPr="00B50B9E" w:rsidRDefault="00FB585F" w:rsidP="00E4703F">
            <w:pPr>
              <w:spacing w:line="360" w:lineRule="auto"/>
              <w:jc w:val="center"/>
              <w:rPr>
                <w:rFonts w:eastAsiaTheme="majorHAnsi" w:cs="Arial"/>
                <w:color w:val="000000"/>
              </w:rPr>
            </w:pPr>
            <w:r w:rsidRPr="00B50B9E">
              <w:rPr>
                <w:rFonts w:eastAsiaTheme="majorHAnsi" w:cs="Arial"/>
                <w:color w:val="000000"/>
              </w:rPr>
              <w:t>GB solubility (mg/mL)</w:t>
            </w:r>
          </w:p>
        </w:tc>
      </w:tr>
      <w:tr w:rsidR="00B67B96" w:rsidRPr="00B50B9E" w14:paraId="7DD3A79F" w14:textId="77777777" w:rsidTr="00E4703F">
        <w:tc>
          <w:tcPr>
            <w:tcW w:w="3397" w:type="dxa"/>
          </w:tcPr>
          <w:p w14:paraId="172EB356" w14:textId="77777777" w:rsidR="00FB585F" w:rsidRPr="00B50B9E" w:rsidRDefault="00FB585F" w:rsidP="00E4703F">
            <w:pPr>
              <w:spacing w:line="360" w:lineRule="auto"/>
              <w:jc w:val="center"/>
              <w:rPr>
                <w:rFonts w:eastAsiaTheme="majorHAnsi" w:cs="Arial"/>
                <w:color w:val="000000"/>
              </w:rPr>
            </w:pPr>
            <w:r w:rsidRPr="00B50B9E">
              <w:rPr>
                <w:rFonts w:eastAsiaTheme="majorHAnsi" w:cs="Arial"/>
                <w:color w:val="000000"/>
              </w:rPr>
              <w:t>PBS</w:t>
            </w:r>
          </w:p>
        </w:tc>
        <w:tc>
          <w:tcPr>
            <w:tcW w:w="3544" w:type="dxa"/>
          </w:tcPr>
          <w:p w14:paraId="75A2B3AB" w14:textId="77777777" w:rsidR="00FB585F" w:rsidRPr="00B50B9E" w:rsidRDefault="00FB585F" w:rsidP="00E4703F">
            <w:pPr>
              <w:spacing w:line="360" w:lineRule="auto"/>
              <w:jc w:val="center"/>
              <w:rPr>
                <w:rFonts w:eastAsiaTheme="majorHAnsi" w:cs="Arial"/>
                <w:color w:val="000000"/>
              </w:rPr>
            </w:pPr>
            <w:r w:rsidRPr="00B50B9E">
              <w:rPr>
                <w:rFonts w:eastAsiaTheme="majorHAnsi" w:cs="Arial"/>
                <w:color w:val="000000"/>
              </w:rPr>
              <w:t>0.35</w:t>
            </w:r>
          </w:p>
        </w:tc>
      </w:tr>
      <w:tr w:rsidR="00B67B96" w:rsidRPr="00B50B9E" w14:paraId="6EEBE2CB" w14:textId="77777777" w:rsidTr="00E4703F">
        <w:tc>
          <w:tcPr>
            <w:tcW w:w="3397" w:type="dxa"/>
          </w:tcPr>
          <w:p w14:paraId="3BD26C62" w14:textId="77777777" w:rsidR="00FB585F" w:rsidRPr="00B50B9E" w:rsidRDefault="00FB585F" w:rsidP="00E4703F">
            <w:pPr>
              <w:spacing w:line="360" w:lineRule="auto"/>
              <w:jc w:val="center"/>
              <w:rPr>
                <w:rFonts w:eastAsiaTheme="majorHAnsi" w:cs="Arial"/>
                <w:color w:val="000000"/>
              </w:rPr>
            </w:pPr>
            <w:r w:rsidRPr="00B50B9E">
              <w:rPr>
                <w:rFonts w:eastAsiaTheme="majorHAnsi" w:cs="Arial"/>
                <w:color w:val="000000"/>
              </w:rPr>
              <w:t>pH 7.4</w:t>
            </w:r>
          </w:p>
        </w:tc>
        <w:tc>
          <w:tcPr>
            <w:tcW w:w="3544" w:type="dxa"/>
          </w:tcPr>
          <w:p w14:paraId="1294BB8E" w14:textId="77777777" w:rsidR="00FB585F" w:rsidRPr="00B50B9E" w:rsidRDefault="00FB585F" w:rsidP="00E4703F">
            <w:pPr>
              <w:spacing w:line="360" w:lineRule="auto"/>
              <w:jc w:val="center"/>
              <w:rPr>
                <w:rFonts w:eastAsiaTheme="majorHAnsi" w:cs="Arial"/>
                <w:color w:val="000000"/>
              </w:rPr>
            </w:pPr>
            <w:r w:rsidRPr="00B50B9E">
              <w:rPr>
                <w:rFonts w:eastAsiaTheme="majorHAnsi" w:cs="Arial"/>
                <w:color w:val="000000"/>
              </w:rPr>
              <w:t>0.32</w:t>
            </w:r>
          </w:p>
        </w:tc>
      </w:tr>
      <w:tr w:rsidR="00B67B96" w:rsidRPr="00B50B9E" w14:paraId="3AEDCA1E" w14:textId="77777777" w:rsidTr="00E4703F">
        <w:tc>
          <w:tcPr>
            <w:tcW w:w="3397" w:type="dxa"/>
          </w:tcPr>
          <w:p w14:paraId="6A686607" w14:textId="77777777" w:rsidR="00FB585F" w:rsidRPr="00B50B9E" w:rsidRDefault="00FB585F" w:rsidP="00E4703F">
            <w:pPr>
              <w:spacing w:line="360" w:lineRule="auto"/>
              <w:jc w:val="center"/>
              <w:rPr>
                <w:rFonts w:eastAsiaTheme="majorHAnsi" w:cs="Arial"/>
                <w:color w:val="000000"/>
              </w:rPr>
            </w:pPr>
            <w:r w:rsidRPr="00B50B9E">
              <w:rPr>
                <w:rFonts w:eastAsiaTheme="majorHAnsi" w:cs="Arial"/>
                <w:color w:val="000000"/>
              </w:rPr>
              <w:t>pH 1.2</w:t>
            </w:r>
          </w:p>
        </w:tc>
        <w:tc>
          <w:tcPr>
            <w:tcW w:w="3544" w:type="dxa"/>
          </w:tcPr>
          <w:p w14:paraId="421F041E" w14:textId="77777777" w:rsidR="00FB585F" w:rsidRPr="00B50B9E" w:rsidRDefault="00FB585F" w:rsidP="00E4703F">
            <w:pPr>
              <w:spacing w:line="360" w:lineRule="auto"/>
              <w:jc w:val="center"/>
              <w:rPr>
                <w:rFonts w:eastAsiaTheme="majorHAnsi" w:cs="Arial"/>
                <w:color w:val="000000"/>
              </w:rPr>
            </w:pPr>
            <w:r w:rsidRPr="00B50B9E">
              <w:rPr>
                <w:rFonts w:eastAsiaTheme="majorHAnsi" w:cs="Arial"/>
                <w:color w:val="000000"/>
              </w:rPr>
              <w:t>0.37</w:t>
            </w:r>
          </w:p>
        </w:tc>
      </w:tr>
    </w:tbl>
    <w:p w14:paraId="55C0F6AB" w14:textId="60A038E5" w:rsidR="00B6045B" w:rsidRPr="00B50B9E" w:rsidRDefault="00AF6613" w:rsidP="00C622AE">
      <w:pPr>
        <w:jc w:val="both"/>
        <w:rPr>
          <w:color w:val="000000"/>
        </w:rPr>
      </w:pPr>
      <w:r w:rsidRPr="00B50B9E">
        <w:rPr>
          <w:color w:val="000000"/>
        </w:rPr>
        <w:t>Table S</w:t>
      </w:r>
      <w:r w:rsidR="00FB585F" w:rsidRPr="00B50B9E">
        <w:rPr>
          <w:color w:val="000000"/>
        </w:rPr>
        <w:t>2</w:t>
      </w:r>
      <w:r w:rsidRPr="00B50B9E">
        <w:rPr>
          <w:color w:val="000000"/>
        </w:rPr>
        <w:t>. Endocytosis inhibitors used in the present study.</w:t>
      </w:r>
    </w:p>
    <w:tbl>
      <w:tblPr>
        <w:tblStyle w:val="TableGrid"/>
        <w:tblW w:w="8364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3543"/>
        <w:gridCol w:w="2127"/>
      </w:tblGrid>
      <w:tr w:rsidR="000C180F" w:rsidRPr="00B50B9E" w14:paraId="252A3B1A" w14:textId="77777777" w:rsidTr="000C180F">
        <w:trPr>
          <w:jc w:val="center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14:paraId="7FDBD94B" w14:textId="77777777" w:rsidR="000C180F" w:rsidRPr="00B50B9E" w:rsidRDefault="000C180F" w:rsidP="00C622AE">
            <w:pPr>
              <w:jc w:val="both"/>
              <w:rPr>
                <w:color w:val="000000"/>
              </w:rPr>
            </w:pPr>
            <w:r w:rsidRPr="00B50B9E">
              <w:rPr>
                <w:color w:val="000000"/>
              </w:rPr>
              <w:t>Inhibitors</w:t>
            </w:r>
          </w:p>
        </w:tc>
        <w:tc>
          <w:tcPr>
            <w:tcW w:w="3543" w:type="dxa"/>
            <w:tcBorders>
              <w:top w:val="single" w:sz="4" w:space="0" w:color="auto"/>
              <w:bottom w:val="single" w:sz="4" w:space="0" w:color="auto"/>
            </w:tcBorders>
          </w:tcPr>
          <w:p w14:paraId="302C105A" w14:textId="77777777" w:rsidR="000C180F" w:rsidRPr="00B50B9E" w:rsidRDefault="000C180F" w:rsidP="00C622AE">
            <w:pPr>
              <w:jc w:val="both"/>
              <w:rPr>
                <w:color w:val="000000"/>
              </w:rPr>
            </w:pPr>
            <w:r w:rsidRPr="00B50B9E">
              <w:rPr>
                <w:color w:val="000000"/>
              </w:rPr>
              <w:t>Function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257C1B26" w14:textId="77777777" w:rsidR="000C180F" w:rsidRPr="00B50B9E" w:rsidRDefault="000C180F" w:rsidP="00C622AE">
            <w:pPr>
              <w:jc w:val="both"/>
              <w:rPr>
                <w:color w:val="000000"/>
              </w:rPr>
            </w:pPr>
            <w:r w:rsidRPr="00B50B9E">
              <w:rPr>
                <w:color w:val="000000"/>
              </w:rPr>
              <w:t>Final concentration</w:t>
            </w:r>
          </w:p>
        </w:tc>
      </w:tr>
      <w:tr w:rsidR="000C180F" w:rsidRPr="00B50B9E" w14:paraId="3AFE840F" w14:textId="77777777" w:rsidTr="000C180F">
        <w:trPr>
          <w:jc w:val="center"/>
        </w:trPr>
        <w:tc>
          <w:tcPr>
            <w:tcW w:w="2694" w:type="dxa"/>
            <w:tcBorders>
              <w:top w:val="single" w:sz="4" w:space="0" w:color="auto"/>
            </w:tcBorders>
          </w:tcPr>
          <w:p w14:paraId="602A140F" w14:textId="77777777" w:rsidR="000C180F" w:rsidRPr="00B50B9E" w:rsidRDefault="000C180F" w:rsidP="00C622AE">
            <w:pPr>
              <w:jc w:val="both"/>
              <w:rPr>
                <w:color w:val="000000"/>
              </w:rPr>
            </w:pPr>
            <w:r w:rsidRPr="00B50B9E">
              <w:rPr>
                <w:color w:val="000000"/>
              </w:rPr>
              <w:t>Methyl-β-cyclodextrin (MβCD)</w:t>
            </w:r>
          </w:p>
        </w:tc>
        <w:tc>
          <w:tcPr>
            <w:tcW w:w="3543" w:type="dxa"/>
            <w:tcBorders>
              <w:top w:val="single" w:sz="4" w:space="0" w:color="auto"/>
            </w:tcBorders>
          </w:tcPr>
          <w:p w14:paraId="49506575" w14:textId="77777777" w:rsidR="000C180F" w:rsidRPr="00B50B9E" w:rsidRDefault="000C180F" w:rsidP="00C622AE">
            <w:pPr>
              <w:jc w:val="both"/>
              <w:rPr>
                <w:color w:val="000000"/>
              </w:rPr>
            </w:pPr>
            <w:r w:rsidRPr="00B50B9E">
              <w:rPr>
                <w:color w:val="000000"/>
              </w:rPr>
              <w:t xml:space="preserve">Depletes cholesterol. Inhibits lipid- and caveolae-dependent endocytosis </w:t>
            </w:r>
            <w:r w:rsidRPr="00B50B9E">
              <w:rPr>
                <w:color w:val="000000"/>
              </w:rPr>
              <w:fldChar w:fldCharType="begin">
                <w:fldData xml:space="preserve">PEVuZE5vdGU+PENpdGU+PEF1dGhvcj5Sb2dlcjwvQXV0aG9yPjxZZWFyPjIwMDk8L1llYXI+PFJl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</w:fldData>
              </w:fldChar>
            </w:r>
            <w:r w:rsidRPr="00B50B9E">
              <w:rPr>
                <w:color w:val="000000"/>
              </w:rPr>
              <w:instrText xml:space="preserve"> ADDIN EN.CITE </w:instrText>
            </w:r>
            <w:r w:rsidRPr="00B50B9E">
              <w:rPr>
                <w:color w:val="000000"/>
              </w:rPr>
              <w:fldChar w:fldCharType="begin">
                <w:fldData xml:space="preserve">PEVuZE5vdGU+PENpdGU+PEF1dGhvcj5Sb2dlcjwvQXV0aG9yPjxZZWFyPjIwMDk8L1llYXI+PFJl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</w:fldData>
              </w:fldChar>
            </w:r>
            <w:r w:rsidRPr="00B50B9E">
              <w:rPr>
                <w:color w:val="000000"/>
              </w:rPr>
              <w:instrText xml:space="preserve"> ADDIN EN.CITE.DATA </w:instrText>
            </w:r>
            <w:r w:rsidRPr="00B50B9E">
              <w:rPr>
                <w:color w:val="000000"/>
              </w:rPr>
            </w:r>
            <w:r w:rsidRPr="00B50B9E">
              <w:rPr>
                <w:color w:val="000000"/>
              </w:rPr>
              <w:fldChar w:fldCharType="end"/>
            </w:r>
            <w:r w:rsidRPr="00B50B9E">
              <w:rPr>
                <w:color w:val="000000"/>
              </w:rPr>
            </w:r>
            <w:r w:rsidRPr="00B50B9E">
              <w:rPr>
                <w:color w:val="000000"/>
              </w:rPr>
              <w:fldChar w:fldCharType="separate"/>
            </w:r>
            <w:r w:rsidRPr="00B50B9E">
              <w:rPr>
                <w:color w:val="000000"/>
                <w:vertAlign w:val="superscript"/>
              </w:rPr>
              <w:t>20</w:t>
            </w:r>
            <w:r w:rsidRPr="00B50B9E">
              <w:rPr>
                <w:color w:val="000000"/>
              </w:rPr>
              <w:fldChar w:fldCharType="end"/>
            </w:r>
            <w:r w:rsidRPr="00B50B9E">
              <w:rPr>
                <w:color w:val="000000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14:paraId="2C510376" w14:textId="77777777" w:rsidR="000C180F" w:rsidRPr="00B50B9E" w:rsidRDefault="000C180F" w:rsidP="00C622AE">
            <w:pPr>
              <w:jc w:val="both"/>
              <w:rPr>
                <w:color w:val="000000"/>
              </w:rPr>
            </w:pPr>
            <w:r w:rsidRPr="00B50B9E">
              <w:rPr>
                <w:rFonts w:hint="eastAsia"/>
                <w:color w:val="000000"/>
              </w:rPr>
              <w:t>1</w:t>
            </w:r>
            <w:r w:rsidRPr="00B50B9E">
              <w:rPr>
                <w:color w:val="000000"/>
              </w:rPr>
              <w:t xml:space="preserve">0 </w:t>
            </w:r>
            <w:r w:rsidRPr="00B50B9E">
              <w:rPr>
                <w:rFonts w:hint="eastAsia"/>
                <w:color w:val="000000"/>
              </w:rPr>
              <w:t>mM</w:t>
            </w:r>
          </w:p>
        </w:tc>
      </w:tr>
      <w:tr w:rsidR="000C180F" w:rsidRPr="00B50B9E" w14:paraId="77C0154E" w14:textId="77777777" w:rsidTr="000C180F">
        <w:trPr>
          <w:jc w:val="center"/>
        </w:trPr>
        <w:tc>
          <w:tcPr>
            <w:tcW w:w="2694" w:type="dxa"/>
          </w:tcPr>
          <w:p w14:paraId="511D0425" w14:textId="77777777" w:rsidR="000C180F" w:rsidRPr="00B50B9E" w:rsidRDefault="000C180F" w:rsidP="00C622AE">
            <w:pPr>
              <w:jc w:val="both"/>
              <w:rPr>
                <w:color w:val="000000"/>
              </w:rPr>
            </w:pPr>
            <w:r w:rsidRPr="00B50B9E">
              <w:rPr>
                <w:color w:val="000000"/>
              </w:rPr>
              <w:t>Chlorpromazine (CPZ)</w:t>
            </w:r>
          </w:p>
        </w:tc>
        <w:tc>
          <w:tcPr>
            <w:tcW w:w="3543" w:type="dxa"/>
          </w:tcPr>
          <w:p w14:paraId="6134F155" w14:textId="77777777" w:rsidR="000C180F" w:rsidRPr="00B50B9E" w:rsidRDefault="000C180F" w:rsidP="00C622AE">
            <w:pPr>
              <w:jc w:val="both"/>
              <w:rPr>
                <w:color w:val="000000"/>
              </w:rPr>
            </w:pPr>
            <w:r w:rsidRPr="00B50B9E">
              <w:rPr>
                <w:color w:val="000000"/>
              </w:rPr>
              <w:t xml:space="preserve">Cationic amphiphilic compound. Disrupts AP2 and clathrin complex formation at the cell surface, thereby </w:t>
            </w:r>
            <w:r w:rsidRPr="00B50B9E">
              <w:rPr>
                <w:color w:val="000000"/>
              </w:rPr>
              <w:lastRenderedPageBreak/>
              <w:t xml:space="preserve">inhibiting clathrin-dependent endocytosis </w:t>
            </w:r>
            <w:r w:rsidRPr="00B50B9E">
              <w:rPr>
                <w:color w:val="000000"/>
              </w:rPr>
              <w:fldChar w:fldCharType="begin"/>
            </w:r>
            <w:r w:rsidRPr="00B50B9E">
              <w:rPr>
                <w:color w:val="000000"/>
              </w:rPr>
              <w:instrText xml:space="preserve"> ADDIN EN.CITE &lt;EndNote&gt;&lt;Cite&gt;&lt;Author&gt;Wang&lt;/Author&gt;&lt;Year&gt;1993&lt;/Year&gt;&lt;RecNum&gt;39&lt;/RecNum&gt;&lt;DisplayText&gt;&lt;style face="superscript"&gt;21&lt;/style&gt;&lt;/DisplayText&gt;&lt;record&gt;&lt;rec-number&gt;39&lt;/rec-number&gt;&lt;foreign-keys&gt;&lt;key app="EN" db-id="0txxpvswcd20spefp9b5txs8pvaper0eze9a" timestamp="1579228480"&gt;39&lt;/key&gt;&lt;key app="ENWeb" db-id=""&gt;0&lt;/key&gt;&lt;/foreign-keys&gt;&lt;ref-type name="Journal Article"&gt;17&lt;/ref-type&gt;&lt;contributors&gt;&lt;authors&gt;&lt;author&gt;Wang, L.H.&lt;/author&gt;&lt;author&gt;Rothberg, K.G.&lt;/author&gt;&lt;author&gt;Anderson, R.G.&lt;/author&gt;&lt;/authors&gt;&lt;/contributors&gt;&lt;titles&gt;&lt;title&gt;Mis-assembly of clathrin lattices on endosomes reveals a regulatory switch for coated pit formation&lt;/title&gt;&lt;secondary-title&gt;J Cell Biol.&lt;/secondary-title&gt;&lt;/titles&gt;&lt;periodical&gt;&lt;full-title&gt;J Cell Biol.&lt;/full-title&gt;&lt;/periodical&gt;&lt;pages&gt;1107-17&lt;/pages&gt;&lt;volume&gt;123&lt;/volume&gt;&lt;number&gt;5&lt;/number&gt;&lt;dates&gt;&lt;year&gt;1993&lt;/year&gt;&lt;/dates&gt;&lt;urls&gt;&lt;/urls&gt;&lt;electronic-resource-num&gt;10.1083/jcb.123.5.1107&lt;/electronic-resource-num&gt;&lt;/record&gt;&lt;/Cite&gt;&lt;/EndNote&gt;</w:instrText>
            </w:r>
            <w:r w:rsidRPr="00B50B9E">
              <w:rPr>
                <w:color w:val="000000"/>
              </w:rPr>
              <w:fldChar w:fldCharType="separate"/>
            </w:r>
            <w:r w:rsidRPr="00B50B9E">
              <w:rPr>
                <w:color w:val="000000"/>
                <w:vertAlign w:val="superscript"/>
              </w:rPr>
              <w:t>21</w:t>
            </w:r>
            <w:r w:rsidRPr="00B50B9E">
              <w:rPr>
                <w:color w:val="000000"/>
              </w:rPr>
              <w:fldChar w:fldCharType="end"/>
            </w:r>
            <w:r w:rsidRPr="00B50B9E">
              <w:rPr>
                <w:color w:val="000000"/>
              </w:rPr>
              <w:t>.</w:t>
            </w:r>
          </w:p>
        </w:tc>
        <w:tc>
          <w:tcPr>
            <w:tcW w:w="2127" w:type="dxa"/>
          </w:tcPr>
          <w:p w14:paraId="471B2750" w14:textId="77777777" w:rsidR="000C180F" w:rsidRPr="00B50B9E" w:rsidRDefault="000C180F" w:rsidP="00C622AE">
            <w:pPr>
              <w:jc w:val="both"/>
              <w:rPr>
                <w:color w:val="000000"/>
              </w:rPr>
            </w:pPr>
            <w:r w:rsidRPr="00B50B9E">
              <w:rPr>
                <w:color w:val="000000"/>
              </w:rPr>
              <w:lastRenderedPageBreak/>
              <w:t>30 μM</w:t>
            </w:r>
          </w:p>
        </w:tc>
      </w:tr>
      <w:tr w:rsidR="000C180F" w:rsidRPr="00B50B9E" w14:paraId="203A1BC0" w14:textId="77777777" w:rsidTr="000C180F">
        <w:trPr>
          <w:jc w:val="center"/>
        </w:trPr>
        <w:tc>
          <w:tcPr>
            <w:tcW w:w="2694" w:type="dxa"/>
          </w:tcPr>
          <w:p w14:paraId="1EFE4B19" w14:textId="77777777" w:rsidR="000C180F" w:rsidRPr="00B50B9E" w:rsidRDefault="000C180F" w:rsidP="00C622AE">
            <w:pPr>
              <w:jc w:val="both"/>
              <w:rPr>
                <w:color w:val="000000"/>
              </w:rPr>
            </w:pPr>
            <w:r w:rsidRPr="00B50B9E">
              <w:rPr>
                <w:color w:val="000000"/>
              </w:rPr>
              <w:t>Hypertonic sucrose (HS)</w:t>
            </w:r>
          </w:p>
        </w:tc>
        <w:tc>
          <w:tcPr>
            <w:tcW w:w="3543" w:type="dxa"/>
          </w:tcPr>
          <w:p w14:paraId="1C93B801" w14:textId="77777777" w:rsidR="000C180F" w:rsidRPr="00B50B9E" w:rsidRDefault="000C180F" w:rsidP="00C622AE">
            <w:pPr>
              <w:jc w:val="both"/>
              <w:rPr>
                <w:color w:val="000000"/>
              </w:rPr>
            </w:pPr>
            <w:r w:rsidRPr="00B50B9E">
              <w:rPr>
                <w:color w:val="000000"/>
              </w:rPr>
              <w:t xml:space="preserve">Inhibits clathrin vesicle formation via dispersing plasma membrane clathrin lattices </w:t>
            </w:r>
            <w:r w:rsidRPr="00B50B9E">
              <w:rPr>
                <w:color w:val="000000"/>
              </w:rPr>
              <w:fldChar w:fldCharType="begin"/>
            </w:r>
            <w:r w:rsidRPr="00B50B9E">
              <w:rPr>
                <w:color w:val="000000"/>
              </w:rPr>
              <w:instrText xml:space="preserve"> ADDIN EN.CITE &lt;EndNote&gt;&lt;Cite&gt;&lt;Author&gt;Antonescu&lt;/Author&gt;&lt;Year&gt;2008&lt;/Year&gt;&lt;RecNum&gt;38&lt;/RecNum&gt;&lt;DisplayText&gt;&lt;style face="superscript"&gt;22&lt;/style&gt;&lt;/DisplayText&gt;&lt;record&gt;&lt;rec-number&gt;38&lt;/rec-number&gt;&lt;foreign-keys&gt;&lt;key app="EN" db-id="0txxpvswcd20spefp9b5txs8pvaper0eze9a" timestamp="1579228311"&gt;38&lt;/key&gt;&lt;key app="ENWeb" db-id=""&gt;0&lt;/key&gt;&lt;/foreign-keys&gt;&lt;ref-type name="Journal Article"&gt;17&lt;/ref-type&gt;&lt;contributors&gt;&lt;authors&gt;&lt;author&gt;Antonescu, C. N.&lt;/author&gt;&lt;author&gt;Diaz, M.&lt;/author&gt;&lt;author&gt;Femia, G.&lt;/author&gt;&lt;author&gt;Planas, J. V.&lt;/author&gt;&lt;author&gt;Klip, A.&lt;/author&gt;&lt;/authors&gt;&lt;/contributors&gt;&lt;auth-address&gt;Program in Cell Biology, The Hospital For Sick Children, Toronto, Ontario, Canada.&lt;/auth-address&gt;&lt;titles&gt;&lt;title&gt;Clathrin-dependent and independent endocytosis of glucose transporter 4 (GLUT4) in myoblasts: regulation by mitochondrial uncoupling&lt;/title&gt;&lt;secondary-title&gt;Traffic&lt;/secondary-title&gt;&lt;/titles&gt;&lt;periodical&gt;&lt;full-title&gt;Traffic&lt;/full-title&gt;&lt;/periodical&gt;&lt;pages&gt;1173-90&lt;/pages&gt;&lt;volume&gt;9&lt;/volume&gt;&lt;number&gt;7&lt;/number&gt;&lt;edition&gt;2008/04/26&lt;/edition&gt;&lt;keywords&gt;&lt;keyword&gt;Animals&lt;/keyword&gt;&lt;keyword&gt;Caveolae/metabolism&lt;/keyword&gt;&lt;keyword&gt;Cholesterol/metabolism&lt;/keyword&gt;&lt;keyword&gt;Clathrin/metabolism&lt;/keyword&gt;&lt;keyword&gt;Dynamins/metabolism&lt;/keyword&gt;&lt;keyword&gt;Endocytosis&lt;/keyword&gt;&lt;keyword&gt;Glucose Transporter Type 4/*metabolism&lt;/keyword&gt;&lt;keyword&gt;Ion Channels/chemistry&lt;/keyword&gt;&lt;keyword&gt;Mitochondria/*metabolism&lt;/keyword&gt;&lt;keyword&gt;Mitochondrial Proteins/chemistry&lt;/keyword&gt;&lt;keyword&gt;Models, Biological&lt;/keyword&gt;&lt;keyword&gt;Muscle Contraction&lt;/keyword&gt;&lt;keyword&gt;Myoblasts/*cytology/metabolism&lt;/keyword&gt;&lt;keyword&gt;Rats&lt;/keyword&gt;&lt;keyword&gt;Trout&lt;/keyword&gt;&lt;keyword&gt;Uncoupling Protein 1&lt;/keyword&gt;&lt;/keywords&gt;&lt;dates&gt;&lt;year&gt;2008&lt;/year&gt;&lt;pub-dates&gt;&lt;date&gt;Jul&lt;/date&gt;&lt;/pub-dates&gt;&lt;/dates&gt;&lt;isbn&gt;1600-0854 (Electronic)&amp;#xD;1398-9219 (Linking)&lt;/isbn&gt;&lt;accession-num&gt;18435821&lt;/accession-num&gt;&lt;urls&gt;&lt;related-urls&gt;&lt;url&gt;https://www.ncbi.nlm.nih.gov/pubmed/18435821&lt;/url&gt;&lt;/related-urls&gt;&lt;/urls&gt;&lt;electronic-resource-num&gt;10.1111/j.1600-0854.2008.00755.x&lt;/electronic-resource-num&gt;&lt;/record&gt;&lt;/Cite&gt;&lt;/EndNote&gt;</w:instrText>
            </w:r>
            <w:r w:rsidRPr="00B50B9E">
              <w:rPr>
                <w:color w:val="000000"/>
              </w:rPr>
              <w:fldChar w:fldCharType="separate"/>
            </w:r>
            <w:r w:rsidRPr="00B50B9E">
              <w:rPr>
                <w:color w:val="000000"/>
                <w:vertAlign w:val="superscript"/>
              </w:rPr>
              <w:t>22</w:t>
            </w:r>
            <w:r w:rsidRPr="00B50B9E">
              <w:rPr>
                <w:color w:val="000000"/>
              </w:rPr>
              <w:fldChar w:fldCharType="end"/>
            </w:r>
            <w:r w:rsidRPr="00B50B9E">
              <w:rPr>
                <w:rFonts w:hint="eastAsia"/>
                <w:color w:val="000000"/>
              </w:rPr>
              <w:t>.</w:t>
            </w:r>
          </w:p>
        </w:tc>
        <w:tc>
          <w:tcPr>
            <w:tcW w:w="2127" w:type="dxa"/>
          </w:tcPr>
          <w:p w14:paraId="6A06C17F" w14:textId="77777777" w:rsidR="000C180F" w:rsidRPr="00B50B9E" w:rsidRDefault="000C180F" w:rsidP="00C622AE">
            <w:pPr>
              <w:jc w:val="both"/>
              <w:rPr>
                <w:color w:val="000000"/>
              </w:rPr>
            </w:pPr>
            <w:r w:rsidRPr="00B50B9E">
              <w:rPr>
                <w:color w:val="000000"/>
              </w:rPr>
              <w:t>0.4 M</w:t>
            </w:r>
          </w:p>
        </w:tc>
      </w:tr>
      <w:tr w:rsidR="000C180F" w:rsidRPr="00B50B9E" w14:paraId="02C9FC72" w14:textId="77777777" w:rsidTr="000C180F">
        <w:trPr>
          <w:jc w:val="center"/>
        </w:trPr>
        <w:tc>
          <w:tcPr>
            <w:tcW w:w="2694" w:type="dxa"/>
          </w:tcPr>
          <w:p w14:paraId="70475CD4" w14:textId="77777777" w:rsidR="000C180F" w:rsidRPr="00B50B9E" w:rsidRDefault="000C180F" w:rsidP="00C622AE">
            <w:pPr>
              <w:jc w:val="both"/>
              <w:rPr>
                <w:color w:val="000000"/>
              </w:rPr>
            </w:pPr>
            <w:r w:rsidRPr="00B50B9E">
              <w:rPr>
                <w:color w:val="000000"/>
              </w:rPr>
              <w:t>5-(N-ethyl-N-isopropyl)-amiloride (EIPA)</w:t>
            </w:r>
          </w:p>
        </w:tc>
        <w:tc>
          <w:tcPr>
            <w:tcW w:w="3543" w:type="dxa"/>
          </w:tcPr>
          <w:p w14:paraId="7CC1272D" w14:textId="77777777" w:rsidR="000C180F" w:rsidRPr="00B50B9E" w:rsidRDefault="000C180F" w:rsidP="00C622AE">
            <w:pPr>
              <w:jc w:val="both"/>
              <w:rPr>
                <w:color w:val="000000"/>
              </w:rPr>
            </w:pPr>
            <w:r w:rsidRPr="00B50B9E">
              <w:rPr>
                <w:color w:val="000000"/>
              </w:rPr>
              <w:t xml:space="preserve">Blocks </w:t>
            </w:r>
            <w:r w:rsidRPr="00B50B9E">
              <w:rPr>
                <w:rFonts w:hint="eastAsia"/>
                <w:color w:val="000000"/>
              </w:rPr>
              <w:t>N</w:t>
            </w:r>
            <w:r w:rsidRPr="00B50B9E">
              <w:rPr>
                <w:color w:val="000000"/>
              </w:rPr>
              <w:t>a</w:t>
            </w:r>
            <w:r w:rsidRPr="00B50B9E">
              <w:rPr>
                <w:color w:val="000000"/>
                <w:vertAlign w:val="superscript"/>
              </w:rPr>
              <w:t>+</w:t>
            </w:r>
            <w:r w:rsidRPr="00B50B9E">
              <w:rPr>
                <w:color w:val="000000"/>
              </w:rPr>
              <w:t>/H</w:t>
            </w:r>
            <w:r w:rsidRPr="00B50B9E">
              <w:rPr>
                <w:color w:val="000000"/>
                <w:vertAlign w:val="superscript"/>
              </w:rPr>
              <w:t>+</w:t>
            </w:r>
            <w:r w:rsidRPr="00B50B9E">
              <w:rPr>
                <w:color w:val="000000"/>
              </w:rPr>
              <w:t xml:space="preserve"> ion channels and thereby disrupts micropinocytosis </w:t>
            </w:r>
            <w:r w:rsidRPr="00B50B9E">
              <w:rPr>
                <w:color w:val="000000"/>
              </w:rPr>
              <w:fldChar w:fldCharType="begin">
                <w:fldData xml:space="preserve">PEVuZE5vdGU+PENpdGU+PEF1dGhvcj5EdTwvQXV0aG9yPjxZZWFyPjIwMTA8L1llYXI+PFJlY051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</w:fldData>
              </w:fldChar>
            </w:r>
            <w:r w:rsidRPr="00B50B9E">
              <w:rPr>
                <w:color w:val="000000"/>
              </w:rPr>
              <w:instrText xml:space="preserve"> ADDIN EN.CITE </w:instrText>
            </w:r>
            <w:r w:rsidRPr="00B50B9E">
              <w:rPr>
                <w:color w:val="000000"/>
              </w:rPr>
              <w:fldChar w:fldCharType="begin">
                <w:fldData xml:space="preserve">PEVuZE5vdGU+PENpdGU+PEF1dGhvcj5EdTwvQXV0aG9yPjxZZWFyPjIwMTA8L1llYXI+PFJlY051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</w:fldData>
              </w:fldChar>
            </w:r>
            <w:r w:rsidRPr="00B50B9E">
              <w:rPr>
                <w:color w:val="000000"/>
              </w:rPr>
              <w:instrText xml:space="preserve"> ADDIN EN.CITE.DATA </w:instrText>
            </w:r>
            <w:r w:rsidRPr="00B50B9E">
              <w:rPr>
                <w:color w:val="000000"/>
              </w:rPr>
            </w:r>
            <w:r w:rsidRPr="00B50B9E">
              <w:rPr>
                <w:color w:val="000000"/>
              </w:rPr>
              <w:fldChar w:fldCharType="end"/>
            </w:r>
            <w:r w:rsidRPr="00B50B9E">
              <w:rPr>
                <w:color w:val="000000"/>
              </w:rPr>
            </w:r>
            <w:r w:rsidRPr="00B50B9E">
              <w:rPr>
                <w:color w:val="000000"/>
              </w:rPr>
              <w:fldChar w:fldCharType="separate"/>
            </w:r>
            <w:r w:rsidRPr="00B50B9E">
              <w:rPr>
                <w:color w:val="000000"/>
                <w:vertAlign w:val="superscript"/>
              </w:rPr>
              <w:t>23</w:t>
            </w:r>
            <w:r w:rsidRPr="00B50B9E">
              <w:rPr>
                <w:color w:val="000000"/>
              </w:rPr>
              <w:fldChar w:fldCharType="end"/>
            </w:r>
            <w:r w:rsidRPr="00B50B9E">
              <w:rPr>
                <w:color w:val="000000"/>
              </w:rPr>
              <w:t>.</w:t>
            </w:r>
          </w:p>
        </w:tc>
        <w:tc>
          <w:tcPr>
            <w:tcW w:w="2127" w:type="dxa"/>
          </w:tcPr>
          <w:p w14:paraId="1908D46C" w14:textId="77777777" w:rsidR="000C180F" w:rsidRPr="00B50B9E" w:rsidRDefault="000C180F" w:rsidP="00C622AE">
            <w:pPr>
              <w:jc w:val="both"/>
              <w:rPr>
                <w:color w:val="000000"/>
              </w:rPr>
            </w:pPr>
            <w:r w:rsidRPr="00B50B9E">
              <w:rPr>
                <w:color w:val="000000"/>
              </w:rPr>
              <w:t>40 μM</w:t>
            </w:r>
          </w:p>
        </w:tc>
      </w:tr>
    </w:tbl>
    <w:p w14:paraId="19450D38" w14:textId="7F37AFEF" w:rsidR="008A05B0" w:rsidRPr="00B50B9E" w:rsidRDefault="00207B6F" w:rsidP="00C622AE">
      <w:pPr>
        <w:jc w:val="both"/>
        <w:rPr>
          <w:color w:val="000000"/>
        </w:rPr>
      </w:pPr>
      <w:r w:rsidRPr="00B50B9E">
        <w:rPr>
          <w:color w:val="000000"/>
          <w:lang w:eastAsia="zh-CN"/>
        </w:rPr>
        <w:drawing>
          <wp:inline distT="0" distB="0" distL="0" distR="0" wp14:anchorId="66F20BB5" wp14:editId="0850C3D0">
            <wp:extent cx="5256000" cy="3635669"/>
            <wp:effectExtent l="0" t="0" r="1905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000" cy="3635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155C1" w14:textId="5132E6F8" w:rsidR="008A05B0" w:rsidRPr="00B50B9E" w:rsidRDefault="008A05B0" w:rsidP="00C622AE">
      <w:pPr>
        <w:jc w:val="both"/>
        <w:rPr>
          <w:color w:val="000000"/>
        </w:rPr>
      </w:pPr>
      <w:r w:rsidRPr="00B50B9E">
        <w:rPr>
          <w:color w:val="000000"/>
        </w:rPr>
        <w:t>Figure S1</w:t>
      </w:r>
      <w:r w:rsidR="00CE5ED0" w:rsidRPr="00B50B9E">
        <w:rPr>
          <w:color w:val="000000"/>
        </w:rPr>
        <w:t>.</w:t>
      </w:r>
      <w:r w:rsidRPr="00B50B9E">
        <w:rPr>
          <w:color w:val="000000"/>
        </w:rPr>
        <w:t xml:space="preserve"> </w:t>
      </w:r>
      <w:r w:rsidRPr="00B50B9E">
        <w:rPr>
          <w:color w:val="000000"/>
          <w:vertAlign w:val="superscript"/>
        </w:rPr>
        <w:t>1</w:t>
      </w:r>
      <w:r w:rsidRPr="00B50B9E">
        <w:rPr>
          <w:color w:val="000000"/>
        </w:rPr>
        <w:t>H-NMR spectrum of PEG-PCL.</w:t>
      </w:r>
      <w:r w:rsidR="001B7D41" w:rsidRPr="00B50B9E">
        <w:rPr>
          <w:color w:val="000000"/>
        </w:rPr>
        <w:t xml:space="preserve"> a, 1.30 ppm; b, 1.65 ppm; c, 2.30 ppm; d, 2.61 ppm; e, 3.17 ppm; f, 3.24 ppm; g, 3.34 ppm; h, 3.61 ppm; i, 3.99 ppm.</w:t>
      </w:r>
    </w:p>
    <w:p w14:paraId="5031CA7C" w14:textId="26175A9C" w:rsidR="008A05B0" w:rsidRPr="00B50B9E" w:rsidRDefault="00BF383F" w:rsidP="00C622AE">
      <w:pPr>
        <w:jc w:val="both"/>
        <w:rPr>
          <w:color w:val="000000"/>
        </w:rPr>
      </w:pPr>
      <w:r w:rsidRPr="00B50B9E">
        <w:rPr>
          <w:color w:val="000000"/>
          <w:lang w:eastAsia="zh-CN"/>
        </w:rPr>
        <w:lastRenderedPageBreak/>
        <w:drawing>
          <wp:inline distT="0" distB="0" distL="0" distR="0" wp14:anchorId="68FBE9D0" wp14:editId="11BB8B7B">
            <wp:extent cx="5274310" cy="3515995"/>
            <wp:effectExtent l="0" t="0" r="25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orting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5F26F" w14:textId="0083F0E2" w:rsidR="00AF6613" w:rsidRPr="00B50B9E" w:rsidRDefault="008A05B0" w:rsidP="00C622AE">
      <w:pPr>
        <w:jc w:val="both"/>
        <w:rPr>
          <w:color w:val="000000"/>
        </w:rPr>
      </w:pPr>
      <w:r w:rsidRPr="00B50B9E">
        <w:rPr>
          <w:color w:val="000000"/>
        </w:rPr>
        <w:t>Figure S2</w:t>
      </w:r>
      <w:r w:rsidR="00CE5ED0" w:rsidRPr="00B50B9E">
        <w:rPr>
          <w:color w:val="000000"/>
        </w:rPr>
        <w:t>.</w:t>
      </w:r>
      <w:r w:rsidRPr="00B50B9E">
        <w:rPr>
          <w:color w:val="000000"/>
        </w:rPr>
        <w:t xml:space="preserve"> FTIR spectrum clearly showing the representative peaks of PEG-PCL.</w:t>
      </w:r>
    </w:p>
    <w:p w14:paraId="582B82AA" w14:textId="77777777" w:rsidR="004A5CE4" w:rsidRPr="00B50B9E" w:rsidRDefault="004A5CE4" w:rsidP="00C622AE">
      <w:pPr>
        <w:jc w:val="both"/>
        <w:rPr>
          <w:color w:val="000000"/>
        </w:rPr>
      </w:pPr>
    </w:p>
    <w:p w14:paraId="7204EFEF" w14:textId="77777777" w:rsidR="00AF6613" w:rsidRPr="00B50B9E" w:rsidRDefault="00AF6613" w:rsidP="00C622AE">
      <w:pPr>
        <w:jc w:val="both"/>
        <w:rPr>
          <w:color w:val="000000"/>
        </w:rPr>
      </w:pPr>
      <w:r w:rsidRPr="00B50B9E">
        <w:rPr>
          <w:color w:val="000000"/>
          <w:lang w:eastAsia="zh-CN"/>
        </w:rPr>
        <w:drawing>
          <wp:inline distT="0" distB="0" distL="0" distR="0" wp14:anchorId="346AA627" wp14:editId="7A74F7D6">
            <wp:extent cx="3240000" cy="2303275"/>
            <wp:effectExtent l="0" t="0" r="0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30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59890" w14:textId="23C3C43E" w:rsidR="00AF6613" w:rsidRPr="00B50B9E" w:rsidRDefault="00AF6613" w:rsidP="00C622AE">
      <w:pPr>
        <w:jc w:val="both"/>
        <w:rPr>
          <w:color w:val="000000"/>
        </w:rPr>
      </w:pPr>
      <w:r w:rsidRPr="00B50B9E">
        <w:rPr>
          <w:rFonts w:hint="eastAsia"/>
          <w:color w:val="000000"/>
        </w:rPr>
        <w:t>Figure S</w:t>
      </w:r>
      <w:r w:rsidR="00DD1F66" w:rsidRPr="00B50B9E">
        <w:rPr>
          <w:color w:val="000000"/>
          <w:lang w:eastAsia="zh-CN"/>
        </w:rPr>
        <w:t>3</w:t>
      </w:r>
      <w:r w:rsidRPr="00B50B9E">
        <w:rPr>
          <w:color w:val="000000"/>
        </w:rPr>
        <w:t>.</w:t>
      </w:r>
      <w:r w:rsidRPr="00B50B9E">
        <w:rPr>
          <w:rFonts w:hint="eastAsia"/>
          <w:color w:val="000000"/>
        </w:rPr>
        <w:t xml:space="preserve"> </w:t>
      </w:r>
      <w:r w:rsidRPr="00B50B9E">
        <w:rPr>
          <w:color w:val="000000"/>
        </w:rPr>
        <w:t>Stability</w:t>
      </w:r>
      <w:r w:rsidRPr="00B50B9E">
        <w:rPr>
          <w:rFonts w:hint="eastAsia"/>
          <w:color w:val="000000"/>
        </w:rPr>
        <w:t xml:space="preserve"> of </w:t>
      </w:r>
      <w:r w:rsidRPr="00B50B9E">
        <w:rPr>
          <w:color w:val="000000"/>
        </w:rPr>
        <w:t>GB-NPs during a 4-week storage at room temperature.</w:t>
      </w:r>
    </w:p>
    <w:p w14:paraId="7FFD17AF" w14:textId="77777777" w:rsidR="000C180F" w:rsidRPr="00B50B9E" w:rsidRDefault="000C180F" w:rsidP="00C622AE">
      <w:pPr>
        <w:jc w:val="both"/>
        <w:rPr>
          <w:color w:val="000000"/>
        </w:rPr>
      </w:pPr>
    </w:p>
    <w:p w14:paraId="4958A0CC" w14:textId="25D97CE9" w:rsidR="00552809" w:rsidRPr="00B50B9E" w:rsidRDefault="00207B6F" w:rsidP="00C622AE">
      <w:pPr>
        <w:jc w:val="both"/>
        <w:rPr>
          <w:color w:val="000000"/>
        </w:rPr>
      </w:pPr>
      <w:r w:rsidRPr="00B50B9E">
        <w:rPr>
          <w:color w:val="000000"/>
          <w:lang w:eastAsia="zh-CN"/>
        </w:rPr>
        <w:lastRenderedPageBreak/>
        <w:drawing>
          <wp:inline distT="0" distB="0" distL="0" distR="0" wp14:anchorId="58D4C468" wp14:editId="1ABD8B26">
            <wp:extent cx="2924175" cy="2258695"/>
            <wp:effectExtent l="0" t="0" r="9525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731"/>
                    <a:stretch/>
                  </pic:blipFill>
                  <pic:spPr bwMode="auto">
                    <a:xfrm>
                      <a:off x="0" y="0"/>
                      <a:ext cx="2924697" cy="225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8F80CD" w14:textId="2633188D" w:rsidR="00552809" w:rsidRPr="00B50B9E" w:rsidRDefault="00552809" w:rsidP="00C622AE">
      <w:pPr>
        <w:jc w:val="both"/>
        <w:rPr>
          <w:color w:val="000000"/>
        </w:rPr>
      </w:pPr>
      <w:r w:rsidRPr="00B50B9E">
        <w:rPr>
          <w:rFonts w:hint="eastAsia"/>
          <w:color w:val="000000"/>
        </w:rPr>
        <w:t>F</w:t>
      </w:r>
      <w:r w:rsidRPr="00B50B9E">
        <w:rPr>
          <w:color w:val="000000"/>
        </w:rPr>
        <w:t>igure S</w:t>
      </w:r>
      <w:r w:rsidR="00DD1F66" w:rsidRPr="00B50B9E">
        <w:rPr>
          <w:color w:val="000000"/>
        </w:rPr>
        <w:t>4</w:t>
      </w:r>
      <w:r w:rsidR="00CE5ED0" w:rsidRPr="00B50B9E">
        <w:rPr>
          <w:color w:val="000000"/>
        </w:rPr>
        <w:t>.</w:t>
      </w:r>
      <w:r w:rsidRPr="00B50B9E">
        <w:rPr>
          <w:color w:val="000000"/>
        </w:rPr>
        <w:t xml:space="preserve"> Evaluation of cell viability by MTT assay</w:t>
      </w:r>
      <w:r w:rsidR="008C7CB1" w:rsidRPr="00B50B9E">
        <w:rPr>
          <w:color w:val="000000"/>
        </w:rPr>
        <w:t xml:space="preserve"> (</w:t>
      </w:r>
      <w:r w:rsidR="008C7CB1" w:rsidRPr="00B50B9E">
        <w:rPr>
          <w:i/>
          <w:iCs/>
          <w:color w:val="000000"/>
        </w:rPr>
        <w:t>n</w:t>
      </w:r>
      <w:r w:rsidR="008C7CB1" w:rsidRPr="00B50B9E">
        <w:rPr>
          <w:color w:val="000000"/>
        </w:rPr>
        <w:t>=3).</w:t>
      </w:r>
    </w:p>
    <w:p w14:paraId="6F901888" w14:textId="487BE737" w:rsidR="00552809" w:rsidRPr="00B50B9E" w:rsidRDefault="00207B6F" w:rsidP="00C622AE">
      <w:pPr>
        <w:jc w:val="both"/>
        <w:rPr>
          <w:color w:val="000000"/>
        </w:rPr>
      </w:pPr>
      <w:r w:rsidRPr="00B50B9E">
        <w:rPr>
          <w:color w:val="000000"/>
          <w:lang w:eastAsia="zh-CN"/>
        </w:rPr>
        <w:drawing>
          <wp:inline distT="0" distB="0" distL="0" distR="0" wp14:anchorId="1141B5CC" wp14:editId="7D24AF1F">
            <wp:extent cx="2520000" cy="2096099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096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719CD" w14:textId="7252BB70" w:rsidR="00552809" w:rsidRPr="00B50B9E" w:rsidRDefault="008C7CB1" w:rsidP="00C622AE">
      <w:pPr>
        <w:jc w:val="both"/>
        <w:rPr>
          <w:color w:val="000000"/>
        </w:rPr>
      </w:pPr>
      <w:r w:rsidRPr="00B50B9E">
        <w:rPr>
          <w:rFonts w:hint="eastAsia"/>
          <w:color w:val="000000"/>
        </w:rPr>
        <w:t>F</w:t>
      </w:r>
      <w:r w:rsidRPr="00B50B9E">
        <w:rPr>
          <w:color w:val="000000"/>
        </w:rPr>
        <w:t>igure S</w:t>
      </w:r>
      <w:r w:rsidR="00DD1F66" w:rsidRPr="00B50B9E">
        <w:rPr>
          <w:color w:val="000000"/>
        </w:rPr>
        <w:t>5</w:t>
      </w:r>
      <w:r w:rsidR="00CE5ED0" w:rsidRPr="00B50B9E">
        <w:rPr>
          <w:color w:val="000000"/>
        </w:rPr>
        <w:t>.</w:t>
      </w:r>
      <w:r w:rsidRPr="00B50B9E">
        <w:rPr>
          <w:color w:val="000000"/>
        </w:rPr>
        <w:t xml:space="preserve"> TEER before (E) and after (F) transport (</w:t>
      </w:r>
      <w:r w:rsidRPr="00B50B9E">
        <w:rPr>
          <w:i/>
          <w:iCs/>
          <w:color w:val="000000"/>
        </w:rPr>
        <w:t>n</w:t>
      </w:r>
      <w:r w:rsidRPr="00B50B9E">
        <w:rPr>
          <w:color w:val="000000"/>
        </w:rPr>
        <w:t>=3).</w:t>
      </w:r>
    </w:p>
    <w:p w14:paraId="385EE97F" w14:textId="77777777" w:rsidR="00BB6BE8" w:rsidRPr="00B50B9E" w:rsidRDefault="00BB6BE8" w:rsidP="00C622AE">
      <w:pPr>
        <w:jc w:val="both"/>
        <w:rPr>
          <w:color w:val="000000"/>
        </w:rPr>
      </w:pPr>
      <w:r w:rsidRPr="00B50B9E">
        <w:rPr>
          <w:color w:val="000000"/>
          <w:lang w:eastAsia="zh-CN"/>
        </w:rPr>
        <w:drawing>
          <wp:inline distT="0" distB="0" distL="0" distR="0" wp14:anchorId="0707E5DB" wp14:editId="5509B9EE">
            <wp:extent cx="3600000" cy="1956361"/>
            <wp:effectExtent l="0" t="0" r="63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956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0790A" w14:textId="1FDD7770" w:rsidR="00BB6BE8" w:rsidRPr="00B50B9E" w:rsidRDefault="00BB6BE8" w:rsidP="00C622AE">
      <w:pPr>
        <w:jc w:val="both"/>
        <w:rPr>
          <w:color w:val="000000"/>
          <w:lang w:eastAsia="zh-CN"/>
        </w:rPr>
      </w:pPr>
      <w:r w:rsidRPr="00B50B9E">
        <w:rPr>
          <w:color w:val="000000"/>
          <w:lang w:eastAsia="zh-CN"/>
        </w:rPr>
        <w:t>Figure S6. Size of C6-NPs</w:t>
      </w:r>
    </w:p>
    <w:p w14:paraId="2F2EE8C5" w14:textId="77777777" w:rsidR="00BB6BE8" w:rsidRPr="00B50B9E" w:rsidRDefault="00BB6BE8" w:rsidP="00C622AE">
      <w:pPr>
        <w:jc w:val="both"/>
        <w:rPr>
          <w:color w:val="000000"/>
        </w:rPr>
      </w:pPr>
      <w:r w:rsidRPr="00B50B9E">
        <w:rPr>
          <w:color w:val="000000"/>
          <w:lang w:eastAsia="zh-CN"/>
        </w:rPr>
        <w:lastRenderedPageBreak/>
        <w:drawing>
          <wp:inline distT="0" distB="0" distL="0" distR="0" wp14:anchorId="36801C65" wp14:editId="6BCE2A1A">
            <wp:extent cx="4680000" cy="2032355"/>
            <wp:effectExtent l="0" t="0" r="635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03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49C2B" w14:textId="4F354FF4" w:rsidR="00BB6BE8" w:rsidRPr="00B50B9E" w:rsidRDefault="00BB6BE8" w:rsidP="00C622AE">
      <w:pPr>
        <w:jc w:val="both"/>
        <w:rPr>
          <w:color w:val="000000"/>
        </w:rPr>
      </w:pPr>
      <w:r w:rsidRPr="00B50B9E">
        <w:rPr>
          <w:color w:val="000000"/>
        </w:rPr>
        <w:t>Figure S</w:t>
      </w:r>
      <w:r w:rsidR="00EE53CA" w:rsidRPr="00B50B9E">
        <w:rPr>
          <w:color w:val="000000"/>
        </w:rPr>
        <w:t>7</w:t>
      </w:r>
      <w:r w:rsidRPr="00B50B9E">
        <w:rPr>
          <w:color w:val="000000"/>
        </w:rPr>
        <w:t>. Zeta</w:t>
      </w:r>
      <w:r w:rsidRPr="00B50B9E">
        <w:rPr>
          <w:rFonts w:hint="eastAsia"/>
          <w:color w:val="000000"/>
        </w:rPr>
        <w:t xml:space="preserve"> </w:t>
      </w:r>
      <w:r w:rsidRPr="00B50B9E">
        <w:rPr>
          <w:color w:val="000000"/>
        </w:rPr>
        <w:t>Potential of C6-NPs</w:t>
      </w:r>
    </w:p>
    <w:p w14:paraId="6AED9AF7" w14:textId="77777777" w:rsidR="00BB6BE8" w:rsidRPr="00B50B9E" w:rsidRDefault="00BB6BE8" w:rsidP="00C622AE">
      <w:pPr>
        <w:jc w:val="both"/>
        <w:rPr>
          <w:color w:val="000000"/>
        </w:rPr>
      </w:pPr>
    </w:p>
    <w:p w14:paraId="1D8C908E" w14:textId="65E424C6" w:rsidR="00552809" w:rsidRPr="00B50B9E" w:rsidRDefault="00207B6F" w:rsidP="00C622AE">
      <w:pPr>
        <w:jc w:val="both"/>
        <w:rPr>
          <w:color w:val="000000"/>
        </w:rPr>
      </w:pPr>
      <w:r w:rsidRPr="00B50B9E">
        <w:rPr>
          <w:color w:val="000000"/>
          <w:lang w:eastAsia="zh-CN"/>
        </w:rPr>
        <w:drawing>
          <wp:inline distT="0" distB="0" distL="0" distR="0" wp14:anchorId="559389FF" wp14:editId="2F4B00B1">
            <wp:extent cx="4320000" cy="2287944"/>
            <wp:effectExtent l="0" t="0" r="444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287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A3E8E" w14:textId="4DDA766B" w:rsidR="00552809" w:rsidRPr="00B50B9E" w:rsidRDefault="005C2D83" w:rsidP="00C622AE">
      <w:pPr>
        <w:jc w:val="both"/>
        <w:rPr>
          <w:color w:val="000000"/>
        </w:rPr>
      </w:pPr>
      <w:r w:rsidRPr="00B50B9E">
        <w:rPr>
          <w:rFonts w:hint="eastAsia"/>
          <w:color w:val="000000"/>
        </w:rPr>
        <w:t>F</w:t>
      </w:r>
      <w:r w:rsidRPr="00B50B9E">
        <w:rPr>
          <w:color w:val="000000"/>
        </w:rPr>
        <w:t>igure S</w:t>
      </w:r>
      <w:r w:rsidR="00EE53CA" w:rsidRPr="00B50B9E">
        <w:rPr>
          <w:color w:val="000000"/>
        </w:rPr>
        <w:t>8</w:t>
      </w:r>
      <w:r w:rsidR="00CE5ED0" w:rsidRPr="00B50B9E">
        <w:rPr>
          <w:color w:val="000000"/>
        </w:rPr>
        <w:t>.</w:t>
      </w:r>
      <w:r w:rsidRPr="00B50B9E">
        <w:rPr>
          <w:color w:val="000000"/>
        </w:rPr>
        <w:t xml:space="preserve"> Cellular uptake of C6-NPs on MDCK cells</w:t>
      </w:r>
      <w:r w:rsidR="000578A9" w:rsidRPr="00B50B9E">
        <w:rPr>
          <w:color w:val="000000"/>
        </w:rPr>
        <w:t>.</w:t>
      </w:r>
      <w:r w:rsidR="00207B6F" w:rsidRPr="00B50B9E">
        <w:rPr>
          <w:color w:val="000000"/>
        </w:rPr>
        <w:t xml:space="preserve"> Scale bar: 50 μm.</w:t>
      </w:r>
    </w:p>
    <w:p w14:paraId="1AF99D9D" w14:textId="77777777" w:rsidR="000C180F" w:rsidRPr="00B50B9E" w:rsidRDefault="000C180F" w:rsidP="00C622AE">
      <w:pPr>
        <w:jc w:val="both"/>
        <w:rPr>
          <w:color w:val="000000"/>
        </w:rPr>
      </w:pPr>
      <w:r w:rsidRPr="00B50B9E">
        <w:rPr>
          <w:color w:val="000000"/>
          <w:lang w:eastAsia="zh-CN"/>
        </w:rPr>
        <w:lastRenderedPageBreak/>
        <w:drawing>
          <wp:inline distT="0" distB="0" distL="0" distR="0" wp14:anchorId="752083D9" wp14:editId="4D0FF6B6">
            <wp:extent cx="3960000" cy="2683926"/>
            <wp:effectExtent l="0" t="0" r="2540" b="2540"/>
            <wp:docPr id="5" name="图片 5" descr="C:\Users\14026\Desktop\1-25 GB-NPs 图片\supporting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4026\Desktop\1-25 GB-NPs 图片\supporting 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683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059C3" w14:textId="30E84286" w:rsidR="000C180F" w:rsidRPr="00B50B9E" w:rsidRDefault="000C180F" w:rsidP="00C622AE">
      <w:pPr>
        <w:jc w:val="both"/>
        <w:rPr>
          <w:color w:val="000000"/>
        </w:rPr>
      </w:pPr>
      <w:r w:rsidRPr="00B50B9E">
        <w:rPr>
          <w:rFonts w:hint="eastAsia"/>
          <w:color w:val="000000"/>
        </w:rPr>
        <w:t>F</w:t>
      </w:r>
      <w:r w:rsidRPr="00B50B9E">
        <w:rPr>
          <w:color w:val="000000"/>
        </w:rPr>
        <w:t>igure S</w:t>
      </w:r>
      <w:r w:rsidR="00EE53CA" w:rsidRPr="00B50B9E">
        <w:rPr>
          <w:color w:val="000000"/>
        </w:rPr>
        <w:t>9</w:t>
      </w:r>
      <w:r w:rsidRPr="00B50B9E">
        <w:rPr>
          <w:color w:val="000000"/>
        </w:rPr>
        <w:t>. Schematic overview of endocytic mechanisms of NPs.</w:t>
      </w:r>
    </w:p>
    <w:p w14:paraId="6802A9F4" w14:textId="77777777" w:rsidR="000C180F" w:rsidRPr="00B50B9E" w:rsidRDefault="000C180F" w:rsidP="00C622AE">
      <w:pPr>
        <w:jc w:val="both"/>
        <w:rPr>
          <w:color w:val="000000"/>
        </w:rPr>
      </w:pPr>
      <w:r w:rsidRPr="00B50B9E">
        <w:rPr>
          <w:color w:val="000000"/>
          <w:lang w:eastAsia="zh-CN"/>
        </w:rPr>
        <w:drawing>
          <wp:inline distT="0" distB="0" distL="0" distR="0" wp14:anchorId="0BA45C99" wp14:editId="6344E134">
            <wp:extent cx="4680000" cy="3617615"/>
            <wp:effectExtent l="0" t="0" r="635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61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76ECE" w14:textId="26EFC725" w:rsidR="000C180F" w:rsidRPr="00B50B9E" w:rsidRDefault="000C180F" w:rsidP="00C622AE">
      <w:pPr>
        <w:jc w:val="both"/>
        <w:rPr>
          <w:color w:val="000000"/>
        </w:rPr>
      </w:pPr>
      <w:r w:rsidRPr="00B50B9E">
        <w:rPr>
          <w:color w:val="000000"/>
        </w:rPr>
        <w:t>Figure S</w:t>
      </w:r>
      <w:r w:rsidR="00BB6BE8" w:rsidRPr="00B50B9E">
        <w:rPr>
          <w:color w:val="000000"/>
        </w:rPr>
        <w:t>1</w:t>
      </w:r>
      <w:r w:rsidR="00EE53CA" w:rsidRPr="00B50B9E">
        <w:rPr>
          <w:color w:val="000000"/>
        </w:rPr>
        <w:t>0</w:t>
      </w:r>
      <w:r w:rsidRPr="00B50B9E">
        <w:rPr>
          <w:color w:val="000000"/>
        </w:rPr>
        <w:t>. C6- and C6-NPs-related fluorescence in 3 hpf zebrafish embryos following a 10, 30, or 60 min incubation. Scale bar: 500 μm.</w:t>
      </w:r>
    </w:p>
    <w:p w14:paraId="0641878B" w14:textId="77777777" w:rsidR="000C180F" w:rsidRPr="00B50B9E" w:rsidRDefault="000C180F" w:rsidP="00C622AE">
      <w:pPr>
        <w:jc w:val="both"/>
        <w:rPr>
          <w:color w:val="000000"/>
        </w:rPr>
      </w:pPr>
    </w:p>
    <w:p w14:paraId="65174EC9" w14:textId="1AAA462E" w:rsidR="005C2D83" w:rsidRPr="00B50B9E" w:rsidRDefault="00207B6F" w:rsidP="00C622AE">
      <w:pPr>
        <w:jc w:val="both"/>
        <w:rPr>
          <w:color w:val="000000"/>
        </w:rPr>
      </w:pPr>
      <w:r w:rsidRPr="00B50B9E">
        <w:rPr>
          <w:color w:val="000000"/>
          <w:lang w:eastAsia="zh-CN"/>
        </w:rPr>
        <w:lastRenderedPageBreak/>
        <w:drawing>
          <wp:inline distT="0" distB="0" distL="0" distR="0" wp14:anchorId="59502833" wp14:editId="1FFFC5F1">
            <wp:extent cx="5040000" cy="2112199"/>
            <wp:effectExtent l="0" t="0" r="8255" b="254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112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38B96" w14:textId="6A595443" w:rsidR="000578A9" w:rsidRPr="00B50B9E" w:rsidRDefault="000578A9" w:rsidP="00C622AE">
      <w:pPr>
        <w:jc w:val="both"/>
        <w:rPr>
          <w:color w:val="000000"/>
        </w:rPr>
      </w:pPr>
      <w:r w:rsidRPr="00B50B9E">
        <w:rPr>
          <w:rFonts w:hint="eastAsia"/>
          <w:color w:val="000000"/>
        </w:rPr>
        <w:t>F</w:t>
      </w:r>
      <w:r w:rsidRPr="00B50B9E">
        <w:rPr>
          <w:color w:val="000000"/>
        </w:rPr>
        <w:t>igure S</w:t>
      </w:r>
      <w:r w:rsidR="00BB6BE8" w:rsidRPr="00B50B9E">
        <w:rPr>
          <w:color w:val="000000"/>
        </w:rPr>
        <w:t>1</w:t>
      </w:r>
      <w:r w:rsidR="00EE53CA" w:rsidRPr="00B50B9E">
        <w:rPr>
          <w:color w:val="000000"/>
        </w:rPr>
        <w:t>1</w:t>
      </w:r>
      <w:r w:rsidR="00CE5ED0" w:rsidRPr="00B50B9E">
        <w:rPr>
          <w:color w:val="000000"/>
        </w:rPr>
        <w:t>.</w:t>
      </w:r>
      <w:r w:rsidRPr="00B50B9E">
        <w:rPr>
          <w:color w:val="000000"/>
        </w:rPr>
        <w:t xml:space="preserve"> I</w:t>
      </w:r>
      <w:r w:rsidRPr="00B50B9E">
        <w:rPr>
          <w:rFonts w:hint="eastAsia"/>
          <w:color w:val="000000"/>
        </w:rPr>
        <w:t>mage</w:t>
      </w:r>
      <w:r w:rsidRPr="00B50B9E">
        <w:rPr>
          <w:color w:val="000000"/>
        </w:rPr>
        <w:t xml:space="preserve">s of larval zebrafish after preincubation with </w:t>
      </w:r>
      <w:bookmarkStart w:id="1" w:name="_Hlk29933273"/>
      <w:r w:rsidR="00C619DD" w:rsidRPr="00B50B9E">
        <w:rPr>
          <w:color w:val="000000"/>
        </w:rPr>
        <w:t xml:space="preserve">MβCD, HS, EIPA, </w:t>
      </w:r>
      <w:r w:rsidR="00807720" w:rsidRPr="00B50B9E">
        <w:rPr>
          <w:color w:val="000000"/>
        </w:rPr>
        <w:t xml:space="preserve">and </w:t>
      </w:r>
      <w:r w:rsidR="00C619DD" w:rsidRPr="00B50B9E">
        <w:rPr>
          <w:color w:val="000000"/>
        </w:rPr>
        <w:t>CPZ</w:t>
      </w:r>
      <w:bookmarkEnd w:id="1"/>
      <w:r w:rsidR="00C619DD" w:rsidRPr="00B50B9E">
        <w:rPr>
          <w:color w:val="000000"/>
        </w:rPr>
        <w:t xml:space="preserve"> as inhibitors.</w:t>
      </w:r>
      <w:r w:rsidR="00207B6F" w:rsidRPr="00B50B9E">
        <w:rPr>
          <w:color w:val="000000"/>
        </w:rPr>
        <w:t xml:space="preserve"> Scale bar: 500 μm.</w:t>
      </w:r>
    </w:p>
    <w:p w14:paraId="1FEB0F4A" w14:textId="51AF3742" w:rsidR="00C619DD" w:rsidRPr="00B50B9E" w:rsidRDefault="00207B6F" w:rsidP="00C622AE">
      <w:pPr>
        <w:jc w:val="both"/>
        <w:rPr>
          <w:color w:val="000000"/>
        </w:rPr>
      </w:pPr>
      <w:r w:rsidRPr="00B50B9E">
        <w:rPr>
          <w:color w:val="000000"/>
          <w:lang w:eastAsia="zh-CN"/>
        </w:rPr>
        <w:drawing>
          <wp:inline distT="0" distB="0" distL="0" distR="0" wp14:anchorId="696F364A" wp14:editId="0810AB6D">
            <wp:extent cx="3240000" cy="2688132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688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388CE" w14:textId="782415B7" w:rsidR="00B6045B" w:rsidRPr="00B50B9E" w:rsidRDefault="00C619DD" w:rsidP="00C622AE">
      <w:pPr>
        <w:jc w:val="both"/>
        <w:rPr>
          <w:color w:val="000000"/>
        </w:rPr>
      </w:pPr>
      <w:r w:rsidRPr="00B50B9E">
        <w:rPr>
          <w:rFonts w:hint="eastAsia"/>
          <w:color w:val="000000"/>
        </w:rPr>
        <w:t>F</w:t>
      </w:r>
      <w:r w:rsidRPr="00B50B9E">
        <w:rPr>
          <w:color w:val="000000"/>
        </w:rPr>
        <w:t>igure S</w:t>
      </w:r>
      <w:r w:rsidR="000C180F" w:rsidRPr="00B50B9E">
        <w:rPr>
          <w:color w:val="000000"/>
        </w:rPr>
        <w:t>1</w:t>
      </w:r>
      <w:r w:rsidR="00EE53CA" w:rsidRPr="00B50B9E">
        <w:rPr>
          <w:color w:val="000000"/>
        </w:rPr>
        <w:t>2</w:t>
      </w:r>
      <w:r w:rsidR="00EA494B" w:rsidRPr="00B50B9E">
        <w:rPr>
          <w:color w:val="000000"/>
        </w:rPr>
        <w:t>.</w:t>
      </w:r>
      <w:r w:rsidRPr="00B50B9E">
        <w:rPr>
          <w:color w:val="000000"/>
        </w:rPr>
        <w:t xml:space="preserve"> Quantification of the uptake of larval zebrafish based on Figure S7 (n=3).</w:t>
      </w:r>
      <w:r w:rsidR="0068381B" w:rsidRPr="00B50B9E">
        <w:rPr>
          <w:color w:val="000000"/>
        </w:rPr>
        <w:t xml:space="preserve"> **</w:t>
      </w:r>
      <w:r w:rsidR="0068381B" w:rsidRPr="00B50B9E">
        <w:rPr>
          <w:i/>
          <w:iCs/>
          <w:color w:val="000000"/>
        </w:rPr>
        <w:t>p</w:t>
      </w:r>
      <w:r w:rsidR="0068381B" w:rsidRPr="00B50B9E">
        <w:rPr>
          <w:color w:val="000000"/>
        </w:rPr>
        <w:t>&lt;0.01 and ***</w:t>
      </w:r>
      <w:r w:rsidR="0068381B" w:rsidRPr="00B50B9E">
        <w:rPr>
          <w:i/>
          <w:iCs/>
          <w:color w:val="000000"/>
        </w:rPr>
        <w:t>p</w:t>
      </w:r>
      <w:r w:rsidR="0068381B" w:rsidRPr="00B50B9E">
        <w:rPr>
          <w:color w:val="000000"/>
        </w:rPr>
        <w:t xml:space="preserve">&lt;0.001 vs the </w:t>
      </w:r>
      <w:r w:rsidR="0068381B" w:rsidRPr="00B50B9E">
        <w:rPr>
          <w:rFonts w:hint="eastAsia"/>
          <w:color w:val="000000"/>
        </w:rPr>
        <w:t>control</w:t>
      </w:r>
      <w:r w:rsidR="0068381B" w:rsidRPr="00B50B9E">
        <w:rPr>
          <w:color w:val="000000"/>
        </w:rPr>
        <w:t xml:space="preserve"> group.</w:t>
      </w:r>
    </w:p>
    <w:p w14:paraId="66913F9C" w14:textId="1AE074E1" w:rsidR="000C180F" w:rsidRPr="00B50B9E" w:rsidRDefault="000C180F" w:rsidP="00C622AE">
      <w:pPr>
        <w:jc w:val="both"/>
        <w:rPr>
          <w:color w:val="000000"/>
        </w:rPr>
      </w:pPr>
    </w:p>
    <w:p w14:paraId="2F922666" w14:textId="77777777" w:rsidR="00B6045B" w:rsidRPr="00B50B9E" w:rsidRDefault="00B6045B" w:rsidP="00C622AE">
      <w:pPr>
        <w:jc w:val="both"/>
        <w:rPr>
          <w:color w:val="000000"/>
        </w:rPr>
      </w:pPr>
      <w:r w:rsidRPr="00B50B9E">
        <w:rPr>
          <w:color w:val="000000"/>
          <w:lang w:eastAsia="zh-CN"/>
        </w:rPr>
        <w:lastRenderedPageBreak/>
        <w:drawing>
          <wp:inline distT="0" distB="0" distL="0" distR="0" wp14:anchorId="3A21DFCC" wp14:editId="4093649C">
            <wp:extent cx="5379626" cy="2995316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188" cy="3001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7E967" w14:textId="2F00DDD8" w:rsidR="00B6045B" w:rsidRPr="00B50B9E" w:rsidRDefault="00B6045B" w:rsidP="00C622AE">
      <w:pPr>
        <w:jc w:val="both"/>
        <w:rPr>
          <w:color w:val="000000"/>
        </w:rPr>
      </w:pPr>
      <w:r w:rsidRPr="00B50B9E">
        <w:rPr>
          <w:rFonts w:hint="eastAsia"/>
          <w:color w:val="000000"/>
        </w:rPr>
        <w:t>F</w:t>
      </w:r>
      <w:r w:rsidRPr="00B50B9E">
        <w:rPr>
          <w:color w:val="000000"/>
        </w:rPr>
        <w:t>igure S1</w:t>
      </w:r>
      <w:r w:rsidR="00EE53CA" w:rsidRPr="00B50B9E">
        <w:rPr>
          <w:color w:val="000000"/>
        </w:rPr>
        <w:t>3</w:t>
      </w:r>
      <w:r w:rsidRPr="00B50B9E">
        <w:rPr>
          <w:color w:val="000000"/>
        </w:rPr>
        <w:t xml:space="preserve">. </w:t>
      </w:r>
      <w:r w:rsidRPr="00B50B9E">
        <w:rPr>
          <w:i/>
          <w:color w:val="000000"/>
        </w:rPr>
        <w:t>In vivo</w:t>
      </w:r>
      <w:r w:rsidRPr="00B50B9E">
        <w:rPr>
          <w:color w:val="000000"/>
        </w:rPr>
        <w:t xml:space="preserve"> toxicity analysis. (A) The phenotypes of GB-NPs-treated zebrafish embryos were monitored at 24, 48, 72, and 96 hpf. Scale bar: 50</w:t>
      </w:r>
      <w:r w:rsidR="00D23287" w:rsidRPr="00B50B9E">
        <w:rPr>
          <w:color w:val="000000"/>
        </w:rPr>
        <w:t xml:space="preserve">0 μm. Survival rate (B), hatching rate (C), </w:t>
      </w:r>
      <w:r w:rsidRPr="00B50B9E">
        <w:rPr>
          <w:color w:val="000000"/>
        </w:rPr>
        <w:t>heart rate (D)</w:t>
      </w:r>
      <w:r w:rsidR="00D23287" w:rsidRPr="00B50B9E">
        <w:rPr>
          <w:color w:val="000000"/>
        </w:rPr>
        <w:t>, and body length (E)</w:t>
      </w:r>
      <w:r w:rsidRPr="00B50B9E">
        <w:rPr>
          <w:color w:val="000000"/>
        </w:rPr>
        <w:t xml:space="preserve"> of zebrafish larvae following GB-NPs treatment at the indicated dose (n=20).</w:t>
      </w:r>
    </w:p>
    <w:p w14:paraId="2011CE2A" w14:textId="77777777" w:rsidR="00DD1F66" w:rsidRPr="00B50B9E" w:rsidRDefault="00DD1F66" w:rsidP="00C622AE">
      <w:pPr>
        <w:jc w:val="both"/>
        <w:rPr>
          <w:color w:val="000000"/>
        </w:rPr>
      </w:pPr>
      <w:r w:rsidRPr="00B50B9E">
        <w:rPr>
          <w:color w:val="000000"/>
          <w:lang w:eastAsia="zh-CN"/>
        </w:rPr>
        <w:lastRenderedPageBreak/>
        <w:drawing>
          <wp:inline distT="0" distB="0" distL="0" distR="0" wp14:anchorId="49FBE923" wp14:editId="602BCB7D">
            <wp:extent cx="5040000" cy="4458443"/>
            <wp:effectExtent l="0" t="0" r="825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4458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EE31E" w14:textId="3348A1FD" w:rsidR="00DD1F66" w:rsidRPr="00B50B9E" w:rsidRDefault="00DD1F66" w:rsidP="00C622AE">
      <w:pPr>
        <w:jc w:val="both"/>
        <w:rPr>
          <w:rFonts w:cs="Arial"/>
          <w:color w:val="000000"/>
        </w:rPr>
      </w:pPr>
      <w:r w:rsidRPr="00B50B9E">
        <w:rPr>
          <w:rFonts w:cs="Arial"/>
          <w:bCs/>
          <w:color w:val="000000"/>
        </w:rPr>
        <w:t>Figure S1</w:t>
      </w:r>
      <w:r w:rsidR="00EE53CA" w:rsidRPr="00B50B9E">
        <w:rPr>
          <w:rFonts w:cs="Arial"/>
          <w:bCs/>
          <w:color w:val="000000"/>
        </w:rPr>
        <w:t>4</w:t>
      </w:r>
      <w:r w:rsidRPr="00B50B9E">
        <w:rPr>
          <w:rFonts w:cs="Arial"/>
          <w:bCs/>
          <w:color w:val="000000"/>
        </w:rPr>
        <w:t>.</w:t>
      </w:r>
      <w:r w:rsidRPr="00B50B9E">
        <w:rPr>
          <w:rFonts w:cs="Arial"/>
          <w:color w:val="000000"/>
        </w:rPr>
        <w:t xml:space="preserve"> Heart, liver, spleen, lung, and kidney samples from differently treated mice were H&amp;E stained. Scale bar: 100 μm</w:t>
      </w:r>
    </w:p>
    <w:p w14:paraId="126759C2" w14:textId="1755A280" w:rsidR="001B7D41" w:rsidRPr="00B50B9E" w:rsidRDefault="001B7D41" w:rsidP="00C622AE">
      <w:pPr>
        <w:jc w:val="both"/>
        <w:rPr>
          <w:color w:val="000000"/>
        </w:rPr>
      </w:pPr>
      <w:r w:rsidRPr="00B50B9E">
        <w:rPr>
          <w:color w:val="000000"/>
          <w:lang w:eastAsia="zh-CN"/>
        </w:rPr>
        <w:drawing>
          <wp:inline distT="0" distB="0" distL="0" distR="0" wp14:anchorId="3113989E" wp14:editId="0265D2D3">
            <wp:extent cx="5256000" cy="1576316"/>
            <wp:effectExtent l="0" t="0" r="1905" b="508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000" cy="1576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7C4AB" w14:textId="033FA7AA" w:rsidR="001B7D41" w:rsidRPr="00B50B9E" w:rsidRDefault="001B7D41" w:rsidP="00C622AE">
      <w:pPr>
        <w:jc w:val="both"/>
        <w:rPr>
          <w:color w:val="000000"/>
        </w:rPr>
      </w:pPr>
      <w:r w:rsidRPr="00B50B9E">
        <w:rPr>
          <w:color w:val="000000"/>
        </w:rPr>
        <w:t>Figure S1</w:t>
      </w:r>
      <w:r w:rsidR="00EE53CA" w:rsidRPr="00B50B9E">
        <w:rPr>
          <w:color w:val="000000"/>
        </w:rPr>
        <w:t>5</w:t>
      </w:r>
      <w:r w:rsidR="00EA494B" w:rsidRPr="00B50B9E">
        <w:rPr>
          <w:color w:val="000000"/>
        </w:rPr>
        <w:t>.</w:t>
      </w:r>
      <w:r w:rsidRPr="00B50B9E">
        <w:rPr>
          <w:color w:val="000000"/>
        </w:rPr>
        <w:t xml:space="preserve"> </w:t>
      </w:r>
      <w:bookmarkStart w:id="2" w:name="_Hlk30927463"/>
      <w:r w:rsidR="0055151F" w:rsidRPr="00B50B9E">
        <w:rPr>
          <w:color w:val="000000"/>
        </w:rPr>
        <w:t>Schematic overview</w:t>
      </w:r>
      <w:r w:rsidRPr="00B50B9E">
        <w:rPr>
          <w:color w:val="000000"/>
        </w:rPr>
        <w:t xml:space="preserve"> of</w:t>
      </w:r>
      <w:bookmarkEnd w:id="2"/>
      <w:r w:rsidRPr="00B50B9E">
        <w:rPr>
          <w:color w:val="000000"/>
        </w:rPr>
        <w:t xml:space="preserve"> pharmacodynamic study.</w:t>
      </w:r>
    </w:p>
    <w:sectPr w:rsidR="001B7D41" w:rsidRPr="00B50B9E">
      <w:headerReference w:type="even" r:id="rId26"/>
      <w:headerReference w:type="default" r:id="rId2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8BADD1" w14:textId="77777777" w:rsidR="0026472A" w:rsidRDefault="0026472A" w:rsidP="00552809">
      <w:r>
        <w:separator/>
      </w:r>
    </w:p>
  </w:endnote>
  <w:endnote w:type="continuationSeparator" w:id="0">
    <w:p w14:paraId="32B62573" w14:textId="77777777" w:rsidR="0026472A" w:rsidRDefault="0026472A" w:rsidP="005528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no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E4789C" w14:textId="77777777" w:rsidR="0026472A" w:rsidRDefault="0026472A" w:rsidP="00552809">
      <w:r>
        <w:separator/>
      </w:r>
    </w:p>
  </w:footnote>
  <w:footnote w:type="continuationSeparator" w:id="0">
    <w:p w14:paraId="252CABBB" w14:textId="77777777" w:rsidR="0026472A" w:rsidRDefault="0026472A" w:rsidP="005528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2479FF" w14:textId="77777777" w:rsidR="000C180F" w:rsidRDefault="000C180F" w:rsidP="000C180F">
    <w:pPr>
      <w:pStyle w:val="Header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631DBE" w14:textId="77777777" w:rsidR="000C180F" w:rsidRDefault="000C180F" w:rsidP="000C180F">
    <w:pPr>
      <w:pStyle w:val="Header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647C33"/>
    <w:multiLevelType w:val="hybridMultilevel"/>
    <w:tmpl w:val="2CEA800E"/>
    <w:lvl w:ilvl="0" w:tplc="37367B38">
      <w:start w:val="1"/>
      <w:numFmt w:val="decimal"/>
      <w:lvlText w:val="(%1)"/>
      <w:lvlJc w:val="left"/>
      <w:pPr>
        <w:ind w:left="720" w:hanging="360"/>
      </w:pPr>
      <w:rPr>
        <w:rFonts w:ascii="Times" w:eastAsia="Times New Roman" w:hAnsi="Times" w:cs="Time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0D4588"/>
    <w:multiLevelType w:val="hybridMultilevel"/>
    <w:tmpl w:val="56DCB1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01202A"/>
    <w:multiLevelType w:val="hybridMultilevel"/>
    <w:tmpl w:val="2CEA800E"/>
    <w:lvl w:ilvl="0" w:tplc="37367B38">
      <w:start w:val="1"/>
      <w:numFmt w:val="decimal"/>
      <w:lvlText w:val="(%1)"/>
      <w:lvlJc w:val="left"/>
      <w:pPr>
        <w:ind w:left="720" w:hanging="360"/>
      </w:pPr>
      <w:rPr>
        <w:rFonts w:ascii="Times" w:eastAsia="Times New Roman" w:hAnsi="Times" w:cs="Time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C86632"/>
    <w:multiLevelType w:val="hybridMultilevel"/>
    <w:tmpl w:val="2CEA800E"/>
    <w:lvl w:ilvl="0" w:tplc="37367B38">
      <w:start w:val="1"/>
      <w:numFmt w:val="decimal"/>
      <w:lvlText w:val="(%1)"/>
      <w:lvlJc w:val="left"/>
      <w:pPr>
        <w:ind w:left="720" w:hanging="360"/>
      </w:pPr>
      <w:rPr>
        <w:rFonts w:ascii="Times" w:eastAsia="Times New Roman" w:hAnsi="Times" w:cs="Time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6D3F9A"/>
    <w:multiLevelType w:val="singleLevel"/>
    <w:tmpl w:val="8BC469A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5" w15:restartNumberingAfterBreak="0">
    <w:nsid w:val="34FD0C7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3762623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384622AB"/>
    <w:multiLevelType w:val="singleLevel"/>
    <w:tmpl w:val="6FF0DD10"/>
    <w:lvl w:ilvl="0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  <w:rPr>
        <w:rFonts w:hint="default"/>
      </w:rPr>
    </w:lvl>
  </w:abstractNum>
  <w:abstractNum w:abstractNumId="8" w15:restartNumberingAfterBreak="0">
    <w:nsid w:val="3E7A7E0C"/>
    <w:multiLevelType w:val="singleLevel"/>
    <w:tmpl w:val="E32C900E"/>
    <w:lvl w:ilvl="0">
      <w:start w:val="1"/>
      <w:numFmt w:val="decimal"/>
      <w:lvlText w:val="%1."/>
      <w:lvlJc w:val="left"/>
      <w:pPr>
        <w:tabs>
          <w:tab w:val="num" w:pos="562"/>
        </w:tabs>
        <w:ind w:left="562" w:hanging="360"/>
      </w:pPr>
      <w:rPr>
        <w:rFonts w:hint="default"/>
      </w:rPr>
    </w:lvl>
  </w:abstractNum>
  <w:abstractNum w:abstractNumId="9" w15:restartNumberingAfterBreak="0">
    <w:nsid w:val="41DB2E3C"/>
    <w:multiLevelType w:val="singleLevel"/>
    <w:tmpl w:val="E5E28CB0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num w:numId="1">
    <w:abstractNumId w:val="8"/>
  </w:num>
  <w:num w:numId="2">
    <w:abstractNumId w:val="6"/>
  </w:num>
  <w:num w:numId="3">
    <w:abstractNumId w:val="9"/>
  </w:num>
  <w:num w:numId="4">
    <w:abstractNumId w:val="7"/>
  </w:num>
  <w:num w:numId="5">
    <w:abstractNumId w:val="5"/>
  </w:num>
  <w:num w:numId="6">
    <w:abstractNumId w:val="4"/>
  </w:num>
  <w:num w:numId="7">
    <w:abstractNumId w:val="3"/>
  </w:num>
  <w:num w:numId="8">
    <w:abstractNumId w:val="1"/>
  </w:num>
  <w:num w:numId="9">
    <w:abstractNumId w:val="0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5"/>
  <w:bordersDoNotSurroundHeader/>
  <w:bordersDoNotSurroundFooter/>
  <w:attachedTemplate r:id="rId1"/>
  <w:linkStyles/>
  <w:doNotTrackFormatting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243F"/>
    <w:rsid w:val="000578A9"/>
    <w:rsid w:val="000C180F"/>
    <w:rsid w:val="000C3FB5"/>
    <w:rsid w:val="00143EF9"/>
    <w:rsid w:val="00166566"/>
    <w:rsid w:val="001B7D41"/>
    <w:rsid w:val="001C5DA3"/>
    <w:rsid w:val="001F6012"/>
    <w:rsid w:val="00207B6F"/>
    <w:rsid w:val="00256C06"/>
    <w:rsid w:val="0026472A"/>
    <w:rsid w:val="002F7C75"/>
    <w:rsid w:val="00327C3A"/>
    <w:rsid w:val="00354426"/>
    <w:rsid w:val="00374EC9"/>
    <w:rsid w:val="00393D84"/>
    <w:rsid w:val="003A22F3"/>
    <w:rsid w:val="0043796A"/>
    <w:rsid w:val="00457BCC"/>
    <w:rsid w:val="004A26C7"/>
    <w:rsid w:val="004A57AE"/>
    <w:rsid w:val="004A5CE4"/>
    <w:rsid w:val="004F47FE"/>
    <w:rsid w:val="0050670D"/>
    <w:rsid w:val="00506DB2"/>
    <w:rsid w:val="005072D9"/>
    <w:rsid w:val="00537999"/>
    <w:rsid w:val="0055151F"/>
    <w:rsid w:val="00552809"/>
    <w:rsid w:val="00571161"/>
    <w:rsid w:val="005B1F92"/>
    <w:rsid w:val="005C2D83"/>
    <w:rsid w:val="00605045"/>
    <w:rsid w:val="0062421D"/>
    <w:rsid w:val="00632EB0"/>
    <w:rsid w:val="0068381B"/>
    <w:rsid w:val="006E6BE3"/>
    <w:rsid w:val="007461B9"/>
    <w:rsid w:val="007938F1"/>
    <w:rsid w:val="007B455C"/>
    <w:rsid w:val="007D786D"/>
    <w:rsid w:val="00807720"/>
    <w:rsid w:val="00847390"/>
    <w:rsid w:val="008A05B0"/>
    <w:rsid w:val="008C5712"/>
    <w:rsid w:val="008C7CB1"/>
    <w:rsid w:val="008E2515"/>
    <w:rsid w:val="008F0D08"/>
    <w:rsid w:val="00915E5A"/>
    <w:rsid w:val="0092696F"/>
    <w:rsid w:val="0093301D"/>
    <w:rsid w:val="00964632"/>
    <w:rsid w:val="00973364"/>
    <w:rsid w:val="009A65EE"/>
    <w:rsid w:val="00A01C8E"/>
    <w:rsid w:val="00A4691B"/>
    <w:rsid w:val="00A7243F"/>
    <w:rsid w:val="00AB2BE2"/>
    <w:rsid w:val="00AD0D1C"/>
    <w:rsid w:val="00AE0BE8"/>
    <w:rsid w:val="00AF6613"/>
    <w:rsid w:val="00B45BBB"/>
    <w:rsid w:val="00B50B9E"/>
    <w:rsid w:val="00B6045B"/>
    <w:rsid w:val="00B60BDB"/>
    <w:rsid w:val="00B67B96"/>
    <w:rsid w:val="00BB6BE8"/>
    <w:rsid w:val="00BF383F"/>
    <w:rsid w:val="00C1186A"/>
    <w:rsid w:val="00C619DD"/>
    <w:rsid w:val="00C622AE"/>
    <w:rsid w:val="00CB5D84"/>
    <w:rsid w:val="00CE07C5"/>
    <w:rsid w:val="00CE5ED0"/>
    <w:rsid w:val="00D23287"/>
    <w:rsid w:val="00D238C7"/>
    <w:rsid w:val="00D35379"/>
    <w:rsid w:val="00D6142C"/>
    <w:rsid w:val="00D77DBD"/>
    <w:rsid w:val="00DA7233"/>
    <w:rsid w:val="00DD1F66"/>
    <w:rsid w:val="00E1465F"/>
    <w:rsid w:val="00E4703F"/>
    <w:rsid w:val="00E6409F"/>
    <w:rsid w:val="00E80FFB"/>
    <w:rsid w:val="00E850D8"/>
    <w:rsid w:val="00EA494B"/>
    <w:rsid w:val="00EE53CA"/>
    <w:rsid w:val="00F0588D"/>
    <w:rsid w:val="00F125CC"/>
    <w:rsid w:val="00F75D06"/>
    <w:rsid w:val="00F90CAC"/>
    <w:rsid w:val="00F954B9"/>
    <w:rsid w:val="00FB585F"/>
    <w:rsid w:val="00FC012E"/>
    <w:rsid w:val="00FE0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3203CDD"/>
  <w15:chartTrackingRefBased/>
  <w15:docId w15:val="{2486F372-AAB2-4BDA-BECF-905970398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0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5D06"/>
    <w:pPr>
      <w:spacing w:after="200" w:line="480" w:lineRule="auto"/>
    </w:pPr>
    <w:rPr>
      <w:rFonts w:ascii="Arial" w:hAnsi="Arial" w:cs="Times New Roman"/>
      <w:kern w:val="0"/>
      <w:sz w:val="20"/>
      <w:szCs w:val="20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E0BE8"/>
    <w:pPr>
      <w:keepNext/>
      <w:keepLines/>
      <w:spacing w:before="240" w:after="60"/>
      <w:outlineLvl w:val="0"/>
    </w:pPr>
    <w:rPr>
      <w:b/>
      <w:bCs/>
      <w:kern w:val="44"/>
      <w:sz w:val="32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280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552809"/>
    <w:rPr>
      <w:sz w:val="18"/>
      <w:szCs w:val="18"/>
    </w:rPr>
  </w:style>
  <w:style w:type="paragraph" w:styleId="Footer">
    <w:name w:val="footer"/>
    <w:basedOn w:val="Normal"/>
    <w:link w:val="FooterChar"/>
    <w:rsid w:val="00F75D0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552809"/>
    <w:rPr>
      <w:rFonts w:ascii="Arial" w:hAnsi="Arial" w:cs="Times New Roman"/>
      <w:kern w:val="0"/>
      <w:sz w:val="20"/>
      <w:szCs w:val="20"/>
      <w:lang w:eastAsia="en-US"/>
    </w:rPr>
  </w:style>
  <w:style w:type="paragraph" w:styleId="BalloonText">
    <w:name w:val="Balloon Text"/>
    <w:basedOn w:val="Normal"/>
    <w:link w:val="BalloonTextChar"/>
    <w:semiHidden/>
    <w:rsid w:val="00F75D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552809"/>
    <w:rPr>
      <w:rFonts w:ascii="Tahoma" w:hAnsi="Tahoma" w:cs="Tahoma"/>
      <w:kern w:val="0"/>
      <w:sz w:val="16"/>
      <w:szCs w:val="16"/>
      <w:lang w:eastAsia="en-US"/>
    </w:rPr>
  </w:style>
  <w:style w:type="character" w:customStyle="1" w:styleId="highlight">
    <w:name w:val="highlight"/>
    <w:basedOn w:val="DefaultParagraphFont"/>
    <w:rsid w:val="00552809"/>
  </w:style>
  <w:style w:type="character" w:styleId="CommentReference">
    <w:name w:val="annotation reference"/>
    <w:basedOn w:val="DefaultParagraphFont"/>
    <w:uiPriority w:val="99"/>
    <w:semiHidden/>
    <w:unhideWhenUsed/>
    <w:rsid w:val="00552809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52809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52809"/>
    <w:rPr>
      <w:rFonts w:ascii="Times New Roman" w:eastAsia="SimSun" w:hAnsi="Times New Roman"/>
      <w:sz w:val="24"/>
    </w:rPr>
  </w:style>
  <w:style w:type="table" w:styleId="TableGrid">
    <w:name w:val="Table Grid"/>
    <w:basedOn w:val="TableNormal"/>
    <w:uiPriority w:val="39"/>
    <w:qFormat/>
    <w:rsid w:val="006E6B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0FF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0FFB"/>
    <w:rPr>
      <w:rFonts w:ascii="Times New Roman" w:eastAsia="SimSun" w:hAnsi="Times New Roman"/>
      <w:b/>
      <w:bCs/>
      <w:sz w:val="24"/>
    </w:rPr>
  </w:style>
  <w:style w:type="character" w:styleId="FollowedHyperlink">
    <w:name w:val="FollowedHyperlink"/>
    <w:rsid w:val="00F75D06"/>
    <w:rPr>
      <w:color w:val="800080"/>
      <w:u w:val="single"/>
    </w:rPr>
  </w:style>
  <w:style w:type="paragraph" w:styleId="BodyText">
    <w:name w:val="Body Text"/>
    <w:basedOn w:val="Normal"/>
    <w:link w:val="BodyTextChar"/>
    <w:rsid w:val="00F75D06"/>
    <w:pPr>
      <w:jc w:val="center"/>
    </w:pPr>
    <w:rPr>
      <w:b/>
      <w:sz w:val="40"/>
    </w:rPr>
  </w:style>
  <w:style w:type="character" w:customStyle="1" w:styleId="BodyTextChar">
    <w:name w:val="Body Text Char"/>
    <w:basedOn w:val="DefaultParagraphFont"/>
    <w:link w:val="BodyText"/>
    <w:rsid w:val="00327C3A"/>
    <w:rPr>
      <w:rFonts w:ascii="Arial" w:hAnsi="Arial" w:cs="Times New Roman"/>
      <w:b/>
      <w:kern w:val="0"/>
      <w:sz w:val="40"/>
      <w:szCs w:val="20"/>
      <w:lang w:eastAsia="en-US"/>
    </w:rPr>
  </w:style>
  <w:style w:type="paragraph" w:styleId="FootnoteText">
    <w:name w:val="footnote text"/>
    <w:basedOn w:val="Normal"/>
    <w:next w:val="TFReferencesSection"/>
    <w:link w:val="FootnoteTextChar"/>
    <w:semiHidden/>
    <w:rsid w:val="00F75D06"/>
  </w:style>
  <w:style w:type="character" w:customStyle="1" w:styleId="FootnoteTextChar">
    <w:name w:val="Footnote Text Char"/>
    <w:basedOn w:val="DefaultParagraphFont"/>
    <w:link w:val="FootnoteText"/>
    <w:semiHidden/>
    <w:rsid w:val="00327C3A"/>
    <w:rPr>
      <w:rFonts w:ascii="Arial" w:hAnsi="Arial" w:cs="Times New Roman"/>
      <w:kern w:val="0"/>
      <w:sz w:val="20"/>
      <w:szCs w:val="20"/>
      <w:lang w:eastAsia="en-US"/>
    </w:rPr>
  </w:style>
  <w:style w:type="paragraph" w:customStyle="1" w:styleId="TFReferencesSection">
    <w:name w:val="TF_References_Section"/>
    <w:basedOn w:val="Normal"/>
    <w:rsid w:val="00F75D06"/>
    <w:pPr>
      <w:ind w:firstLine="187"/>
    </w:pPr>
  </w:style>
  <w:style w:type="paragraph" w:customStyle="1" w:styleId="TAMainText">
    <w:name w:val="TA_Main_Text"/>
    <w:basedOn w:val="Normal"/>
    <w:rsid w:val="00F75D06"/>
    <w:pPr>
      <w:spacing w:after="0"/>
      <w:ind w:firstLine="202"/>
    </w:pPr>
  </w:style>
  <w:style w:type="paragraph" w:customStyle="1" w:styleId="BATitle">
    <w:name w:val="BA_Title"/>
    <w:basedOn w:val="Normal"/>
    <w:next w:val="BBAuthorName"/>
    <w:rsid w:val="00F75D06"/>
    <w:pPr>
      <w:spacing w:before="720" w:after="360"/>
      <w:jc w:val="center"/>
    </w:pPr>
    <w:rPr>
      <w:rFonts w:ascii="Times New Roman" w:hAnsi="Times New Roman"/>
      <w:sz w:val="44"/>
    </w:rPr>
  </w:style>
  <w:style w:type="paragraph" w:customStyle="1" w:styleId="BBAuthorName">
    <w:name w:val="BB_Author_Name"/>
    <w:basedOn w:val="Normal"/>
    <w:next w:val="BCAuthorAddress"/>
    <w:rsid w:val="00F75D06"/>
    <w:pPr>
      <w:spacing w:after="240"/>
      <w:jc w:val="center"/>
    </w:pPr>
    <w:rPr>
      <w:i/>
    </w:rPr>
  </w:style>
  <w:style w:type="paragraph" w:customStyle="1" w:styleId="BCAuthorAddress">
    <w:name w:val="BC_Author_Address"/>
    <w:basedOn w:val="Normal"/>
    <w:next w:val="BIEmailAddress"/>
    <w:rsid w:val="00F75D06"/>
    <w:pPr>
      <w:spacing w:after="240"/>
      <w:jc w:val="center"/>
    </w:pPr>
  </w:style>
  <w:style w:type="paragraph" w:customStyle="1" w:styleId="BIEmailAddress">
    <w:name w:val="BI_Email_Address"/>
    <w:basedOn w:val="Normal"/>
    <w:next w:val="AIReceivedDate"/>
    <w:rsid w:val="00F75D06"/>
  </w:style>
  <w:style w:type="paragraph" w:customStyle="1" w:styleId="AIReceivedDate">
    <w:name w:val="AI_Received_Date"/>
    <w:basedOn w:val="Normal"/>
    <w:next w:val="BDAbstract"/>
    <w:rsid w:val="00F75D06"/>
    <w:pPr>
      <w:spacing w:after="240"/>
    </w:pPr>
    <w:rPr>
      <w:b/>
    </w:rPr>
  </w:style>
  <w:style w:type="paragraph" w:customStyle="1" w:styleId="BDAbstract">
    <w:name w:val="BD_Abstract"/>
    <w:basedOn w:val="Normal"/>
    <w:next w:val="TAMainText"/>
    <w:rsid w:val="00F75D06"/>
    <w:pPr>
      <w:spacing w:before="360" w:after="360"/>
    </w:pPr>
  </w:style>
  <w:style w:type="paragraph" w:customStyle="1" w:styleId="TDAcknowledgments">
    <w:name w:val="TD_Acknowledgments"/>
    <w:basedOn w:val="Normal"/>
    <w:next w:val="Normal"/>
    <w:rsid w:val="00F75D06"/>
    <w:pPr>
      <w:spacing w:before="200"/>
      <w:ind w:firstLine="202"/>
    </w:pPr>
  </w:style>
  <w:style w:type="paragraph" w:customStyle="1" w:styleId="TESupportingInformation">
    <w:name w:val="TE_Supporting_Information"/>
    <w:basedOn w:val="Normal"/>
    <w:next w:val="Normal"/>
    <w:rsid w:val="00F75D06"/>
    <w:pPr>
      <w:ind w:firstLine="187"/>
    </w:pPr>
  </w:style>
  <w:style w:type="paragraph" w:customStyle="1" w:styleId="VCSchemeTitle">
    <w:name w:val="VC_Scheme_Title"/>
    <w:basedOn w:val="Normal"/>
    <w:next w:val="Normal"/>
    <w:rsid w:val="00F75D06"/>
  </w:style>
  <w:style w:type="paragraph" w:customStyle="1" w:styleId="VDTableTitle">
    <w:name w:val="VD_Table_Title"/>
    <w:basedOn w:val="Normal"/>
    <w:next w:val="Normal"/>
    <w:rsid w:val="00F75D06"/>
  </w:style>
  <w:style w:type="paragraph" w:customStyle="1" w:styleId="VAFigureCaption">
    <w:name w:val="VA_Figure_Caption"/>
    <w:basedOn w:val="Normal"/>
    <w:next w:val="Normal"/>
    <w:rsid w:val="00F75D06"/>
  </w:style>
  <w:style w:type="paragraph" w:customStyle="1" w:styleId="VBChartTitle">
    <w:name w:val="VB_Chart_Title"/>
    <w:basedOn w:val="Normal"/>
    <w:next w:val="Normal"/>
    <w:rsid w:val="00F75D06"/>
  </w:style>
  <w:style w:type="paragraph" w:customStyle="1" w:styleId="FETableFootnote">
    <w:name w:val="FE_Table_Footnote"/>
    <w:basedOn w:val="Normal"/>
    <w:next w:val="Normal"/>
    <w:rsid w:val="00F75D06"/>
    <w:pPr>
      <w:ind w:firstLine="187"/>
    </w:pPr>
  </w:style>
  <w:style w:type="paragraph" w:customStyle="1" w:styleId="FCChartFootnote">
    <w:name w:val="FC_Chart_Footnote"/>
    <w:basedOn w:val="Normal"/>
    <w:next w:val="Normal"/>
    <w:rsid w:val="00F75D06"/>
    <w:pPr>
      <w:ind w:firstLine="187"/>
    </w:pPr>
  </w:style>
  <w:style w:type="paragraph" w:customStyle="1" w:styleId="FDSchemeFootnote">
    <w:name w:val="FD_Scheme_Footnote"/>
    <w:basedOn w:val="Normal"/>
    <w:next w:val="Normal"/>
    <w:rsid w:val="00F75D06"/>
    <w:pPr>
      <w:ind w:firstLine="187"/>
    </w:pPr>
  </w:style>
  <w:style w:type="paragraph" w:customStyle="1" w:styleId="TCTableBody">
    <w:name w:val="TC_Table_Body"/>
    <w:basedOn w:val="Normal"/>
    <w:rsid w:val="00F75D06"/>
  </w:style>
  <w:style w:type="paragraph" w:customStyle="1" w:styleId="AFTitleRunningHead">
    <w:name w:val="AF_Title_Running_Head"/>
    <w:basedOn w:val="Normal"/>
    <w:next w:val="TAMainText"/>
    <w:rsid w:val="00F75D06"/>
  </w:style>
  <w:style w:type="paragraph" w:customStyle="1" w:styleId="BEAuthorBiography">
    <w:name w:val="BE_Author_Biography"/>
    <w:basedOn w:val="Normal"/>
    <w:rsid w:val="00F75D06"/>
  </w:style>
  <w:style w:type="paragraph" w:customStyle="1" w:styleId="FACorrespondingAuthorFootnote">
    <w:name w:val="FA_Corresponding_Author_Footnote"/>
    <w:basedOn w:val="Normal"/>
    <w:next w:val="TAMainText"/>
    <w:rsid w:val="00F75D06"/>
  </w:style>
  <w:style w:type="paragraph" w:customStyle="1" w:styleId="SNSynopsisTOC">
    <w:name w:val="SN_Synopsis_TOC"/>
    <w:basedOn w:val="Normal"/>
    <w:rsid w:val="00F75D06"/>
  </w:style>
  <w:style w:type="character" w:styleId="Hyperlink">
    <w:name w:val="Hyperlink"/>
    <w:rsid w:val="00F75D06"/>
    <w:rPr>
      <w:color w:val="0000FF"/>
      <w:u w:val="single"/>
    </w:rPr>
  </w:style>
  <w:style w:type="paragraph" w:customStyle="1" w:styleId="BGKeywords">
    <w:name w:val="BG_Keywords"/>
    <w:basedOn w:val="Normal"/>
    <w:rsid w:val="00F75D06"/>
  </w:style>
  <w:style w:type="paragraph" w:customStyle="1" w:styleId="BHBriefs">
    <w:name w:val="BH_Briefs"/>
    <w:basedOn w:val="Normal"/>
    <w:rsid w:val="00F75D06"/>
  </w:style>
  <w:style w:type="character" w:styleId="PageNumber">
    <w:name w:val="page number"/>
    <w:basedOn w:val="DefaultParagraphFont"/>
    <w:rsid w:val="00F75D06"/>
  </w:style>
  <w:style w:type="paragraph" w:customStyle="1" w:styleId="StyleFACorrespondingAuthorFootnote7pt">
    <w:name w:val="Style FA_Corresponding_Author_Footnote + 7 pt"/>
    <w:basedOn w:val="Normal"/>
    <w:next w:val="BGKeywords"/>
    <w:link w:val="StyleFACorrespondingAuthorFootnote7ptChar"/>
    <w:autoRedefine/>
    <w:rsid w:val="00F75D06"/>
    <w:pPr>
      <w:spacing w:after="0"/>
    </w:pPr>
    <w:rPr>
      <w:rFonts w:ascii="Arno Pro" w:hAnsi="Arno Pro"/>
      <w:kern w:val="20"/>
      <w:sz w:val="18"/>
    </w:rPr>
  </w:style>
  <w:style w:type="character" w:customStyle="1" w:styleId="StyleFACorrespondingAuthorFootnote7ptChar">
    <w:name w:val="Style FA_Corresponding_Author_Footnote + 7 pt Char"/>
    <w:link w:val="StyleFACorrespondingAuthorFootnote7pt"/>
    <w:rsid w:val="00F75D06"/>
    <w:rPr>
      <w:rFonts w:ascii="Arno Pro" w:hAnsi="Arno Pro" w:cs="Times New Roman"/>
      <w:kern w:val="20"/>
      <w:sz w:val="18"/>
      <w:szCs w:val="20"/>
      <w:lang w:eastAsia="en-US"/>
    </w:rPr>
  </w:style>
  <w:style w:type="paragraph" w:customStyle="1" w:styleId="FAAuthorInfoSubtitle">
    <w:name w:val="FA_Author_Info_Subtitle"/>
    <w:basedOn w:val="Normal"/>
    <w:link w:val="FAAuthorInfoSubtitleChar"/>
    <w:autoRedefine/>
    <w:rsid w:val="00F75D06"/>
    <w:pPr>
      <w:spacing w:before="120" w:after="60"/>
    </w:pPr>
    <w:rPr>
      <w:b/>
    </w:rPr>
  </w:style>
  <w:style w:type="character" w:customStyle="1" w:styleId="FAAuthorInfoSubtitleChar">
    <w:name w:val="FA_Author_Info_Subtitle Char"/>
    <w:link w:val="FAAuthorInfoSubtitle"/>
    <w:rsid w:val="00F75D06"/>
    <w:rPr>
      <w:rFonts w:ascii="Arial" w:hAnsi="Arial" w:cs="Times New Roman"/>
      <w:b/>
      <w:kern w:val="0"/>
      <w:sz w:val="20"/>
      <w:szCs w:val="20"/>
      <w:lang w:eastAsia="en-US"/>
    </w:rPr>
  </w:style>
  <w:style w:type="paragraph" w:customStyle="1" w:styleId="Default">
    <w:name w:val="Default"/>
    <w:rsid w:val="00F75D06"/>
    <w:pPr>
      <w:autoSpaceDE w:val="0"/>
      <w:autoSpaceDN w:val="0"/>
      <w:adjustRightInd w:val="0"/>
    </w:pPr>
    <w:rPr>
      <w:rFonts w:ascii="Symbol" w:hAnsi="Symbol" w:cs="Symbol"/>
      <w:color w:val="000000"/>
      <w:kern w:val="0"/>
      <w:sz w:val="24"/>
      <w:szCs w:val="24"/>
      <w:lang w:eastAsia="en-US"/>
    </w:rPr>
  </w:style>
  <w:style w:type="character" w:styleId="LineNumber">
    <w:name w:val="line number"/>
    <w:basedOn w:val="DefaultParagraphFont"/>
    <w:uiPriority w:val="99"/>
    <w:semiHidden/>
    <w:unhideWhenUsed/>
    <w:rsid w:val="000C180F"/>
  </w:style>
  <w:style w:type="character" w:customStyle="1" w:styleId="Heading1Char">
    <w:name w:val="Heading 1 Char"/>
    <w:basedOn w:val="DefaultParagraphFont"/>
    <w:link w:val="Heading1"/>
    <w:uiPriority w:val="9"/>
    <w:rsid w:val="00AE0BE8"/>
    <w:rPr>
      <w:rFonts w:ascii="Arial" w:hAnsi="Arial" w:cs="Times New Roman"/>
      <w:b/>
      <w:bCs/>
      <w:kern w:val="44"/>
      <w:sz w:val="32"/>
      <w:szCs w:val="44"/>
      <w:lang w:eastAsia="en-US"/>
    </w:rPr>
  </w:style>
  <w:style w:type="paragraph" w:styleId="ListParagraph">
    <w:name w:val="List Paragraph"/>
    <w:basedOn w:val="Normal"/>
    <w:uiPriority w:val="34"/>
    <w:qFormat/>
    <w:rsid w:val="004A5CE4"/>
    <w:pPr>
      <w:ind w:firstLineChars="200" w:firstLine="420"/>
    </w:pPr>
  </w:style>
  <w:style w:type="table" w:customStyle="1" w:styleId="1">
    <w:name w:val="网格型1"/>
    <w:basedOn w:val="TableNormal"/>
    <w:next w:val="TableGrid"/>
    <w:uiPriority w:val="39"/>
    <w:rsid w:val="00FB585F"/>
    <w:rPr>
      <w:rFonts w:ascii="DengXian" w:eastAsia="DengXian" w:hAnsi="DengXi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B67B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wmf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4026\AppData\Roaming\Microsoft\Templates\acstemplate_msw2010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acstemplate_msw2010</Template>
  <TotalTime>0</TotalTime>
  <Pages>13</Pages>
  <Words>1504</Words>
  <Characters>8579</Characters>
  <Application>Microsoft Office Word</Application>
  <DocSecurity>0</DocSecurity>
  <Lines>71</Lines>
  <Paragraphs>20</Paragraphs>
  <ScaleCrop>false</ScaleCrop>
  <Company/>
  <LinksUpToDate>false</LinksUpToDate>
  <CharactersWithSpaces>10063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</dc:creator>
  <cp:keywords/>
  <dc:description/>
  <cp:lastModifiedBy>Justine Waterson</cp:lastModifiedBy>
  <cp:revision>2</cp:revision>
  <dcterms:created xsi:type="dcterms:W3CDTF">2020-10-07T23:29:00Z</dcterms:created>
  <dcterms:modified xsi:type="dcterms:W3CDTF">2020-10-07T23:29:00Z</dcterms:modified>
</cp:coreProperties>
</file>