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56D59" w14:textId="77777777" w:rsidR="00C6308C" w:rsidRDefault="00C6308C" w:rsidP="00C6308C">
      <w:pPr>
        <w:spacing w:after="0" w:line="480" w:lineRule="auto"/>
        <w:rPr>
          <w:rFonts w:ascii="Arial" w:eastAsia="等线" w:hAnsi="Arial" w:cs="Arial"/>
          <w:b/>
          <w:bCs/>
          <w:sz w:val="32"/>
          <w:szCs w:val="32"/>
        </w:rPr>
      </w:pPr>
      <w:r>
        <w:rPr>
          <w:rFonts w:ascii="Arial" w:eastAsia="等线" w:hAnsi="Arial" w:cs="Arial"/>
          <w:b/>
          <w:bCs/>
          <w:sz w:val="32"/>
          <w:szCs w:val="32"/>
        </w:rPr>
        <w:t xml:space="preserve">Supplementary </w:t>
      </w:r>
      <w:r>
        <w:rPr>
          <w:rFonts w:ascii="Arial" w:eastAsia="等线" w:hAnsi="Arial" w:cs="Arial"/>
          <w:b/>
          <w:bCs/>
          <w:sz w:val="32"/>
          <w:szCs w:val="32"/>
        </w:rPr>
        <w:t>M</w:t>
      </w:r>
      <w:r>
        <w:rPr>
          <w:rFonts w:ascii="Arial" w:eastAsia="等线" w:hAnsi="Arial" w:cs="Arial" w:hint="eastAsia"/>
          <w:b/>
          <w:bCs/>
          <w:sz w:val="32"/>
          <w:szCs w:val="32"/>
        </w:rPr>
        <w:t>aterials</w:t>
      </w:r>
    </w:p>
    <w:p w14:paraId="0A809E8E" w14:textId="1FC61E3C" w:rsidR="00C6308C" w:rsidRPr="00C6308C" w:rsidRDefault="00C6308C" w:rsidP="00C6308C">
      <w:pPr>
        <w:spacing w:after="0" w:line="480" w:lineRule="auto"/>
        <w:rPr>
          <w:rFonts w:ascii="Arial" w:eastAsia="等线" w:hAnsi="Arial" w:cs="Arial"/>
          <w:b/>
          <w:bCs/>
          <w:sz w:val="24"/>
          <w:szCs w:val="24"/>
        </w:rPr>
      </w:pPr>
      <w:r w:rsidRPr="00C6308C">
        <w:rPr>
          <w:rFonts w:ascii="Arial" w:eastAsia="等线" w:hAnsi="Arial" w:cs="Arial"/>
          <w:b/>
          <w:bCs/>
          <w:sz w:val="24"/>
          <w:szCs w:val="24"/>
        </w:rPr>
        <w:t>Supplementary</w:t>
      </w:r>
      <w:r w:rsidRPr="00C6308C">
        <w:rPr>
          <w:rFonts w:ascii="Arial" w:eastAsia="等线" w:hAnsi="Arial" w:cs="Arial"/>
          <w:b/>
          <w:bCs/>
          <w:sz w:val="24"/>
          <w:szCs w:val="24"/>
        </w:rPr>
        <w:t xml:space="preserve"> </w:t>
      </w:r>
      <w:r w:rsidRPr="00C6308C">
        <w:rPr>
          <w:rFonts w:ascii="Arial" w:eastAsia="等线" w:hAnsi="Arial" w:cs="Arial"/>
          <w:b/>
          <w:bCs/>
          <w:sz w:val="24"/>
          <w:szCs w:val="24"/>
        </w:rPr>
        <w:t>Figure Legends:</w:t>
      </w:r>
    </w:p>
    <w:p w14:paraId="034F6E7A" w14:textId="77777777" w:rsidR="00C6308C" w:rsidRDefault="00C6308C" w:rsidP="00C6308C">
      <w:pPr>
        <w:spacing w:after="0" w:line="480" w:lineRule="auto"/>
        <w:rPr>
          <w:rFonts w:ascii="Arial" w:eastAsia="等线" w:hAnsi="Arial" w:cs="Arial"/>
          <w:b/>
          <w:bCs/>
          <w:sz w:val="20"/>
          <w:szCs w:val="20"/>
        </w:rPr>
      </w:pPr>
      <w:r>
        <w:rPr>
          <w:rFonts w:ascii="Arial" w:eastAsia="等线" w:hAnsi="Arial" w:cs="Arial"/>
          <w:b/>
          <w:bCs/>
          <w:sz w:val="20"/>
          <w:szCs w:val="20"/>
        </w:rPr>
        <w:t xml:space="preserve">Figure S1. (A) </w:t>
      </w:r>
      <w:r>
        <w:rPr>
          <w:rFonts w:ascii="Arial" w:eastAsia="等线" w:hAnsi="Arial" w:cs="Arial"/>
          <w:sz w:val="20"/>
          <w:szCs w:val="20"/>
        </w:rPr>
        <w:t>The correction between</w:t>
      </w:r>
      <w:r>
        <w:rPr>
          <w:rFonts w:ascii="Arial" w:eastAsia="等线" w:hAnsi="Arial" w:cs="Arial"/>
          <w:b/>
          <w:bCs/>
          <w:sz w:val="20"/>
          <w:szCs w:val="20"/>
        </w:rPr>
        <w:t xml:space="preserve"> </w:t>
      </w:r>
      <w:r>
        <w:rPr>
          <w:rFonts w:ascii="Arial" w:eastAsia="等线" w:hAnsi="Arial" w:cs="Arial"/>
          <w:sz w:val="20"/>
          <w:szCs w:val="20"/>
        </w:rPr>
        <w:t xml:space="preserve">HOXA-AS2 expression level and liver cirrhosis. </w:t>
      </w:r>
      <w:r>
        <w:rPr>
          <w:rFonts w:ascii="Arial" w:eastAsia="等线" w:hAnsi="Arial" w:cs="Arial"/>
          <w:b/>
          <w:bCs/>
          <w:sz w:val="20"/>
          <w:szCs w:val="20"/>
        </w:rPr>
        <w:t>(B)</w:t>
      </w:r>
      <w:r>
        <w:rPr>
          <w:rFonts w:ascii="Arial" w:eastAsia="等线" w:hAnsi="Arial" w:cs="Arial"/>
          <w:sz w:val="20"/>
          <w:szCs w:val="20"/>
        </w:rPr>
        <w:t xml:space="preserve"> Kaplan-Meier survival curve assessing the recurrence-free survival (RFS) of HCC patients with different HOXA-AS2 expression levels.</w:t>
      </w:r>
    </w:p>
    <w:p w14:paraId="194DFD56" w14:textId="77777777" w:rsidR="00C6308C" w:rsidRDefault="00C6308C" w:rsidP="00C6308C">
      <w:pPr>
        <w:spacing w:after="0" w:line="480" w:lineRule="auto"/>
        <w:rPr>
          <w:rFonts w:ascii="Arial" w:eastAsia="等线" w:hAnsi="Arial" w:cs="Arial"/>
          <w:b/>
          <w:bCs/>
          <w:sz w:val="20"/>
          <w:szCs w:val="20"/>
        </w:rPr>
      </w:pPr>
    </w:p>
    <w:p w14:paraId="5FFC9CDE" w14:textId="77777777" w:rsidR="00C6308C" w:rsidRDefault="00C6308C" w:rsidP="00C6308C">
      <w:pPr>
        <w:spacing w:after="0" w:line="480" w:lineRule="auto"/>
        <w:rPr>
          <w:rFonts w:ascii="Arial" w:eastAsia="等线" w:hAnsi="Arial" w:cs="Arial"/>
          <w:b/>
          <w:bCs/>
          <w:sz w:val="20"/>
          <w:szCs w:val="20"/>
        </w:rPr>
      </w:pPr>
      <w:bookmarkStart w:id="0" w:name="_Hlk51341344"/>
      <w:r>
        <w:rPr>
          <w:rFonts w:ascii="Arial" w:eastAsia="等线" w:hAnsi="Arial" w:cs="Arial"/>
          <w:b/>
          <w:bCs/>
          <w:sz w:val="20"/>
          <w:szCs w:val="20"/>
        </w:rPr>
        <w:t>Figure S2</w:t>
      </w:r>
      <w:bookmarkEnd w:id="0"/>
      <w:r>
        <w:rPr>
          <w:rFonts w:ascii="Arial" w:eastAsia="等线" w:hAnsi="Arial" w:cs="Arial"/>
          <w:b/>
          <w:bCs/>
          <w:sz w:val="20"/>
          <w:szCs w:val="20"/>
        </w:rPr>
        <w:t xml:space="preserve">. </w:t>
      </w:r>
      <w:r>
        <w:rPr>
          <w:rFonts w:ascii="Arial" w:eastAsia="等线" w:hAnsi="Arial" w:cs="Arial"/>
          <w:sz w:val="20"/>
          <w:szCs w:val="20"/>
        </w:rPr>
        <w:t xml:space="preserve">Heatmap of </w:t>
      </w:r>
      <w:bookmarkStart w:id="1" w:name="OLE_LINK100"/>
      <w:bookmarkStart w:id="2" w:name="OLE_LINK101"/>
      <w:bookmarkStart w:id="3" w:name="_Hlk51505204"/>
      <w:bookmarkStart w:id="4" w:name="OLE_LINK102"/>
      <w:r>
        <w:rPr>
          <w:rFonts w:ascii="Arial" w:eastAsia="等线" w:hAnsi="Arial" w:cs="Arial"/>
          <w:sz w:val="20"/>
          <w:szCs w:val="20"/>
        </w:rPr>
        <w:t>differentially expressed genes in HCC patients with High/Low HOXA-AS2 expression</w:t>
      </w:r>
      <w:bookmarkEnd w:id="1"/>
      <w:bookmarkEnd w:id="2"/>
      <w:r>
        <w:rPr>
          <w:rFonts w:ascii="Arial" w:eastAsia="等线" w:hAnsi="Arial" w:cs="Arial"/>
          <w:sz w:val="20"/>
          <w:szCs w:val="20"/>
        </w:rPr>
        <w:t>.</w:t>
      </w:r>
    </w:p>
    <w:bookmarkEnd w:id="3"/>
    <w:bookmarkEnd w:id="4"/>
    <w:p w14:paraId="791ACC35" w14:textId="77777777" w:rsidR="00C6308C" w:rsidRDefault="00C6308C" w:rsidP="00C6308C">
      <w:pPr>
        <w:spacing w:after="0" w:line="480" w:lineRule="auto"/>
        <w:rPr>
          <w:rFonts w:ascii="Arial" w:eastAsia="等线" w:hAnsi="Arial" w:cs="Arial"/>
          <w:b/>
          <w:bCs/>
          <w:sz w:val="20"/>
          <w:szCs w:val="20"/>
        </w:rPr>
      </w:pPr>
    </w:p>
    <w:p w14:paraId="14190C1C" w14:textId="77777777" w:rsidR="00C6308C" w:rsidRDefault="00C6308C" w:rsidP="00C6308C">
      <w:pPr>
        <w:spacing w:after="0" w:line="480" w:lineRule="auto"/>
        <w:rPr>
          <w:rFonts w:ascii="Arial" w:eastAsia="等线" w:hAnsi="Arial" w:cs="Arial"/>
          <w:sz w:val="20"/>
          <w:szCs w:val="20"/>
        </w:rPr>
      </w:pPr>
      <w:r>
        <w:rPr>
          <w:rFonts w:ascii="Arial" w:eastAsia="等线" w:hAnsi="Arial" w:cs="Arial"/>
          <w:b/>
          <w:bCs/>
          <w:sz w:val="20"/>
          <w:szCs w:val="20"/>
        </w:rPr>
        <w:t>Figure S3</w:t>
      </w:r>
      <w:bookmarkStart w:id="5" w:name="OLE_LINK95"/>
      <w:r>
        <w:rPr>
          <w:rFonts w:ascii="Arial" w:eastAsia="等线" w:hAnsi="Arial" w:cs="Arial"/>
          <w:sz w:val="20"/>
          <w:szCs w:val="20"/>
        </w:rPr>
        <w:t xml:space="preserve">. </w:t>
      </w:r>
      <w:r>
        <w:rPr>
          <w:rFonts w:ascii="Arial" w:eastAsia="等线" w:hAnsi="Arial" w:cs="Arial"/>
          <w:b/>
          <w:bCs/>
          <w:sz w:val="20"/>
          <w:szCs w:val="20"/>
        </w:rPr>
        <w:t xml:space="preserve">(A) </w:t>
      </w:r>
      <w:r>
        <w:rPr>
          <w:rFonts w:ascii="Arial" w:eastAsia="等线" w:hAnsi="Arial" w:cs="Arial"/>
          <w:sz w:val="20"/>
          <w:szCs w:val="20"/>
        </w:rPr>
        <w:t>The integrative SPADE clustering plot and t-SNE map of CD133 with high and low HOXA-AS2 expression.</w:t>
      </w:r>
      <w:bookmarkEnd w:id="5"/>
      <w:r>
        <w:rPr>
          <w:rFonts w:ascii="Arial" w:eastAsia="等线" w:hAnsi="Arial" w:cs="Arial"/>
          <w:b/>
          <w:bCs/>
          <w:sz w:val="20"/>
          <w:szCs w:val="20"/>
        </w:rPr>
        <w:t xml:space="preserve"> (B) </w:t>
      </w:r>
      <w:r>
        <w:rPr>
          <w:rFonts w:ascii="Arial" w:eastAsia="等线" w:hAnsi="Arial" w:cs="Arial"/>
          <w:sz w:val="20"/>
          <w:szCs w:val="20"/>
        </w:rPr>
        <w:t>The integrative SPADE clustering plot and t-SNE map of CD44 with high and low HOXA-AS2 expression.</w:t>
      </w:r>
      <w:r>
        <w:rPr>
          <w:rFonts w:ascii="Arial" w:eastAsia="等线" w:hAnsi="Arial" w:cs="Arial"/>
          <w:b/>
          <w:bCs/>
          <w:sz w:val="20"/>
          <w:szCs w:val="20"/>
        </w:rPr>
        <w:t xml:space="preserve"> (C) </w:t>
      </w:r>
      <w:r>
        <w:rPr>
          <w:rFonts w:ascii="Arial" w:eastAsia="等线" w:hAnsi="Arial" w:cs="Arial"/>
          <w:sz w:val="20"/>
          <w:szCs w:val="20"/>
        </w:rPr>
        <w:t>The integrative SPADE clustering plot and t-SNE map of ALDH with high and low HOXA-AS2 expression.</w:t>
      </w:r>
    </w:p>
    <w:p w14:paraId="491F7714" w14:textId="77777777" w:rsidR="00C6308C" w:rsidRDefault="00C6308C">
      <w:pPr>
        <w:rPr>
          <w:rFonts w:ascii="Arial" w:eastAsia="等线" w:hAnsi="Arial" w:cs="Arial"/>
          <w:b/>
          <w:bCs/>
          <w:sz w:val="20"/>
          <w:szCs w:val="20"/>
        </w:rPr>
      </w:pPr>
    </w:p>
    <w:p w14:paraId="25EECC2F" w14:textId="04FB7F27" w:rsidR="00190B68" w:rsidRDefault="00C6308C">
      <w:pPr>
        <w:rPr>
          <w:rFonts w:ascii="Arial" w:eastAsia="等线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E39782" wp14:editId="3F49A02F">
            <wp:simplePos x="0" y="0"/>
            <wp:positionH relativeFrom="margin">
              <wp:align>left</wp:align>
            </wp:positionH>
            <wp:positionV relativeFrom="paragraph">
              <wp:posOffset>363220</wp:posOffset>
            </wp:positionV>
            <wp:extent cx="5274310" cy="2625725"/>
            <wp:effectExtent l="0" t="0" r="2540" b="3175"/>
            <wp:wrapTight wrapText="bothSides">
              <wp:wrapPolygon edited="0">
                <wp:start x="0" y="0"/>
                <wp:lineTo x="0" y="21469"/>
                <wp:lineTo x="21532" y="21469"/>
                <wp:lineTo x="21532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等线" w:hAnsi="Arial" w:cs="Arial"/>
          <w:b/>
          <w:bCs/>
          <w:sz w:val="20"/>
          <w:szCs w:val="20"/>
        </w:rPr>
        <w:t>Figure S1.</w:t>
      </w:r>
    </w:p>
    <w:p w14:paraId="3D637525" w14:textId="0692FA94" w:rsidR="00C6308C" w:rsidRDefault="00C6308C">
      <w:pPr>
        <w:rPr>
          <w:rFonts w:ascii="Arial" w:eastAsia="等线" w:hAnsi="Arial" w:cs="Arial"/>
          <w:b/>
          <w:bCs/>
          <w:sz w:val="20"/>
          <w:szCs w:val="20"/>
        </w:rPr>
      </w:pPr>
    </w:p>
    <w:p w14:paraId="4FA3A887" w14:textId="0DF5E3F2" w:rsidR="00C6308C" w:rsidRDefault="00C6308C">
      <w:pPr>
        <w:rPr>
          <w:rFonts w:ascii="Arial" w:eastAsia="等线" w:hAnsi="Arial" w:cs="Arial" w:hint="eastAsia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4E8AD5F" wp14:editId="4B851AFC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274310" cy="3013075"/>
            <wp:effectExtent l="0" t="0" r="2540" b="0"/>
            <wp:wrapTight wrapText="bothSides">
              <wp:wrapPolygon edited="0">
                <wp:start x="0" y="0"/>
                <wp:lineTo x="0" y="21441"/>
                <wp:lineTo x="21532" y="21441"/>
                <wp:lineTo x="21532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等线" w:hAnsi="Arial" w:cs="Arial"/>
          <w:b/>
          <w:bCs/>
          <w:sz w:val="20"/>
          <w:szCs w:val="20"/>
        </w:rPr>
        <w:t>Figure S2.</w:t>
      </w:r>
    </w:p>
    <w:p w14:paraId="3A809FFC" w14:textId="7837C10C" w:rsidR="00C6308C" w:rsidRDefault="00C6308C">
      <w:pPr>
        <w:rPr>
          <w:rFonts w:ascii="Arial" w:eastAsia="等线" w:hAnsi="Arial" w:cs="Arial"/>
          <w:b/>
          <w:bCs/>
          <w:sz w:val="20"/>
          <w:szCs w:val="20"/>
        </w:rPr>
      </w:pPr>
    </w:p>
    <w:p w14:paraId="0620DCA6" w14:textId="6E0DABE8" w:rsidR="00C6308C" w:rsidRDefault="00C6308C">
      <w:pPr>
        <w:rPr>
          <w:rFonts w:ascii="Arial" w:eastAsia="等线" w:hAnsi="Arial" w:cs="Arial"/>
          <w:b/>
          <w:bCs/>
          <w:sz w:val="20"/>
          <w:szCs w:val="20"/>
        </w:rPr>
      </w:pPr>
      <w:r>
        <w:rPr>
          <w:rFonts w:ascii="Arial" w:eastAsia="等线" w:hAnsi="Arial" w:cs="Arial" w:hint="eastAsia"/>
          <w:b/>
          <w:bCs/>
          <w:sz w:val="20"/>
          <w:szCs w:val="20"/>
        </w:rPr>
        <w:t>F</w:t>
      </w:r>
      <w:r>
        <w:rPr>
          <w:rFonts w:ascii="Arial" w:eastAsia="等线" w:hAnsi="Arial" w:cs="Arial"/>
          <w:b/>
          <w:bCs/>
          <w:sz w:val="20"/>
          <w:szCs w:val="20"/>
        </w:rPr>
        <w:t>igure S3.</w:t>
      </w:r>
    </w:p>
    <w:p w14:paraId="1D88E07D" w14:textId="43A18402" w:rsidR="00C6308C" w:rsidRDefault="00C6308C">
      <w:pPr>
        <w:rPr>
          <w:rFonts w:ascii="Arial" w:eastAsia="等线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8479461" wp14:editId="432AC5B4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5274310" cy="3846830"/>
            <wp:effectExtent l="0" t="0" r="2540" b="1270"/>
            <wp:wrapTight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0CF6A4" w14:textId="295EC0C7" w:rsidR="00C6308C" w:rsidRDefault="00C6308C">
      <w:pPr>
        <w:rPr>
          <w:rFonts w:ascii="Arial" w:eastAsia="等线" w:hAnsi="Arial" w:cs="Arial"/>
          <w:b/>
          <w:bCs/>
          <w:sz w:val="20"/>
          <w:szCs w:val="20"/>
        </w:rPr>
      </w:pPr>
    </w:p>
    <w:p w14:paraId="0CCF4FE7" w14:textId="77777777" w:rsidR="00C6308C" w:rsidRPr="00C6308C" w:rsidRDefault="00C6308C">
      <w:pPr>
        <w:rPr>
          <w:rFonts w:hint="eastAsia"/>
        </w:rPr>
      </w:pPr>
    </w:p>
    <w:sectPr w:rsidR="00C6308C" w:rsidRPr="00C630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08C"/>
    <w:rsid w:val="00B0429F"/>
    <w:rsid w:val="00C6308C"/>
    <w:rsid w:val="00F7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0695A"/>
  <w15:chartTrackingRefBased/>
  <w15:docId w15:val="{092E957A-949A-4FD3-9DCD-89A6A79A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308C"/>
    <w:pPr>
      <w:widowControl w:val="0"/>
      <w:spacing w:after="160" w:line="25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76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1456303729@qq.com</dc:creator>
  <cp:keywords/>
  <dc:description/>
  <cp:lastModifiedBy>1456303729@qq.com</cp:lastModifiedBy>
  <cp:revision>1</cp:revision>
  <dcterms:created xsi:type="dcterms:W3CDTF">2020-09-20T14:58:00Z</dcterms:created>
  <dcterms:modified xsi:type="dcterms:W3CDTF">2020-09-20T15:02:00Z</dcterms:modified>
</cp:coreProperties>
</file>